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3E5871"/>
          <w:sz w:val="20"/>
          <w:szCs w:val="20"/>
        </w:rPr>
        <w:t xml:space="preserve">PolicyReady.org</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0" w:before="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3A5F" w:color="auto" w:val="clear"/>
            <w:tcMar>
              <w:top w:type="dxa" w:w="300"/>
              <w:left w:type="dxa" w:w="200"/>
              <w:bottom w:type="dxa" w:w="300"/>
              <w:right w:type="dxa" w:w="200"/>
            </w:tcMar>
          </w:tcPr>
          <w:p>
            <w:pPr>
              <w:spacing w:after="40"/>
              <w:jc w:val="center"/>
            </w:pPr>
            <w:r>
              <w:rPr>
                <w:rFonts w:ascii="Calibri" w:cs="Calibri" w:eastAsia="Calibri" w:hAnsi="Calibri"/>
                <w:b/>
                <w:bCs/>
                <w:i w:val="false"/>
                <w:iCs w:val="false"/>
                <w:color w:val="FFFFFF"/>
                <w:sz w:val="34"/>
                <w:szCs w:val="34"/>
              </w:rPr>
              <w:t xml:space="preserve">The Mental Health Referral System</w:t>
            </w:r>
          </w:p>
          <w:p>
            <w:pPr>
              <w:spacing w:after="0"/>
              <w:jc w:val="center"/>
            </w:pPr>
            <w:r>
              <w:rPr>
                <w:rFonts w:ascii="Calibri" w:cs="Calibri" w:eastAsia="Calibri" w:hAnsi="Calibri"/>
                <w:b/>
                <w:bCs/>
                <w:i w:val="false"/>
                <w:iCs w:val="false"/>
                <w:color w:val="FFFFFF"/>
                <w:sz w:val="34"/>
                <w:szCs w:val="34"/>
              </w:rPr>
              <w:t xml:space="preserve">New Jersey Edition</w:t>
            </w:r>
          </w:p>
        </w:tc>
      </w:tr>
    </w:tbl>
    <w:p>
      <w:pPr>
        <w:spacing w:after="60" w:before="0" w:line="268"/>
        <w:jc w:val="center"/>
      </w:pPr>
      <w:r>
        <w:rPr>
          <w:rFonts w:ascii="Calibri" w:cs="Calibri" w:eastAsia="Calibri" w:hAnsi="Calibri"/>
          <w:b w:val="false"/>
          <w:bCs w:val="false"/>
          <w:i/>
          <w:iCs/>
          <w:color w:val="3E5871"/>
          <w:sz w:val="22"/>
          <w:szCs w:val="22"/>
        </w:rPr>
        <w:t xml:space="preserve">How a New Jersey provider agency delivering community mental health services builds a steady stream of client referrals — the strategy, a verified directory of New Jersey referral sources, named-partner target lists for the state's largest metros, and the worksheets to run it week to week</w:t>
      </w:r>
    </w:p>
    <w:p>
      <w:pPr>
        <w:spacing w:after="120" w:before="0" w:line="268"/>
        <w:jc w:val="center"/>
      </w:pPr>
      <w:r>
        <w:rPr>
          <w:rFonts w:ascii="Calibri" w:cs="Calibri" w:eastAsia="Calibri" w:hAnsi="Calibri"/>
          <w:b w:val="false"/>
          <w:bCs w:val="false"/>
          <w:i w:val="false"/>
          <w:iCs w:val="false"/>
          <w:color w:val="555555"/>
          <w:sz w:val="18"/>
          <w:szCs w:val="18"/>
        </w:rPr>
        <w:t xml:space="preserve">PolicyReady.org  —  Practical Playbooks for Care Entrepreneurs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Why behavioral health referrals are different — read this first</w:t>
            </w:r>
          </w:p>
          <w:p>
            <w:pPr>
              <w:spacing w:after="0" w:line="264"/>
            </w:pPr>
            <w:r>
              <w:rPr>
                <w:rFonts w:ascii="Calibri" w:cs="Calibri" w:eastAsia="Calibri" w:hAnsi="Calibri"/>
                <w:b/>
                <w:bCs/>
                <w:i w:val="false"/>
                <w:iCs w:val="false"/>
                <w:color w:val="1A1A1A"/>
                <w:sz w:val="19"/>
                <w:szCs w:val="19"/>
              </w:rPr>
              <w:t xml:space="preserve">Clients rarely walk in off the street, and most are not private-pay. </w:t>
            </w:r>
            <w:r>
              <w:rPr>
                <w:rFonts w:ascii="Calibri" w:cs="Calibri" w:eastAsia="Calibri" w:hAnsi="Calibri"/>
                <w:b w:val="false"/>
                <w:bCs w:val="false"/>
                <w:i w:val="false"/>
                <w:iCs w:val="false"/>
                <w:color w:val="1A1A1A"/>
                <w:sz w:val="19"/>
                <w:szCs w:val="19"/>
              </w:rPr>
              <w:t xml:space="preserve">A New Jersey provider agency delivering community mental health services fills its caseload through the systems that pay for and steer behavioral health care: NJ Medicaid and NJ FamilyCare and their managed care organizations, DMHAS as the State Mental Health Authority under the Community Mental Health Services Act, the 988 Suicide and Crisis Lifeline and the county psychiatric emergency screening and mobile crisis system, the psychiatric hospitals and screening centers that need step-downs, and the courts (including mental health courts and diversion). So your “referral” work is really network and relationship work: get licensed and enrolled and in-network so those systems can send you consumers, and then become the provider they trust to accept referrals quickly, communicate, and get results. This system shows you exactly who those sources are in New Jersey, what each of them wants, how to reach them, and how to keep the relationships warm — all within the legal line, which in behavioral health is stricter than most people realize.</w:t>
            </w:r>
          </w:p>
        </w:tc>
      </w:tr>
    </w:tbl>
    <w:p>
      <w:pPr>
        <w:keepNext/>
        <w:spacing w:after="90" w:before="220"/>
      </w:pPr>
      <w:r>
        <w:rPr>
          <w:rFonts w:ascii="Calibri" w:cs="Calibri" w:eastAsia="Calibri" w:hAnsi="Calibri"/>
          <w:b/>
          <w:bCs/>
          <w:i w:val="false"/>
          <w:iCs w:val="false"/>
          <w:color w:val="1F3A5F"/>
          <w:sz w:val="26"/>
          <w:szCs w:val="26"/>
        </w:rPr>
        <w:t xml:space="preserve">Part One — The Playbook: How to Earn Referrals</w:t>
      </w:r>
    </w:p>
    <w:p>
      <w:pPr>
        <w:keepNext/>
        <w:spacing w:after="60" w:before="140"/>
      </w:pPr>
      <w:r>
        <w:rPr>
          <w:rFonts w:ascii="Calibri" w:cs="Calibri" w:eastAsia="Calibri" w:hAnsi="Calibri"/>
          <w:b/>
          <w:bCs/>
          <w:i w:val="false"/>
          <w:iCs w:val="false"/>
          <w:color w:val="3E5871"/>
          <w:sz w:val="21"/>
          <w:szCs w:val="21"/>
        </w:rPr>
        <w:t xml:space="preserve">How to use this playbook</w:t>
      </w:r>
    </w:p>
    <w:p>
      <w:pPr>
        <w:spacing w:after="110" w:before="0" w:line="268"/>
        <w:jc w:val="left"/>
      </w:pPr>
      <w:r>
        <w:rPr>
          <w:rFonts w:ascii="Calibri" w:cs="Calibri" w:eastAsia="Calibri" w:hAnsi="Calibri"/>
          <w:b w:val="false"/>
          <w:bCs w:val="false"/>
          <w:i w:val="false"/>
          <w:iCs w:val="false"/>
          <w:color w:val="1A1A1A"/>
          <w:sz w:val="20"/>
          <w:szCs w:val="20"/>
        </w:rPr>
        <w:t xml:space="preserve">This playbook teaches you how behavioral health providers actually build a caseload in New Jersey: by being in-network, being known, and being reliable. Read it once start to finish, then use it as a checklist. Everything here is general educational information for New Jersey providers — not legal advice; verify programs, contacts, and the anti-kickback and anti-brokering rules before you rely on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whole system in one paragraph</w:t>
            </w:r>
          </w:p>
          <w:p>
            <w:pPr>
              <w:spacing w:after="0" w:line="264"/>
            </w:pPr>
            <w:r>
              <w:rPr>
                <w:rFonts w:ascii="Calibri" w:cs="Calibri" w:eastAsia="Calibri" w:hAnsi="Calibri"/>
                <w:b w:val="false"/>
                <w:bCs w:val="false"/>
                <w:i w:val="false"/>
                <w:iCs w:val="false"/>
                <w:color w:val="1A1A1A"/>
                <w:sz w:val="19"/>
                <w:szCs w:val="19"/>
              </w:rPr>
              <w:t xml:space="preserve">Get licensed under N.J.A.C. 8:121 and contracted with DMHAS for the community mental health services you provide, enroll as a NJ Medicaid provider, and contract with the managed care organizations in your area so consumers can be sent to you and you can be paid. Identify the sources that put consumers in front of you — the DMHAS and MCO care coordinators, the 988 and county crisis and screening system, psychiatric hospitals and emergency screening centers,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keepNext/>
        <w:spacing w:after="60" w:before="140"/>
      </w:pPr>
      <w:r>
        <w:rPr>
          <w:rFonts w:ascii="Calibri" w:cs="Calibri" w:eastAsia="Calibri" w:hAnsi="Calibri"/>
          <w:b/>
          <w:bCs/>
          <w:i w:val="false"/>
          <w:iCs w:val="false"/>
          <w:color w:val="3E5871"/>
          <w:sz w:val="21"/>
          <w:szCs w:val="21"/>
        </w:rPr>
        <w:t xml:space="preserve">The path at a glance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referable. </w:t>
      </w:r>
      <w:r>
        <w:rPr>
          <w:rFonts w:ascii="Calibri" w:cs="Calibri" w:eastAsia="Calibri" w:hAnsi="Calibri"/>
          <w:b w:val="false"/>
          <w:bCs w:val="false"/>
          <w:i w:val="false"/>
          <w:iCs w:val="false"/>
          <w:color w:val="1A1A1A"/>
          <w:sz w:val="20"/>
          <w:szCs w:val="20"/>
        </w:rPr>
        <w:t xml:space="preserve">Hold your N.J.A.C. 8:121 license and DMHAS contract, enroll as a NJ Medicaid provider, and contract with the managed care organizations so a care coordinator can send you a consumer and you get paid.</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Map your sources. </w:t>
      </w:r>
      <w:r>
        <w:rPr>
          <w:rFonts w:ascii="Calibri" w:cs="Calibri" w:eastAsia="Calibri" w:hAnsi="Calibri"/>
          <w:b w:val="false"/>
          <w:bCs w:val="false"/>
          <w:i w:val="false"/>
          <w:iCs w:val="false"/>
          <w:color w:val="1A1A1A"/>
          <w:sz w:val="20"/>
          <w:szCs w:val="20"/>
        </w:rPr>
        <w:t xml:space="preserve">The DMHAS and MCO care coordinators, the 988 and county crisis and screening system, psychiatric hospitals and screening centers, the courts, and other providers (Part 2 + the directory).</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into the pipeline. </w:t>
      </w:r>
      <w:r>
        <w:rPr>
          <w:rFonts w:ascii="Calibri" w:cs="Calibri" w:eastAsia="Calibri" w:hAnsi="Calibri"/>
          <w:b w:val="false"/>
          <w:bCs w:val="false"/>
          <w:i w:val="false"/>
          <w:iCs w:val="false"/>
          <w:color w:val="1A1A1A"/>
          <w:sz w:val="20"/>
          <w:szCs w:val="20"/>
        </w:rPr>
        <w:t xml:space="preserve">Get in-network and onto the referral lists of the crisis system, hospitals, and courts (Part 3).</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Learn what each wants. </w:t>
      </w:r>
      <w:r>
        <w:rPr>
          <w:rFonts w:ascii="Calibri" w:cs="Calibri" w:eastAsia="Calibri" w:hAnsi="Calibri"/>
          <w:b w:val="false"/>
          <w:bCs w:val="false"/>
          <w:i w:val="false"/>
          <w:iCs w:val="false"/>
          <w:color w:val="1A1A1A"/>
          <w:sz w:val="20"/>
          <w:szCs w:val="20"/>
        </w:rPr>
        <w:t xml:space="preserve">Speak to the pressure each source is under (Part 4).</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Reach out and meet them. </w:t>
      </w:r>
      <w:r>
        <w:rPr>
          <w:rFonts w:ascii="Calibri" w:cs="Calibri" w:eastAsia="Calibri" w:hAnsi="Calibri"/>
          <w:b w:val="false"/>
          <w:bCs w:val="false"/>
          <w:i w:val="false"/>
          <w:iCs w:val="false"/>
          <w:color w:val="1A1A1A"/>
          <w:sz w:val="20"/>
          <w:szCs w:val="20"/>
        </w:rPr>
        <w:t xml:space="preserve">With a short, clear message about who you serve well (Parts 5–6).</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Deliver and communicate. </w:t>
      </w:r>
      <w:r>
        <w:rPr>
          <w:rFonts w:ascii="Calibri" w:cs="Calibri" w:eastAsia="Calibri" w:hAnsi="Calibri"/>
          <w:b w:val="false"/>
          <w:bCs w:val="false"/>
          <w:i w:val="false"/>
          <w:iCs w:val="false"/>
          <w:color w:val="1A1A1A"/>
          <w:sz w:val="20"/>
          <w:szCs w:val="20"/>
        </w:rPr>
        <w:t xml:space="preserve">Fast acceptance, updates, and outcome reporting earn the next referral (Part 7).</w:t>
      </w:r>
    </w:p>
    <w:p>
      <w:pPr>
        <w:spacing w:after="60" w:line="268"/>
        <w:ind w:left="360" w:hanging="300"/>
      </w:pPr>
      <w:r>
        <w:rPr>
          <w:rFonts w:ascii="Calibri" w:cs="Calibri" w:eastAsia="Calibri" w:hAnsi="Calibri"/>
          <w:b/>
          <w:bCs/>
          <w:i w:val="false"/>
          <w:iCs w:val="false"/>
          <w:color w:val="3E5871"/>
          <w:sz w:val="20"/>
          <w:szCs w:val="20"/>
        </w:rPr>
        <w:t xml:space="preserve">7.  </w:t>
      </w:r>
      <w:r>
        <w:rPr>
          <w:rFonts w:ascii="Calibri" w:cs="Calibri" w:eastAsia="Calibri" w:hAnsi="Calibri"/>
          <w:b/>
          <w:bCs/>
          <w:i w:val="false"/>
          <w:iCs w:val="false"/>
          <w:color w:val="1A1A1A"/>
          <w:sz w:val="20"/>
          <w:szCs w:val="20"/>
        </w:rPr>
        <w:t xml:space="preserve">Be findable. </w:t>
      </w:r>
      <w:r>
        <w:rPr>
          <w:rFonts w:ascii="Calibri" w:cs="Calibri" w:eastAsia="Calibri" w:hAnsi="Calibri"/>
          <w:b w:val="false"/>
          <w:bCs w:val="false"/>
          <w:i w:val="false"/>
          <w:iCs w:val="false"/>
          <w:color w:val="1A1A1A"/>
          <w:sz w:val="20"/>
          <w:szCs w:val="20"/>
        </w:rPr>
        <w:t xml:space="preserve">Payer directories, online presence, and crisis referral platforms (Part 8).</w:t>
      </w:r>
    </w:p>
    <w:p>
      <w:pPr>
        <w:spacing w:after="60" w:line="268"/>
        <w:ind w:left="360" w:hanging="300"/>
      </w:pPr>
      <w:r>
        <w:rPr>
          <w:rFonts w:ascii="Calibri" w:cs="Calibri" w:eastAsia="Calibri" w:hAnsi="Calibri"/>
          <w:b/>
          <w:bCs/>
          <w:i w:val="false"/>
          <w:iCs w:val="false"/>
          <w:color w:val="3E5871"/>
          <w:sz w:val="20"/>
          <w:szCs w:val="20"/>
        </w:rPr>
        <w:t xml:space="preserve">8.  </w:t>
      </w:r>
      <w:r>
        <w:rPr>
          <w:rFonts w:ascii="Calibri" w:cs="Calibri" w:eastAsia="Calibri" w:hAnsi="Calibri"/>
          <w:b/>
          <w:bCs/>
          <w:i w:val="false"/>
          <w:iCs w:val="false"/>
          <w:color w:val="1A1A1A"/>
          <w:sz w:val="20"/>
          <w:szCs w:val="20"/>
        </w:rPr>
        <w:t xml:space="preserve">Run the rhythm and measure. </w:t>
      </w:r>
      <w:r>
        <w:rPr>
          <w:rFonts w:ascii="Calibri" w:cs="Calibri" w:eastAsia="Calibri" w:hAnsi="Calibri"/>
          <w:b w:val="false"/>
          <w:bCs w:val="false"/>
          <w:i w:val="false"/>
          <w:iCs w:val="false"/>
          <w:color w:val="1A1A1A"/>
          <w:sz w:val="20"/>
          <w:szCs w:val="20"/>
        </w:rPr>
        <w:t xml:space="preserve">A weekly cadence and honest tracking (Parts 9–10).</w:t>
      </w:r>
    </w:p>
    <w:p>
      <w:pPr>
        <w:keepNext/>
        <w:spacing w:after="90" w:before="220"/>
      </w:pPr>
      <w:r>
        <w:rPr>
          <w:rFonts w:ascii="Calibri" w:cs="Calibri" w:eastAsia="Calibri" w:hAnsi="Calibri"/>
          <w:b/>
          <w:bCs/>
          <w:i w:val="false"/>
          <w:iCs w:val="false"/>
          <w:color w:val="1F3A5F"/>
          <w:sz w:val="26"/>
          <w:szCs w:val="26"/>
        </w:rPr>
        <w:t xml:space="preserve">Part 1 — Why Referrals Are Your Caseload Engine</w:t>
      </w:r>
    </w:p>
    <w:p>
      <w:pPr>
        <w:spacing w:after="110" w:before="0" w:line="268"/>
        <w:jc w:val="left"/>
      </w:pPr>
      <w:r>
        <w:rPr>
          <w:rFonts w:ascii="Calibri" w:cs="Calibri" w:eastAsia="Calibri" w:hAnsi="Calibri"/>
          <w:b w:val="false"/>
          <w:bCs w:val="false"/>
          <w:i w:val="false"/>
          <w:iCs w:val="false"/>
          <w:color w:val="1A1A1A"/>
          <w:sz w:val="20"/>
          <w:szCs w:val="20"/>
        </w:rPr>
        <w:t xml:space="preserve">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spacing w:after="110" w:before="0" w:line="268"/>
        <w:jc w:val="left"/>
      </w:pPr>
      <w:r>
        <w:rPr>
          <w:rFonts w:ascii="Calibri" w:cs="Calibri" w:eastAsia="Calibri" w:hAnsi="Calibri"/>
          <w:b w:val="false"/>
          <w:bCs w:val="false"/>
          <w:i w:val="false"/>
          <w:iCs w:val="false"/>
          <w:color w:val="1A1A1A"/>
          <w:sz w:val="20"/>
          <w:szCs w:val="20"/>
        </w:rPr>
        <w:t xml:space="preserve">There is a second reason relationships matter so much here: the person who refers a client to you is staking their own judgment on you. A screening-center clinician, a hospital social worker, or a mental-health-court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spacing w:after="110" w:before="0" w:line="268"/>
        <w:jc w:val="left"/>
      </w:pPr>
      <w:r>
        <w:rPr>
          <w:rFonts w:ascii="Calibri" w:cs="Calibri" w:eastAsia="Calibri" w:hAnsi="Calibri"/>
          <w:b w:val="false"/>
          <w:bCs w:val="false"/>
          <w:i w:val="false"/>
          <w:iCs w:val="false"/>
          <w:color w:val="1A1A1A"/>
          <w:sz w:val="20"/>
          <w:szCs w:val="20"/>
        </w:rPr>
        <w:t xml:space="preserve">It also means growth is relationship-limited, not ad-limited. You cannot buy your way to a full caseload; you earn it by being the provider the referring systems trust with their hardest clients. And one strong relationship compounds — a single plan or hospital that trusts you can send clients for years. Everything else in this playbook serves that one goal.</w:t>
      </w:r>
    </w:p>
    <w:p>
      <w:pPr>
        <w:spacing w:after="110" w:before="0" w:line="268"/>
        <w:jc w:val="left"/>
      </w:pPr>
      <w:r>
        <w:rPr>
          <w:rFonts w:ascii="Calibri" w:cs="Calibri" w:eastAsia="Calibri" w:hAnsi="Calibri"/>
          <w:b w:val="false"/>
          <w:bCs w:val="false"/>
          <w:i w:val="false"/>
          <w:iCs w:val="false"/>
          <w:color w:val="1A1A1A"/>
          <w:sz w:val="20"/>
          <w:szCs w:val="20"/>
        </w:rPr>
        <w:t xml:space="preserve">Think about the math of a single relationship. One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keepNext/>
        <w:spacing w:after="90" w:before="220"/>
      </w:pPr>
      <w:r>
        <w:rPr>
          <w:rFonts w:ascii="Calibri" w:cs="Calibri" w:eastAsia="Calibri" w:hAnsi="Calibri"/>
          <w:b/>
          <w:bCs/>
          <w:i w:val="false"/>
          <w:iCs w:val="false"/>
          <w:color w:val="1F3A5F"/>
          <w:sz w:val="26"/>
          <w:szCs w:val="26"/>
        </w:rPr>
        <w:t xml:space="preserve">Part 2 — The Referral Source Map: Who Sends You Clients</w:t>
      </w:r>
    </w:p>
    <w:p>
      <w:pPr>
        <w:spacing w:after="110" w:before="0" w:line="268"/>
        <w:jc w:val="left"/>
      </w:pPr>
      <w:r>
        <w:rPr>
          <w:rFonts w:ascii="Calibri" w:cs="Calibri" w:eastAsia="Calibri" w:hAnsi="Calibri"/>
          <w:b w:val="false"/>
          <w:bCs w:val="false"/>
          <w:i w:val="false"/>
          <w:iCs w:val="false"/>
          <w:color w:val="1A1A1A"/>
          <w:sz w:val="20"/>
          <w:szCs w:val="20"/>
        </w:rPr>
        <w:t xml:space="preserve">Here is the New Jersey landscape of who puts behavioral health consumers in front of a provider. Not all carry the same weight — the DMHAS-funded system and Medicaid managed care organizations, the 988 and county crisis and screening system, and the psychiatric hospital and screening-center systems matter most — but each has a role: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NJ Medicaid, NJ FamilyCare &amp; the DMHAS system — the center of the system. </w:t>
      </w:r>
      <w:r>
        <w:rPr>
          <w:rFonts w:ascii="Calibri" w:cs="Calibri" w:eastAsia="Calibri" w:hAnsi="Calibri"/>
          <w:b w:val="false"/>
          <w:bCs w:val="false"/>
          <w:i w:val="false"/>
          <w:iCs w:val="false"/>
          <w:color w:val="1A1A1A"/>
          <w:sz w:val="20"/>
          <w:szCs w:val="20"/>
        </w:rPr>
        <w:t xml:space="preserve">New Jersey's community mental health services are funded through NJ Medicaid and NJ FamilyCare, the managed care organizations, and DMHAS state contracts under the Community Mental Health Services Act. MCO and DMHAS-funded care coordinators refer consumers and authorize services. Being enrolled with NJ Medicaid and in-network with the MCOs and contracted with DMHAS for your area is the highest-value relationship you have.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county crisis and screening system — the front door. </w:t>
      </w:r>
      <w:r>
        <w:rPr>
          <w:rFonts w:ascii="Calibri" w:cs="Calibri" w:eastAsia="Calibri" w:hAnsi="Calibri"/>
          <w:b w:val="false"/>
          <w:bCs w:val="false"/>
          <w:i w:val="false"/>
          <w:iCs w:val="false"/>
          <w:color w:val="1A1A1A"/>
          <w:sz w:val="20"/>
          <w:szCs w:val="20"/>
        </w:rPr>
        <w:t xml:space="preserve">The 988 Suicide and Crisis Lifeline, the county designated psychiatric emergency screening centers, and mobile mental health crisis and outreach teams are how many people in crisis find mental health treatment. Being known to your local screening center and crisis system — what you accept and how fast — is essential.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Psychiatric hospitals &amp; screening-center step-downs. </w:t>
      </w:r>
      <w:r>
        <w:rPr>
          <w:rFonts w:ascii="Calibri" w:cs="Calibri" w:eastAsia="Calibri" w:hAnsi="Calibri"/>
          <w:b w:val="false"/>
          <w:bCs w:val="false"/>
          <w:i w:val="false"/>
          <w:iCs w:val="false"/>
          <w:color w:val="1A1A1A"/>
          <w:sz w:val="20"/>
          <w:szCs w:val="20"/>
        </w:rPr>
        <w:t xml:space="preserve">Psychiatric hospitals, the county screening centers, and hospital emergency departments stabilize people in psychiatric crisis and then need somewhere to step them down — a major source of referrals for outpatient, partial care, community support, and PACT providers.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Hospitals &amp; emergency departments. </w:t>
      </w:r>
      <w:r>
        <w:rPr>
          <w:rFonts w:ascii="Calibri" w:cs="Calibri" w:eastAsia="Calibri" w:hAnsi="Calibri"/>
          <w:b w:val="false"/>
          <w:bCs w:val="false"/>
          <w:i w:val="false"/>
          <w:iCs w:val="false"/>
          <w:color w:val="1A1A1A"/>
          <w:sz w:val="20"/>
          <w:szCs w:val="20"/>
        </w:rPr>
        <w:t xml:space="preserve">Psychiatric units, med/psych, and EDs discharging or boarding behavioral health patients need fast, reliable community mental health placements.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Intensive community programs. </w:t>
      </w:r>
      <w:r>
        <w:rPr>
          <w:rFonts w:ascii="Calibri" w:cs="Calibri" w:eastAsia="Calibri" w:hAnsi="Calibri"/>
          <w:b w:val="false"/>
          <w:bCs w:val="false"/>
          <w:i w:val="false"/>
          <w:iCs w:val="false"/>
          <w:color w:val="1A1A1A"/>
          <w:sz w:val="20"/>
          <w:szCs w:val="20"/>
        </w:rPr>
        <w:t xml:space="preserve">PACT teams, community support services, and partial care coordinate with outpatient treatment — core two-way referral relationships in the public mental health system.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criminal justice. </w:t>
      </w:r>
      <w:r>
        <w:rPr>
          <w:rFonts w:ascii="Calibri" w:cs="Calibri" w:eastAsia="Calibri" w:hAnsi="Calibri"/>
          <w:b w:val="false"/>
          <w:bCs w:val="false"/>
          <w:i w:val="false"/>
          <w:iCs w:val="false"/>
          <w:color w:val="1A1A1A"/>
          <w:sz w:val="20"/>
          <w:szCs w:val="20"/>
        </w:rPr>
        <w:t xml:space="preserve">Drug courts and accountability courts, probation and parole, diversion, and jail reentry refer large numbers of clients to treatment and need reliable compliance reporting.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Safety-net &amp; other behavioral health providers. </w:t>
      </w:r>
      <w:r>
        <w:rPr>
          <w:rFonts w:ascii="Calibri" w:cs="Calibri" w:eastAsia="Calibri" w:hAnsi="Calibri"/>
          <w:b w:val="false"/>
          <w:bCs w:val="false"/>
          <w:i w:val="false"/>
          <w:iCs w:val="false"/>
          <w:color w:val="1A1A1A"/>
          <w:sz w:val="20"/>
          <w:szCs w:val="20"/>
        </w:rPr>
        <w:t xml:space="preserve">Community mental health centers and other providers refer out what they cannot serve — and you refer back. Two-way relationships.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Primary care, SBIRT &amp; other. </w:t>
      </w:r>
      <w:r>
        <w:rPr>
          <w:rFonts w:ascii="Calibri" w:cs="Calibri" w:eastAsia="Calibri" w:hAnsi="Calibri"/>
          <w:b w:val="false"/>
          <w:bCs w:val="false"/>
          <w:i w:val="false"/>
          <w:iCs w:val="false"/>
          <w:color w:val="1A1A1A"/>
          <w:sz w:val="20"/>
          <w:szCs w:val="20"/>
        </w:rPr>
        <w:t xml:space="preserve">Primary care screening, schools, child welfare, recovery residences, 211, and families all send clients.</w:t>
      </w:r>
    </w:p>
    <w:p>
      <w:pPr>
        <w:spacing w:after="110" w:before="0" w:line="268"/>
        <w:jc w:val="left"/>
      </w:pPr>
      <w:r>
        <w:rPr>
          <w:rFonts w:ascii="Calibri" w:cs="Calibri" w:eastAsia="Calibri" w:hAnsi="Calibri"/>
          <w:b w:val="false"/>
          <w:bCs w:val="false"/>
          <w:i w:val="false"/>
          <w:iCs w:val="false"/>
          <w:color w:val="1A1A1A"/>
          <w:sz w:val="20"/>
          <w:szCs w:val="20"/>
        </w:rPr>
        <w:t xml:space="preserve">Do not try to work all of these at once. For a new provider, the order that matters is simple: first, get enrolled and in-network with NJ Medicaid, the MCOs, and contracted with DMHAS, because they are who can actually send you paid referrals; second, the crisis and hospital systems where clients in acute need are looking for the next level of care; and third, the psychiatric hospitals, courts, and other providers. Get deep with the first group before you spread thin across the rest. A few strong payer, crisis, and hospital relationships will fill more of your caseload than a hundred cold introductions.</w:t>
      </w:r>
    </w:p>
    <w:p>
      <w:pPr>
        <w:keepNext/>
        <w:spacing w:after="90" w:before="220"/>
      </w:pPr>
      <w:r>
        <w:rPr>
          <w:rFonts w:ascii="Calibri" w:cs="Calibri" w:eastAsia="Calibri" w:hAnsi="Calibri"/>
          <w:b/>
          <w:bCs/>
          <w:i w:val="false"/>
          <w:iCs w:val="false"/>
          <w:color w:val="1F3A5F"/>
          <w:sz w:val="26"/>
          <w:szCs w:val="26"/>
        </w:rPr>
        <w:t xml:space="preserve">Part 3 — Getting Into the Pipeline (and the Legal Line)</w:t>
      </w:r>
    </w:p>
    <w:p>
      <w:pPr>
        <w:spacing w:after="110" w:before="0" w:line="268"/>
        <w:jc w:val="left"/>
      </w:pPr>
      <w:r>
        <w:rPr>
          <w:rFonts w:ascii="Calibri" w:cs="Calibri" w:eastAsia="Calibri" w:hAnsi="Calibri"/>
          <w:b w:val="false"/>
          <w:bCs w:val="false"/>
          <w:i w:val="false"/>
          <w:iCs w:val="false"/>
          <w:color w:val="1A1A1A"/>
          <w:sz w:val="20"/>
          <w:szCs w:val="20"/>
        </w:rPr>
        <w:t xml:space="preserve">Most of this playbook is about earning referrals through relationships. This part is about the formal pipeline you must be in first, and the legal line you must never cross — which in behavioral health is unusually strict.</w:t>
      </w:r>
    </w:p>
    <w:p>
      <w:pPr>
        <w:keepNext/>
        <w:spacing w:after="60" w:before="140"/>
      </w:pPr>
      <w:r>
        <w:rPr>
          <w:rFonts w:ascii="Calibri" w:cs="Calibri" w:eastAsia="Calibri" w:hAnsi="Calibri"/>
          <w:b/>
          <w:bCs/>
          <w:i w:val="false"/>
          <w:iCs w:val="false"/>
          <w:color w:val="3E5871"/>
          <w:sz w:val="21"/>
          <w:szCs w:val="21"/>
        </w:rPr>
        <w:t xml:space="preserve">Getting into the pipeline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licensed and endorsed. </w:t>
      </w:r>
      <w:r>
        <w:rPr>
          <w:rFonts w:ascii="Calibri" w:cs="Calibri" w:eastAsia="Calibri" w:hAnsi="Calibri"/>
          <w:b w:val="false"/>
          <w:bCs w:val="false"/>
          <w:i w:val="false"/>
          <w:iCs w:val="false"/>
          <w:color w:val="1A1A1A"/>
          <w:sz w:val="20"/>
          <w:szCs w:val="20"/>
        </w:rPr>
        <w:t xml:space="preserve">Hold your N.J.A.C. 8:121 license and DMHAS contract for each service you provide (outpatient, partial care, community support services, PACT) so you can legally accept the referrals you want.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Enroll and get in-network. </w:t>
      </w:r>
      <w:r>
        <w:rPr>
          <w:rFonts w:ascii="Calibri" w:cs="Calibri" w:eastAsia="Calibri" w:hAnsi="Calibri"/>
          <w:b w:val="false"/>
          <w:bCs w:val="false"/>
          <w:i w:val="false"/>
          <w:iCs w:val="false"/>
          <w:color w:val="1A1A1A"/>
          <w:sz w:val="20"/>
          <w:szCs w:val="20"/>
        </w:rPr>
        <w:t xml:space="preserve">Enroll as a NJ Medicaid provider and contract and credential with the managed care organizations serving your area, and hold your DMHAS contract — a care coordinator can only send a consumer to an enrolled, contracted provider.</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onto the crisis and hospital referral lists. </w:t>
      </w:r>
      <w:r>
        <w:rPr>
          <w:rFonts w:ascii="Calibri" w:cs="Calibri" w:eastAsia="Calibri" w:hAnsi="Calibri"/>
          <w:b w:val="false"/>
          <w:bCs w:val="false"/>
          <w:i w:val="false"/>
          <w:iCs w:val="false"/>
          <w:color w:val="1A1A1A"/>
          <w:sz w:val="20"/>
          <w:szCs w:val="20"/>
        </w:rPr>
        <w:t xml:space="preserve">Make sure the screening centers, the crisis system, the psychiatric hospitals, and EDs know what you accept and how fast you respond, and get into any bed-availability or referral platform they use.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Build relationships with the courts. </w:t>
      </w:r>
      <w:r>
        <w:rPr>
          <w:rFonts w:ascii="Calibri" w:cs="Calibri" w:eastAsia="Calibri" w:hAnsi="Calibri"/>
          <w:b w:val="false"/>
          <w:bCs w:val="false"/>
          <w:i w:val="false"/>
          <w:iCs w:val="false"/>
          <w:color w:val="1A1A1A"/>
          <w:sz w:val="20"/>
          <w:szCs w:val="20"/>
        </w:rPr>
        <w:t xml:space="preserve">If you serve justice-involved consumers, be known to the mental health courts, probation, and diversion programs and clear about your reporting.</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Then work the relationships. </w:t>
      </w:r>
      <w:r>
        <w:rPr>
          <w:rFonts w:ascii="Calibri" w:cs="Calibri" w:eastAsia="Calibri" w:hAnsi="Calibri"/>
          <w:b w:val="false"/>
          <w:bCs w:val="false"/>
          <w:i w:val="false"/>
          <w:iCs w:val="false"/>
          <w:color w:val="1A1A1A"/>
          <w:sz w:val="20"/>
          <w:szCs w:val="20"/>
        </w:rPr>
        <w:t xml:space="preserve">Once you are in the pipeline, reliability and communication are what earn the referrals.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legal line — behavioral health is stricter (AKS and EKRA)</w:t>
            </w:r>
          </w:p>
          <w:p>
            <w:pPr>
              <w:spacing w:after="0" w:line="264"/>
            </w:pPr>
            <w:r>
              <w:rPr>
                <w:rFonts w:ascii="Calibri" w:cs="Calibri" w:eastAsia="Calibri" w:hAnsi="Calibri"/>
                <w:b w:val="false"/>
                <w:bCs w:val="false"/>
                <w:i w:val="false"/>
                <w:iCs w:val="false"/>
                <w:color w:val="1A1A1A"/>
                <w:sz w:val="19"/>
                <w:szCs w:val="19"/>
              </w:rPr>
              <w:t xml:space="preserve">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New Jersey and federal law also prohibit paying for patient referrals — the Anti-Kickback Statute and New Jersey law govern any arrangement involving referrals, and behavioral health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keepNext/>
        <w:spacing w:after="90" w:before="220"/>
      </w:pPr>
      <w:r>
        <w:rPr>
          <w:rFonts w:ascii="Calibri" w:cs="Calibri" w:eastAsia="Calibri" w:hAnsi="Calibri"/>
          <w:b/>
          <w:bCs/>
          <w:i w:val="false"/>
          <w:iCs w:val="false"/>
          <w:color w:val="1F3A5F"/>
          <w:sz w:val="26"/>
          <w:szCs w:val="26"/>
        </w:rPr>
        <w:t xml:space="preserve">Part 4 — What Each Source Actually Wants</w:t>
      </w:r>
    </w:p>
    <w:p>
      <w:pPr>
        <w:spacing w:after="110" w:before="0" w:line="268"/>
        <w:jc w:val="left"/>
      </w:pPr>
      <w:r>
        <w:rPr>
          <w:rFonts w:ascii="Calibri" w:cs="Calibri" w:eastAsia="Calibri" w:hAnsi="Calibri"/>
          <w:b w:val="false"/>
          <w:bCs w:val="false"/>
          <w:i w:val="false"/>
          <w:iCs w:val="false"/>
          <w:color w:val="1A1A1A"/>
          <w:sz w:val="20"/>
          <w:szCs w:val="20"/>
        </w:rPr>
        <w:t xml:space="preserve">You win referrals by solving the referrer's problem, not by talking about yourself. Each source is under a different pressure: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DMHAS and plan care coordinators want in-network reliability. </w:t>
      </w:r>
      <w:r>
        <w:rPr>
          <w:rFonts w:ascii="Calibri" w:cs="Calibri" w:eastAsia="Calibri" w:hAnsi="Calibri"/>
          <w:b w:val="false"/>
          <w:bCs w:val="false"/>
          <w:i w:val="false"/>
          <w:iCs w:val="false"/>
          <w:color w:val="1A1A1A"/>
          <w:sz w:val="20"/>
          <w:szCs w:val="20"/>
        </w:rPr>
        <w:t xml:space="preserve">They must place consumers with enrolled, contracted providers who accept referrals, keep them engaged, and report outcomes. They want a provider who answers, accepts, and communicates.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&amp; hospital discharge want fast acceptance and no bounce-back. </w:t>
      </w:r>
      <w:r>
        <w:rPr>
          <w:rFonts w:ascii="Calibri" w:cs="Calibri" w:eastAsia="Calibri" w:hAnsi="Calibri"/>
          <w:b w:val="false"/>
          <w:bCs w:val="false"/>
          <w:i w:val="false"/>
          <w:iCs w:val="false"/>
          <w:color w:val="1A1A1A"/>
          <w:sz w:val="20"/>
          <w:szCs w:val="20"/>
        </w:rPr>
        <w:t xml:space="preserve">They are under intense time and safety pressure to move someone to the next level of care. A provider who accepts quickly and prevents readmission is gold.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units &amp; inpatient discharge want a warm handoff. </w:t>
      </w:r>
      <w:r>
        <w:rPr>
          <w:rFonts w:ascii="Calibri" w:cs="Calibri" w:eastAsia="Calibri" w:hAnsi="Calibri"/>
          <w:b w:val="false"/>
          <w:bCs w:val="false"/>
          <w:i w:val="false"/>
          <w:iCs w:val="false"/>
          <w:color w:val="1A1A1A"/>
          <w:sz w:val="20"/>
          <w:szCs w:val="20"/>
        </w:rPr>
        <w:t xml:space="preserve">They need the next level of care ready so the consumer does not fall through the gap after psychiatric stabilization.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probation want compliance and communication. </w:t>
      </w:r>
      <w:r>
        <w:rPr>
          <w:rFonts w:ascii="Calibri" w:cs="Calibri" w:eastAsia="Calibri" w:hAnsi="Calibri"/>
          <w:b w:val="false"/>
          <w:bCs w:val="false"/>
          <w:i w:val="false"/>
          <w:iCs w:val="false"/>
          <w:color w:val="1A1A1A"/>
          <w:sz w:val="20"/>
          <w:szCs w:val="20"/>
        </w:rPr>
        <w:t xml:space="preserve">They need reliable attendance and progress reporting and a provider who flags problems early.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Other providers &amp; families want trust. </w:t>
      </w:r>
      <w:r>
        <w:rPr>
          <w:rFonts w:ascii="Calibri" w:cs="Calibri" w:eastAsia="Calibri" w:hAnsi="Calibri"/>
          <w:b w:val="false"/>
          <w:bCs w:val="false"/>
          <w:i w:val="false"/>
          <w:iCs w:val="false"/>
          <w:color w:val="1A1A1A"/>
          <w:sz w:val="20"/>
          <w:szCs w:val="20"/>
        </w:rPr>
        <w:t xml:space="preserve">Competence, responsiveness, and the felt sense that the client will be safe and helped.</w:t>
      </w:r>
    </w:p>
    <w:p>
      <w:pPr>
        <w:spacing w:after="110" w:before="0" w:line="268"/>
        <w:jc w:val="left"/>
      </w:pPr>
      <w:r>
        <w:rPr>
          <w:rFonts w:ascii="Calibri" w:cs="Calibri" w:eastAsia="Calibri" w:hAnsi="Calibri"/>
          <w:b w:val="false"/>
          <w:bCs w:val="false"/>
          <w:i w:val="false"/>
          <w:iCs w:val="false"/>
          <w:color w:val="1A1A1A"/>
          <w:sz w:val="20"/>
          <w:szCs w:val="20"/>
        </w:rPr>
        <w:t xml:space="preserve">Understand the pressure each source is under and speak to it directly. A crisis clinician who needs a bed tonight does not want a sales pitch — they want to know you will accept the referral and keep the person safe.</w:t>
      </w:r>
    </w:p>
    <w:p>
      <w:pPr>
        <w:spacing w:after="110" w:before="0" w:line="268"/>
        <w:jc w:val="left"/>
      </w:pPr>
      <w:r>
        <w:rPr>
          <w:rFonts w:ascii="Calibri" w:cs="Calibri" w:eastAsia="Calibri" w:hAnsi="Calibri"/>
          <w:b w:val="false"/>
          <w:bCs w:val="false"/>
          <w:i w:val="false"/>
          <w:iCs w:val="false"/>
          <w:color w:val="1A1A1A"/>
          <w:sz w:val="20"/>
          <w:szCs w:val="20"/>
        </w:rPr>
        <w:t xml:space="preserve">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keepNext/>
        <w:spacing w:after="90" w:before="220"/>
      </w:pPr>
      <w:r>
        <w:rPr>
          <w:rFonts w:ascii="Calibri" w:cs="Calibri" w:eastAsia="Calibri" w:hAnsi="Calibri"/>
          <w:b/>
          <w:bCs/>
          <w:i w:val="false"/>
          <w:iCs w:val="false"/>
          <w:color w:val="1F3A5F"/>
          <w:sz w:val="26"/>
          <w:szCs w:val="26"/>
        </w:rPr>
        <w:t xml:space="preserve">Part 5 — How to Approach Them</w:t>
      </w:r>
    </w:p>
    <w:p>
      <w:pPr>
        <w:spacing w:after="110" w:before="0" w:line="268"/>
        <w:jc w:val="left"/>
      </w:pPr>
      <w:r>
        <w:rPr>
          <w:rFonts w:ascii="Calibri" w:cs="Calibri" w:eastAsia="Calibri" w:hAnsi="Calibri"/>
          <w:b w:val="false"/>
          <w:bCs w:val="false"/>
          <w:i w:val="false"/>
          <w:iCs w:val="false"/>
          <w:color w:val="1A1A1A"/>
          <w:sz w:val="20"/>
          <w:szCs w:val="20"/>
        </w:rPr>
        <w:t xml:space="preserve">Approach referral sources the way you would want to be approached: professionally, briefly, and with something useful. Start with the sources that matter most — your MCOs and screening centers, and the crisis and hospital teams near you — and work outward.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Do your homework: know your MCOs and DMHAS contacts, and the hospitals, screening centers, psychiatric hospitals, and courts that serve your area.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Lead with who you serve well, your endorsements, your availability, and how fast you accept a referral — not a sales pitch.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Make it effortless: a clear one-page leave-behind, your intake contact, your current openings, and your response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Be a resource, not a solicitor: share useful information and be genuinely helpful even when there is no immediate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Follow up consistently and respect their time — professionals refer to providers who are easy to work with.</w:t>
      </w:r>
    </w:p>
    <w:p>
      <w:pPr>
        <w:keepNext/>
        <w:spacing w:after="90" w:before="220"/>
      </w:pPr>
      <w:r>
        <w:rPr>
          <w:rFonts w:ascii="Calibri" w:cs="Calibri" w:eastAsia="Calibri" w:hAnsi="Calibri"/>
          <w:b/>
          <w:bCs/>
          <w:i w:val="false"/>
          <w:iCs w:val="false"/>
          <w:color w:val="1F3A5F"/>
          <w:sz w:val="26"/>
          <w:szCs w:val="26"/>
        </w:rPr>
        <w:t xml:space="preserve">Part 6 — What to Say: Scripts &amp; Messages</w:t>
      </w:r>
    </w:p>
    <w:p>
      <w:pPr>
        <w:keepNext/>
        <w:spacing w:after="60" w:before="140"/>
      </w:pPr>
      <w:r>
        <w:rPr>
          <w:rFonts w:ascii="Calibri" w:cs="Calibri" w:eastAsia="Calibri" w:hAnsi="Calibri"/>
          <w:b/>
          <w:bCs/>
          <w:i w:val="false"/>
          <w:iCs w:val="false"/>
          <w:color w:val="3E5871"/>
          <w:sz w:val="21"/>
          <w:szCs w:val="21"/>
        </w:rPr>
        <w:t xml:space="preserve">Your 20-second introduction</w:t>
      </w:r>
    </w:p>
    <w:p>
      <w:pPr>
        <w:spacing w:after="110" w:before="0" w:line="268"/>
        <w:jc w:val="left"/>
      </w:pPr>
      <w:r>
        <w:rPr>
          <w:rFonts w:ascii="Calibri" w:cs="Calibri" w:eastAsia="Calibri" w:hAnsi="Calibri"/>
          <w:b w:val="false"/>
          <w:bCs w:val="false"/>
          <w:i w:val="false"/>
          <w:iCs w:val="false"/>
          <w:color w:val="1A1A1A"/>
          <w:sz w:val="20"/>
          <w:szCs w:val="20"/>
        </w:rPr>
        <w:t xml:space="preserve">“Hi, I'm [name] with [entity name], a New Jersey community mental health provider agency in [area]. We provide [outpatient / partial care / community support services / PACT] services for adults with mental health and co-occurring needs, we're in-network with [MCO], contracted with DMHAS, and we currently have openings. I'd love to be a resource when you have a client who needs [level of care]. What's the best way to reach you when you have a referral?”</w:t>
      </w:r>
    </w:p>
    <w:p>
      <w:pPr>
        <w:keepNext/>
        <w:spacing w:after="60" w:before="140"/>
      </w:pPr>
      <w:r>
        <w:rPr>
          <w:rFonts w:ascii="Calibri" w:cs="Calibri" w:eastAsia="Calibri" w:hAnsi="Calibri"/>
          <w:b/>
          <w:bCs/>
          <w:i w:val="false"/>
          <w:iCs w:val="false"/>
          <w:color w:val="3E5871"/>
          <w:sz w:val="21"/>
          <w:szCs w:val="21"/>
        </w:rPr>
        <w:t xml:space="preserve">Your one-page leave-behind</w:t>
      </w:r>
    </w:p>
    <w:p>
      <w:pPr>
        <w:spacing w:after="110" w:before="0" w:line="268"/>
        <w:jc w:val="left"/>
      </w:pPr>
      <w:r>
        <w:rPr>
          <w:rFonts w:ascii="Calibri" w:cs="Calibri" w:eastAsia="Calibri" w:hAnsi="Calibri"/>
          <w:b w:val="false"/>
          <w:bCs w:val="false"/>
          <w:i w:val="false"/>
          <w:iCs w:val="false"/>
          <w:color w:val="1A1A1A"/>
          <w:sz w:val="20"/>
          <w:szCs w:val="20"/>
        </w:rPr>
        <w:t xml:space="preserve">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(NJ Medicaid, managed care organizations, commercial); your current availability; your intake contact and how fast you respond to a referral; and one line on what makes you reliable. Keep it factual and free of any claim you cannot back up.</w:t>
      </w:r>
    </w:p>
    <w:p>
      <w:pPr>
        <w:keepNext/>
        <w:spacing w:after="60" w:before="140"/>
      </w:pPr>
      <w:r>
        <w:rPr>
          <w:rFonts w:ascii="Calibri" w:cs="Calibri" w:eastAsia="Calibri" w:hAnsi="Calibri"/>
          <w:b/>
          <w:bCs/>
          <w:i w:val="false"/>
          <w:iCs w:val="false"/>
          <w:color w:val="3E5871"/>
          <w:sz w:val="21"/>
          <w:szCs w:val="21"/>
        </w:rPr>
        <w:t xml:space="preserve">A short introduction email you can adapt</w:t>
      </w:r>
    </w:p>
    <w:p>
      <w:pPr>
        <w:spacing w:after="110" w:before="0" w:line="268"/>
        <w:jc w:val="left"/>
      </w:pPr>
      <w:r>
        <w:rPr>
          <w:rFonts w:ascii="Calibri" w:cs="Calibri" w:eastAsia="Calibri" w:hAnsi="Calibri"/>
          <w:b w:val="false"/>
          <w:bCs w:val="false"/>
          <w:i w:val="false"/>
          <w:iCs w:val="false"/>
          <w:color w:val="1A1A1A"/>
          <w:sz w:val="20"/>
          <w:szCs w:val="20"/>
        </w:rPr>
        <w:t xml:space="preserve">“Hello [name], I'm [name] with [entity name], a New Jersey community mental health provider agency in [area], in-network with [MCO] and enrolled with NJ Medicaid.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keepNext/>
        <w:spacing w:after="90" w:before="220"/>
      </w:pPr>
      <w:r>
        <w:rPr>
          <w:rFonts w:ascii="Calibri" w:cs="Calibri" w:eastAsia="Calibri" w:hAnsi="Calibri"/>
          <w:b/>
          <w:bCs/>
          <w:i w:val="false"/>
          <w:iCs w:val="false"/>
          <w:color w:val="1F3A5F"/>
          <w:sz w:val="26"/>
          <w:szCs w:val="26"/>
        </w:rPr>
        <w:t xml:space="preserve">Part 7 — Becoming a Preferred Provider</w:t>
      </w:r>
    </w:p>
    <w:p>
      <w:pPr>
        <w:spacing w:after="110" w:before="0" w:line="268"/>
        <w:jc w:val="left"/>
      </w:pPr>
      <w:r>
        <w:rPr>
          <w:rFonts w:ascii="Calibri" w:cs="Calibri" w:eastAsia="Calibri" w:hAnsi="Calibri"/>
          <w:b w:val="false"/>
          <w:bCs w:val="false"/>
          <w:i w:val="false"/>
          <w:iCs w:val="false"/>
          <w:color w:val="1A1A1A"/>
          <w:sz w:val="20"/>
          <w:szCs w:val="20"/>
        </w:rPr>
        <w:t xml:space="preserve">Getting one referral is a start; becoming the provider a coordinator thinks of first is the goal. You earn that by making every referral easy and every professional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Accept referrals promptly and give a clear yes or no fast — speed is the single biggest driver of the next referral in behavioral health.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Give proactive updates on engagement and progress (within the bounds of 42 CFR Part 2 and HIPAA consent), and flag any problem early.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Prevent bounce-backs: a client who is safely engaged and does not return to crisis makes the referrer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Report outcomes and, for justice referrals, compliance — reliably and on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Say thank you appropriately and refer back when you can — the best relationships are two-way.</w:t>
      </w:r>
    </w:p>
    <w:p>
      <w:pPr>
        <w:spacing w:after="110" w:before="0" w:line="268"/>
        <w:jc w:val="left"/>
      </w:pPr>
      <w:r>
        <w:rPr>
          <w:rFonts w:ascii="Calibri" w:cs="Calibri" w:eastAsia="Calibri" w:hAnsi="Calibri"/>
          <w:b w:val="false"/>
          <w:bCs w:val="false"/>
          <w:i w:val="false"/>
          <w:iCs w:val="false"/>
          <w:color w:val="1A1A1A"/>
          <w:sz w:val="20"/>
          <w:szCs w:val="20"/>
        </w:rPr>
        <w:t xml:space="preserve">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A note on consent: 42 CFR Part 2 and HIPAA</w:t>
            </w:r>
          </w:p>
          <w:p>
            <w:pPr>
              <w:spacing w:after="0" w:line="264"/>
            </w:pPr>
            <w:r>
              <w:rPr>
                <w:rFonts w:ascii="Calibri" w:cs="Calibri" w:eastAsia="Calibri" w:hAnsi="Calibri"/>
                <w:b w:val="false"/>
                <w:bCs w:val="false"/>
                <w:i w:val="false"/>
                <w:iCs w:val="false"/>
                <w:color w:val="1A1A1A"/>
                <w:sz w:val="19"/>
                <w:szCs w:val="19"/>
              </w:rPr>
              <w:t xml:space="preserve">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keepNext/>
        <w:spacing w:after="90" w:before="220"/>
      </w:pPr>
      <w:r>
        <w:rPr>
          <w:rFonts w:ascii="Calibri" w:cs="Calibri" w:eastAsia="Calibri" w:hAnsi="Calibri"/>
          <w:b/>
          <w:bCs/>
          <w:i w:val="false"/>
          <w:iCs w:val="false"/>
          <w:color w:val="1F3A5F"/>
          <w:sz w:val="26"/>
          <w:szCs w:val="26"/>
        </w:rPr>
        <w:t xml:space="preserve">Part 8 — Get Found: Your Online Presence &amp; the Directories</w:t>
      </w:r>
    </w:p>
    <w:p>
      <w:pPr>
        <w:spacing w:after="110" w:before="0" w:line="268"/>
        <w:jc w:val="left"/>
      </w:pPr>
      <w:r>
        <w:rPr>
          <w:rFonts w:ascii="Calibri" w:cs="Calibri" w:eastAsia="Calibri" w:hAnsi="Calibri"/>
          <w:b w:val="false"/>
          <w:bCs w:val="false"/>
          <w:i w:val="false"/>
          <w:iCs w:val="false"/>
          <w:color w:val="1A1A1A"/>
          <w:sz w:val="20"/>
          <w:szCs w:val="20"/>
        </w:rPr>
        <w:t xml:space="preserve">When a coordinator, clinician, or family searches for a provider, you want to be found and to look credible.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the payer directories. </w:t>
      </w:r>
      <w:r>
        <w:rPr>
          <w:rFonts w:ascii="Calibri" w:cs="Calibri" w:eastAsia="Calibri" w:hAnsi="Calibri"/>
          <w:b w:val="false"/>
          <w:bCs w:val="false"/>
          <w:i w:val="false"/>
          <w:iCs w:val="false"/>
          <w:color w:val="1A1A1A"/>
          <w:sz w:val="20"/>
          <w:szCs w:val="20"/>
        </w:rPr>
        <w:t xml:space="preserve">Make sure your listing in the MCO provider directories and the DMHAS and NJMHCares resources is accurate and shows your services, openings, and intake contact.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any bed-availability / referral platform. </w:t>
      </w:r>
      <w:r>
        <w:rPr>
          <w:rFonts w:ascii="Calibri" w:cs="Calibri" w:eastAsia="Calibri" w:hAnsi="Calibri"/>
          <w:b w:val="false"/>
          <w:bCs w:val="false"/>
          <w:i w:val="false"/>
          <w:iCs w:val="false"/>
          <w:color w:val="1A1A1A"/>
          <w:sz w:val="20"/>
          <w:szCs w:val="20"/>
        </w:rPr>
        <w:t xml:space="preserve">If the crisis and hospital systems in your area use a referral or bed-tracking platform, keep your availability current in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Claim your Google Business Profile. </w:t>
      </w:r>
      <w:r>
        <w:rPr>
          <w:rFonts w:ascii="Calibri" w:cs="Calibri" w:eastAsia="Calibri" w:hAnsi="Calibri"/>
          <w:b w:val="false"/>
          <w:bCs w:val="false"/>
          <w:i w:val="false"/>
          <w:iCs w:val="false"/>
          <w:color w:val="1A1A1A"/>
          <w:sz w:val="20"/>
          <w:szCs w:val="20"/>
        </w:rPr>
        <w:t xml:space="preserve">Accurate name, location, phone, and hours so you appear in local searches.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Keep a simple, professional website. </w:t>
      </w:r>
      <w:r>
        <w:rPr>
          <w:rFonts w:ascii="Calibri" w:cs="Calibri" w:eastAsia="Calibri" w:hAnsi="Calibri"/>
          <w:b w:val="false"/>
          <w:bCs w:val="false"/>
          <w:i w:val="false"/>
          <w:iCs w:val="false"/>
          <w:color w:val="1A1A1A"/>
          <w:sz w:val="20"/>
          <w:szCs w:val="20"/>
        </w:rPr>
        <w:t xml:space="preserve">Clear on who you serve, your levels of care, your networks, and how to make a referral — a coordinator should find your intake contact in seconds.</w:t>
      </w:r>
    </w:p>
    <w:p>
      <w:pPr>
        <w:keepNext/>
        <w:spacing w:after="90" w:before="220"/>
      </w:pPr>
      <w:r>
        <w:rPr>
          <w:rFonts w:ascii="Calibri" w:cs="Calibri" w:eastAsia="Calibri" w:hAnsi="Calibri"/>
          <w:b/>
          <w:bCs/>
          <w:i w:val="false"/>
          <w:iCs w:val="false"/>
          <w:color w:val="1F3A5F"/>
          <w:sz w:val="26"/>
          <w:szCs w:val="26"/>
        </w:rPr>
        <w:t xml:space="preserve">Part 9 — The Referral System: Your Weekly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Referrals come from consistency, not bursts. Build a simple weekly rhythm and keep it: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Each week, make a set number of outreach touches — a new crisis, hospital, screening-center, or court contact, and a check-in with an existing one.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Respond to every referral inquiry the same day, whether or not you have an opening.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Update your current availability with your MCOs, DMHAS, and referral platforms.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Send one proactive update to a referring coordinator about a shared client (with proper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Log every outreach and every referral so nothing falls through the cracks (Part Three).</w:t>
      </w:r>
    </w:p>
    <w:p>
      <w:pPr>
        <w:spacing w:after="110" w:before="0" w:line="268"/>
        <w:jc w:val="left"/>
      </w:pPr>
      <w:r>
        <w:rPr>
          <w:rFonts w:ascii="Calibri" w:cs="Calibri" w:eastAsia="Calibri" w:hAnsi="Calibri"/>
          <w:b w:val="false"/>
          <w:bCs w:val="false"/>
          <w:i w:val="false"/>
          <w:iCs w:val="false"/>
          <w:color w:val="1A1A1A"/>
          <w:sz w:val="20"/>
          <w:szCs w:val="20"/>
        </w:rPr>
        <w:t xml:space="preserve">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consumer needs your level of care. Protect a small, fixed amount of time every week for outreach and follow-up, and treat it as seriously as you treat clinical care, because it is what keeps your caseload full.</w:t>
      </w:r>
    </w:p>
    <w:p>
      <w:pPr>
        <w:keepNext/>
        <w:spacing w:after="90" w:before="220"/>
      </w:pPr>
      <w:r>
        <w:rPr>
          <w:rFonts w:ascii="Calibri" w:cs="Calibri" w:eastAsia="Calibri" w:hAnsi="Calibri"/>
          <w:b/>
          <w:bCs/>
          <w:i w:val="false"/>
          <w:iCs w:val="false"/>
          <w:color w:val="1F3A5F"/>
          <w:sz w:val="26"/>
          <w:szCs w:val="26"/>
        </w:rPr>
        <w:t xml:space="preserve">Part 10 — Measure What Works and Grow</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referrals actually come from so you invest in the sources that produce them:</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For every admission, record the referral source — which MCO, screening center, hospital, crisis team, or court.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Watch which sources refer repeatedly and which never convert, and shift your time toward what works.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your response time to referrals — speed is one of the biggest drivers of the next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engagement and no-show rates by source, and review quarterly to set outreach priorities.</w:t>
      </w:r>
    </w:p>
    <w:p>
      <w:pPr>
        <w:spacing w:after="110" w:before="0" w:line="268"/>
        <w:jc w:val="left"/>
      </w:pPr>
      <w:r>
        <w:rPr>
          <w:rFonts w:ascii="Calibri" w:cs="Calibri" w:eastAsia="Calibri" w:hAnsi="Calibri"/>
          <w:b w:val="false"/>
          <w:bCs w:val="false"/>
          <w:i w:val="false"/>
          <w:iCs w:val="false"/>
          <w:color w:val="1A1A1A"/>
          <w:sz w:val="20"/>
          <w:szCs w:val="20"/>
        </w:rPr>
        <w:t xml:space="preserve">Honest tracking will surprise you. Most providers discover that a small number of sources produce the large majority of their admissions — often a screening center or an MCO, one or two hospitals or crisis teams, and a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keepNext/>
        <w:spacing w:after="90" w:before="220"/>
      </w:pPr>
      <w:r>
        <w:rPr>
          <w:rFonts w:ascii="Calibri" w:cs="Calibri" w:eastAsia="Calibri" w:hAnsi="Calibri"/>
          <w:b/>
          <w:bCs/>
          <w:i w:val="false"/>
          <w:iCs w:val="false"/>
          <w:color w:val="1F3A5F"/>
          <w:sz w:val="26"/>
          <w:szCs w:val="26"/>
        </w:rPr>
        <w:t xml:space="preserve">Part 11 — Common Mistakes (and the Legal Line)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Waiting for clients to come to you. </w:t>
      </w:r>
      <w:r>
        <w:rPr>
          <w:rFonts w:ascii="Calibri" w:cs="Calibri" w:eastAsia="Calibri" w:hAnsi="Calibri"/>
          <w:b w:val="false"/>
          <w:bCs w:val="false"/>
          <w:i w:val="false"/>
          <w:iCs w:val="false"/>
          <w:color w:val="1A1A1A"/>
          <w:sz w:val="20"/>
          <w:szCs w:val="20"/>
        </w:rPr>
        <w:t xml:space="preserve">A license does not fill a caseload; relationships with the screening-center, MCO, crisis, hospital, and court systems do.</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Being slow or hard to reach. </w:t>
      </w:r>
      <w:r>
        <w:rPr>
          <w:rFonts w:ascii="Calibri" w:cs="Calibri" w:eastAsia="Calibri" w:hAnsi="Calibri"/>
          <w:b w:val="false"/>
          <w:bCs w:val="false"/>
          <w:i w:val="false"/>
          <w:iCs w:val="false"/>
          <w:color w:val="1A1A1A"/>
          <w:sz w:val="20"/>
          <w:szCs w:val="20"/>
        </w:rPr>
        <w:t xml:space="preserve">A slow or unclear response to a referral sends the next one elsewhere — speed is everything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Going quiet after intake. </w:t>
      </w:r>
      <w:r>
        <w:rPr>
          <w:rFonts w:ascii="Calibri" w:cs="Calibri" w:eastAsia="Calibri" w:hAnsi="Calibri"/>
          <w:b w:val="false"/>
          <w:bCs w:val="false"/>
          <w:i w:val="false"/>
          <w:iCs w:val="false"/>
          <w:color w:val="1A1A1A"/>
          <w:sz w:val="20"/>
          <w:szCs w:val="20"/>
        </w:rPr>
        <w:t xml:space="preserve">No updates is how you lose a referrer; proactive, consent-based communication is how you keep one.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Over-promising on who you can serve. </w:t>
      </w:r>
      <w:r>
        <w:rPr>
          <w:rFonts w:ascii="Calibri" w:cs="Calibri" w:eastAsia="Calibri" w:hAnsi="Calibri"/>
          <w:b w:val="false"/>
          <w:bCs w:val="false"/>
          <w:i w:val="false"/>
          <w:iCs w:val="false"/>
          <w:color w:val="1A1A1A"/>
          <w:sz w:val="20"/>
          <w:szCs w:val="20"/>
        </w:rPr>
        <w:t xml:space="preserve">Accepting a client you cannot safely serve damages the trust you depend on — be honest about fit.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Paying for referrals or accepting patient brokering. </w:t>
      </w:r>
      <w:r>
        <w:rPr>
          <w:rFonts w:ascii="Calibri" w:cs="Calibri" w:eastAsia="Calibri" w:hAnsi="Calibri"/>
          <w:b w:val="false"/>
          <w:bCs w:val="false"/>
          <w:i w:val="false"/>
          <w:iCs w:val="false"/>
          <w:color w:val="1A1A1A"/>
          <w:sz w:val="20"/>
          <w:szCs w:val="20"/>
        </w:rPr>
        <w:t xml:space="preserve">Never pay or accept anything of value for a referral — the Anti-Kickback Statute and EKRA apply, EKRA even for private-pay clients. Earn referrals; never buy them.</w:t>
      </w:r>
    </w:p>
    <w:p>
      <w:r>
        <w:br w:type="page"/>
      </w:r>
    </w:p>
    <w:p>
      <w:pPr>
        <w:keepNext/>
        <w:spacing w:after="90" w:before="220"/>
      </w:pPr>
      <w:r>
        <w:rPr>
          <w:rFonts w:ascii="Calibri" w:cs="Calibri" w:eastAsia="Calibri" w:hAnsi="Calibri"/>
          <w:b/>
          <w:bCs/>
          <w:i w:val="false"/>
          <w:iCs w:val="false"/>
          <w:color w:val="1F3A5F"/>
          <w:sz w:val="26"/>
          <w:szCs w:val="26"/>
        </w:rPr>
        <w:t xml:space="preserve">Part 12 — The Referral Lifecycle &amp; the Warm Handoff</w:t>
      </w:r>
    </w:p>
    <w:p>
      <w:pPr>
        <w:spacing w:after="110" w:before="0" w:line="268"/>
        <w:jc w:val="left"/>
      </w:pPr>
      <w:r>
        <w:rPr>
          <w:rFonts w:ascii="Calibri" w:cs="Calibri" w:eastAsia="Calibri" w:hAnsi="Calibri"/>
          <w:b w:val="false"/>
          <w:bCs w:val="false"/>
          <w:i w:val="false"/>
          <w:iCs w:val="false"/>
          <w:color w:val="1A1A1A"/>
          <w:sz w:val="20"/>
          <w:szCs w:val="20"/>
        </w:rPr>
        <w:t xml:space="preserve">A referral is not a single event; it is a lifecycle, and you can lose a client at every stage. Understanding the stages — and where they break down — is what turns an occasional referral into a dependable stream.</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Inquiry. </w:t>
      </w:r>
      <w:r>
        <w:rPr>
          <w:rFonts w:ascii="Calibri" w:cs="Calibri" w:eastAsia="Calibri" w:hAnsi="Calibri"/>
          <w:b w:val="false"/>
          <w:bCs w:val="false"/>
          <w:i w:val="false"/>
          <w:iCs w:val="false"/>
          <w:color w:val="1A1A1A"/>
          <w:sz w:val="20"/>
          <w:szCs w:val="20"/>
        </w:rPr>
        <w:t xml:space="preserve">A referrer calls, emails, or sends a client. The clock starts now. The single biggest predictor of whether a referral converts is how fast you respond — practitioners who reach a referred person within 24 to 48 hours complete far more referrals than those who wait.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Screening &amp; eligibility. </w:t>
      </w:r>
      <w:r>
        <w:rPr>
          <w:rFonts w:ascii="Calibri" w:cs="Calibri" w:eastAsia="Calibri" w:hAnsi="Calibri"/>
          <w:b w:val="false"/>
          <w:bCs w:val="false"/>
          <w:i w:val="false"/>
          <w:iCs w:val="false"/>
          <w:color w:val="1A1A1A"/>
          <w:sz w:val="20"/>
          <w:szCs w:val="20"/>
        </w:rPr>
        <w:t xml:space="preserve">You quickly determine fit — level of care, payer, clinical appropriateness — and give the referrer a clear yes, no, or 'here is who I'd send them to instead.' A fast, honest answer is a gift, even when it is a no.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Admission / first appointment. </w:t>
      </w:r>
      <w:r>
        <w:rPr>
          <w:rFonts w:ascii="Calibri" w:cs="Calibri" w:eastAsia="Calibri" w:hAnsi="Calibri"/>
          <w:b w:val="false"/>
          <w:bCs w:val="false"/>
          <w:i w:val="false"/>
          <w:iCs w:val="false"/>
          <w:color w:val="1A1A1A"/>
          <w:sz w:val="20"/>
          <w:szCs w:val="20"/>
        </w:rPr>
        <w:t xml:space="preserve">You make the first step easy: a single intake contact, minimal friction, and a quick first appointment or bed offer.</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Engagement. </w:t>
      </w:r>
      <w:r>
        <w:rPr>
          <w:rFonts w:ascii="Calibri" w:cs="Calibri" w:eastAsia="Calibri" w:hAnsi="Calibri"/>
          <w:b w:val="false"/>
          <w:bCs w:val="false"/>
          <w:i w:val="false"/>
          <w:iCs w:val="false"/>
          <w:color w:val="1A1A1A"/>
          <w:sz w:val="20"/>
          <w:szCs w:val="20"/>
        </w:rPr>
        <w:t xml:space="preserve">The client actually starts and stays. Referrers watch whether the people they send you disappear or get better.</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 warm handoff at transition. </w:t>
      </w:r>
      <w:r>
        <w:rPr>
          <w:rFonts w:ascii="Calibri" w:cs="Calibri" w:eastAsia="Calibri" w:hAnsi="Calibri"/>
          <w:b w:val="false"/>
          <w:bCs w:val="false"/>
          <w:i w:val="false"/>
          <w:iCs w:val="false"/>
          <w:color w:val="1A1A1A"/>
          <w:sz w:val="20"/>
          <w:szCs w:val="20"/>
        </w:rPr>
        <w:t xml:space="preserve">When a client moves between levels of care — hospital to community, screening center to outpatient, crisis to ongoing care — you connect them directly to the next provider rather than handing them a phone number.</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The feedback loop. </w:t>
      </w:r>
      <w:r>
        <w:rPr>
          <w:rFonts w:ascii="Calibri" w:cs="Calibri" w:eastAsia="Calibri" w:hAnsi="Calibri"/>
          <w:b w:val="false"/>
          <w:bCs w:val="false"/>
          <w:i w:val="false"/>
          <w:iCs w:val="false"/>
          <w:color w:val="1A1A1A"/>
          <w:sz w:val="20"/>
          <w:szCs w:val="20"/>
        </w:rPr>
        <w:t xml:space="preserve">You close the loop with the original referrer (with proper consent) so they know the client is safe and progressing. This is what earns the next referral.</w:t>
      </w:r>
    </w:p>
    <w:p>
      <w:pPr>
        <w:keepNext/>
        <w:spacing w:after="60" w:before="140"/>
      </w:pPr>
      <w:r>
        <w:rPr>
          <w:rFonts w:ascii="Calibri" w:cs="Calibri" w:eastAsia="Calibri" w:hAnsi="Calibri"/>
          <w:b/>
          <w:bCs/>
          <w:i w:val="false"/>
          <w:iCs w:val="false"/>
          <w:color w:val="3E5871"/>
          <w:sz w:val="21"/>
          <w:szCs w:val="21"/>
        </w:rPr>
        <w:t xml:space="preserve">The warm handoff: the highest-value habit you can build</w:t>
      </w:r>
    </w:p>
    <w:p>
      <w:pPr>
        <w:spacing w:after="110" w:before="0" w:line="268"/>
        <w:jc w:val="left"/>
      </w:pPr>
      <w:r>
        <w:rPr>
          <w:rFonts w:ascii="Calibri" w:cs="Calibri" w:eastAsia="Calibri" w:hAnsi="Calibri"/>
          <w:b w:val="false"/>
          <w:bCs w:val="false"/>
          <w:i w:val="false"/>
          <w:iCs w:val="false"/>
          <w:color w:val="1A1A1A"/>
          <w:sz w:val="20"/>
          <w:szCs w:val="20"/>
        </w:rPr>
        <w:t xml:space="preserve">A warm handoff is a direct, real-time introduction of a consumer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Make the warm handoff your standard</w:t>
            </w:r>
          </w:p>
          <w:p>
            <w:pPr>
              <w:spacing w:after="0" w:line="264"/>
            </w:pPr>
            <w:r>
              <w:rPr>
                <w:rFonts w:ascii="Calibri" w:cs="Calibri" w:eastAsia="Calibri" w:hAnsi="Calibri"/>
                <w:b w:val="false"/>
                <w:bCs w:val="false"/>
                <w:i w:val="false"/>
                <w:iCs w:val="false"/>
                <w:color w:val="1A1A1A"/>
                <w:sz w:val="19"/>
                <w:szCs w:val="19"/>
              </w:rPr>
              <w:t xml:space="preserve">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keepNext/>
        <w:spacing w:after="90" w:before="220"/>
      </w:pPr>
      <w:r>
        <w:rPr>
          <w:rFonts w:ascii="Calibri" w:cs="Calibri" w:eastAsia="Calibri" w:hAnsi="Calibri"/>
          <w:b/>
          <w:bCs/>
          <w:i w:val="false"/>
          <w:iCs w:val="false"/>
          <w:color w:val="1F3A5F"/>
          <w:sz w:val="26"/>
          <w:szCs w:val="26"/>
        </w:rPr>
        <w:t xml:space="preserve">Part 13 — Running a Great First Meeting With a Referral Source</w:t>
      </w:r>
    </w:p>
    <w:p>
      <w:pPr>
        <w:spacing w:after="110" w:before="0" w:line="268"/>
        <w:jc w:val="left"/>
      </w:pPr>
      <w:r>
        <w:rPr>
          <w:rFonts w:ascii="Calibri" w:cs="Calibri" w:eastAsia="Calibri" w:hAnsi="Calibri"/>
          <w:b w:val="false"/>
          <w:bCs w:val="false"/>
          <w:i w:val="false"/>
          <w:iCs w:val="false"/>
          <w:color w:val="1A1A1A"/>
          <w:sz w:val="20"/>
          <w:szCs w:val="20"/>
        </w:rPr>
        <w:t xml:space="preserve">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Prepare. </w:t>
      </w:r>
      <w:r>
        <w:rPr>
          <w:rFonts w:ascii="Calibri" w:cs="Calibri" w:eastAsia="Calibri" w:hAnsi="Calibri"/>
          <w:b w:val="false"/>
          <w:bCs w:val="false"/>
          <w:i w:val="false"/>
          <w:iCs w:val="false"/>
          <w:color w:val="1A1A1A"/>
          <w:sz w:val="20"/>
          <w:szCs w:val="20"/>
        </w:rPr>
        <w:t xml:space="preserve">Learn what that source does, who they serve, and the pressure they are under before you walk in. Bring your one-page capabilities summary and your current openings.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Lead with their problem, not your brochure. </w:t>
      </w:r>
      <w:r>
        <w:rPr>
          <w:rFonts w:ascii="Calibri" w:cs="Calibri" w:eastAsia="Calibri" w:hAnsi="Calibri"/>
          <w:b w:val="false"/>
          <w:bCs w:val="false"/>
          <w:i w:val="false"/>
          <w:iCs w:val="false"/>
          <w:color w:val="1A1A1A"/>
          <w:sz w:val="20"/>
          <w:szCs w:val="20"/>
        </w:rPr>
        <w:t xml:space="preserve">Open with a question: 'What kind of client is hardest for you to place right now?' Then show how you solve exactly that.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specific and honest about fit. </w:t>
      </w:r>
      <w:r>
        <w:rPr>
          <w:rFonts w:ascii="Calibri" w:cs="Calibri" w:eastAsia="Calibri" w:hAnsi="Calibri"/>
          <w:b w:val="false"/>
          <w:bCs w:val="false"/>
          <w:i w:val="false"/>
          <w:iCs w:val="false"/>
          <w:color w:val="1A1A1A"/>
          <w:sz w:val="20"/>
          <w:szCs w:val="20"/>
        </w:rPr>
        <w:t xml:space="preserve">Say clearly who you serve well and who you are not right for. Referrers trust the provider who declines a poor fit far more than the one who says yes to everything.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Make the next step effortless. </w:t>
      </w:r>
      <w:r>
        <w:rPr>
          <w:rFonts w:ascii="Calibri" w:cs="Calibri" w:eastAsia="Calibri" w:hAnsi="Calibri"/>
          <w:b w:val="false"/>
          <w:bCs w:val="false"/>
          <w:i w:val="false"/>
          <w:iCs w:val="false"/>
          <w:color w:val="1A1A1A"/>
          <w:sz w:val="20"/>
          <w:szCs w:val="20"/>
        </w:rPr>
        <w:t xml:space="preserve">Leave them with one intake phone number, one email, your response-time promise, and your name. Ask exactly how they prefer to send a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Follow up within 48 hours. </w:t>
      </w:r>
      <w:r>
        <w:rPr>
          <w:rFonts w:ascii="Calibri" w:cs="Calibri" w:eastAsia="Calibri" w:hAnsi="Calibri"/>
          <w:b w:val="false"/>
          <w:bCs w:val="false"/>
          <w:i w:val="false"/>
          <w:iCs w:val="false"/>
          <w:color w:val="1A1A1A"/>
          <w:sz w:val="20"/>
          <w:szCs w:val="20"/>
        </w:rPr>
        <w:t xml:space="preserve">A short thank-you note that restates your intake contact and openings turns a pleasant meeting into a working relationship.</w:t>
      </w:r>
    </w:p>
    <w:p>
      <w:pPr>
        <w:keepNext/>
        <w:spacing w:after="90" w:before="220"/>
      </w:pPr>
      <w:r>
        <w:rPr>
          <w:rFonts w:ascii="Calibri" w:cs="Calibri" w:eastAsia="Calibri" w:hAnsi="Calibri"/>
          <w:b/>
          <w:bCs/>
          <w:i w:val="false"/>
          <w:iCs w:val="false"/>
          <w:color w:val="1F3A5F"/>
          <w:sz w:val="26"/>
          <w:szCs w:val="26"/>
        </w:rPr>
        <w:t xml:space="preserve">Part 14 — Formal Relationships Without Paying for Referrals</w:t>
      </w:r>
    </w:p>
    <w:p>
      <w:pPr>
        <w:spacing w:after="110" w:before="0" w:line="268"/>
        <w:jc w:val="left"/>
      </w:pPr>
      <w:r>
        <w:rPr>
          <w:rFonts w:ascii="Calibri" w:cs="Calibri" w:eastAsia="Calibri" w:hAnsi="Calibri"/>
          <w:b w:val="false"/>
          <w:bCs w:val="false"/>
          <w:i w:val="false"/>
          <w:iCs w:val="false"/>
          <w:color w:val="1A1A1A"/>
          <w:sz w:val="20"/>
          <w:szCs w:val="20"/>
        </w:rPr>
        <w:t xml:space="preserve">As relationships deepen, you may want something more formal — a written care-coordination agreement or memorandum of understanding (MOU) with a hospital, a screening center, a court program, or another provider. Done right, these agreements strengthen continuity of care and make you a preferred partner. Done wrong, they cross the legal line. This is where behavioral health providers get into real trouble, so read carefully.</w:t>
      </w:r>
    </w:p>
    <w:p>
      <w:pPr>
        <w:keepNext/>
        <w:spacing w:after="60" w:before="140"/>
      </w:pPr>
      <w:r>
        <w:rPr>
          <w:rFonts w:ascii="Calibri" w:cs="Calibri" w:eastAsia="Calibri" w:hAnsi="Calibri"/>
          <w:b/>
          <w:bCs/>
          <w:i w:val="false"/>
          <w:iCs w:val="false"/>
          <w:color w:val="3E5871"/>
          <w:sz w:val="21"/>
          <w:szCs w:val="21"/>
        </w:rPr>
        <w:t xml:space="preserve">What a compliant care-coordination agreement can do</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Define how two providers will communicate, share information (within 42 CFR Part 2 and HIPAA consent), and coordinate transitions and warm handoffs.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Set expectations for response times, on-call contacts, and joint treatment planning.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Describe a genuine clinical or operational relationship — not a promise to send a certain number of clients, and not any payment tied to volume of referrals.</w:t>
      </w:r>
    </w:p>
    <w:p>
      <w:pPr>
        <w:keepNext/>
        <w:spacing w:after="60" w:before="140"/>
      </w:pPr>
      <w:r>
        <w:rPr>
          <w:rFonts w:ascii="Calibri" w:cs="Calibri" w:eastAsia="Calibri" w:hAnsi="Calibri"/>
          <w:b/>
          <w:bCs/>
          <w:i w:val="false"/>
          <w:iCs w:val="false"/>
          <w:color w:val="3E5871"/>
          <w:sz w:val="21"/>
          <w:szCs w:val="21"/>
        </w:rPr>
        <w:t xml:space="preserve">Where the legal line sits — in practice</w:t>
      </w:r>
    </w:p>
    <w:p>
      <w:pPr>
        <w:spacing w:after="110" w:before="0" w:line="268"/>
        <w:jc w:val="left"/>
      </w:pPr>
      <w:r>
        <w:rPr>
          <w:rFonts w:ascii="Calibri" w:cs="Calibri" w:eastAsia="Calibri" w:hAnsi="Calibri"/>
          <w:b w:val="false"/>
          <w:bCs w:val="false"/>
          <w:i w:val="false"/>
          <w:iCs w:val="false"/>
          <w:color w:val="1A1A1A"/>
          <w:sz w:val="20"/>
          <w:szCs w:val="20"/>
        </w:rPr>
        <w:t xml:space="preserve">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Not allowed: </w:t>
      </w:r>
      <w:r>
        <w:rPr>
          <w:rFonts w:ascii="Calibri" w:cs="Calibri" w:eastAsia="Calibri" w:hAnsi="Calibri"/>
          <w:b w:val="false"/>
          <w:bCs w:val="false"/>
          <w:i w:val="false"/>
          <w:iCs w:val="false"/>
          <w:color w:val="1A1A1A"/>
          <w:sz w:val="20"/>
          <w:szCs w:val="20"/>
        </w:rPr>
        <w:t xml:space="preserve">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Allowed: </w:t>
      </w:r>
      <w:r>
        <w:rPr>
          <w:rFonts w:ascii="Calibri" w:cs="Calibri" w:eastAsia="Calibri" w:hAnsi="Calibri"/>
          <w:b w:val="false"/>
          <w:bCs w:val="false"/>
          <w:i w:val="false"/>
          <w:iCs w:val="false"/>
          <w:color w:val="1A1A1A"/>
          <w:sz w:val="20"/>
          <w:szCs w:val="20"/>
        </w:rPr>
        <w:t xml:space="preserve">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simple test</w:t>
            </w:r>
          </w:p>
          <w:p>
            <w:pPr>
              <w:spacing w:after="0" w:line="264"/>
            </w:pPr>
            <w:r>
              <w:rPr>
                <w:rFonts w:ascii="Calibri" w:cs="Calibri" w:eastAsia="Calibri" w:hAnsi="Calibri"/>
                <w:b w:val="false"/>
                <w:bCs w:val="false"/>
                <w:i w:val="false"/>
                <w:iCs w:val="false"/>
                <w:color w:val="1A1A1A"/>
                <w:sz w:val="19"/>
                <w:szCs w:val="19"/>
              </w:rPr>
              <w:t xml:space="preserve">If money or anything of value moves because a client was referred, stop and get qualified counsel before you sign or pay. Earn referrals through reliability and relationships — never buy them. A single patient-brokering charge can end a program.</w:t>
            </w:r>
          </w:p>
        </w:tc>
      </w:tr>
    </w:tbl>
    <w:p>
      <w:pPr>
        <w:keepNext/>
        <w:spacing w:after="90" w:before="220"/>
      </w:pPr>
      <w:r>
        <w:rPr>
          <w:rFonts w:ascii="Calibri" w:cs="Calibri" w:eastAsia="Calibri" w:hAnsi="Calibri"/>
          <w:b/>
          <w:bCs/>
          <w:i w:val="false"/>
          <w:iCs w:val="false"/>
          <w:color w:val="1F3A5F"/>
          <w:sz w:val="26"/>
          <w:szCs w:val="26"/>
        </w:rPr>
        <w:t xml:space="preserve">Part 15 — Your Intake &amp; Admissions Experience Is Your Referral Engine</w:t>
      </w:r>
    </w:p>
    <w:p>
      <w:pPr>
        <w:spacing w:after="110" w:before="0" w:line="268"/>
        <w:jc w:val="left"/>
      </w:pPr>
      <w:r>
        <w:rPr>
          <w:rFonts w:ascii="Calibri" w:cs="Calibri" w:eastAsia="Calibri" w:hAnsi="Calibri"/>
          <w:b w:val="false"/>
          <w:bCs w:val="false"/>
          <w:i w:val="false"/>
          <w:iCs w:val="false"/>
          <w:color w:val="1A1A1A"/>
          <w:sz w:val="20"/>
          <w:szCs w:val="20"/>
        </w:rPr>
        <w:t xml:space="preserve">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Answer fast, every time. </w:t>
      </w:r>
      <w:r>
        <w:rPr>
          <w:rFonts w:ascii="Calibri" w:cs="Calibri" w:eastAsia="Calibri" w:hAnsi="Calibri"/>
          <w:b w:val="false"/>
          <w:bCs w:val="false"/>
          <w:i w:val="false"/>
          <w:iCs w:val="false"/>
          <w:color w:val="1A1A1A"/>
          <w:sz w:val="20"/>
          <w:szCs w:val="20"/>
        </w:rPr>
        <w:t xml:space="preserve">Same-day — ideally within a couple of hours. Every unanswered call or slow response is a referral quietly going to a competitor.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Give one point of contact. </w:t>
      </w:r>
      <w:r>
        <w:rPr>
          <w:rFonts w:ascii="Calibri" w:cs="Calibri" w:eastAsia="Calibri" w:hAnsi="Calibri"/>
          <w:b w:val="false"/>
          <w:bCs w:val="false"/>
          <w:i w:val="false"/>
          <w:iCs w:val="false"/>
          <w:color w:val="1A1A1A"/>
          <w:sz w:val="20"/>
          <w:szCs w:val="20"/>
        </w:rPr>
        <w:t xml:space="preserve">A named intake person or line the referrer can reach directly, not a general voicemail. Referrers reuse the provider who is easy to reach.</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or no clearly and quickly. </w:t>
      </w:r>
      <w:r>
        <w:rPr>
          <w:rFonts w:ascii="Calibri" w:cs="Calibri" w:eastAsia="Calibri" w:hAnsi="Calibri"/>
          <w:b w:val="false"/>
          <w:bCs w:val="false"/>
          <w:i w:val="false"/>
          <w:iCs w:val="false"/>
          <w:color w:val="1A1A1A"/>
          <w:sz w:val="20"/>
          <w:szCs w:val="20"/>
        </w:rPr>
        <w:t xml:space="preserve">A fast, honest decision — even a no with a suggestion of where else to try — respects the referrer's time pressure and earns trust.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Reduce friction for the client. </w:t>
      </w:r>
      <w:r>
        <w:rPr>
          <w:rFonts w:ascii="Calibri" w:cs="Calibri" w:eastAsia="Calibri" w:hAnsi="Calibri"/>
          <w:b w:val="false"/>
          <w:bCs w:val="false"/>
          <w:i w:val="false"/>
          <w:iCs w:val="false"/>
          <w:color w:val="1A1A1A"/>
          <w:sz w:val="20"/>
          <w:szCs w:val="20"/>
        </w:rPr>
        <w:t xml:space="preserve">Simple paperwork, help with transportation and benefits, and a quick first appointment or bed offer keep the referral from falling apart at the last step.</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Close the loop. </w:t>
      </w:r>
      <w:r>
        <w:rPr>
          <w:rFonts w:ascii="Calibri" w:cs="Calibri" w:eastAsia="Calibri" w:hAnsi="Calibri"/>
          <w:b w:val="false"/>
          <w:bCs w:val="false"/>
          <w:i w:val="false"/>
          <w:iCs w:val="false"/>
          <w:color w:val="1A1A1A"/>
          <w:sz w:val="20"/>
          <w:szCs w:val="20"/>
        </w:rPr>
        <w:t xml:space="preserve">Tell the referrer you accepted, and later that the client engaged (with consent). Silence after intake is the most common way providers lose a referral source.</w:t>
      </w:r>
    </w:p>
    <w:p>
      <w:pPr>
        <w:keepNext/>
        <w:spacing w:after="90" w:before="220"/>
      </w:pPr>
      <w:r>
        <w:rPr>
          <w:rFonts w:ascii="Calibri" w:cs="Calibri" w:eastAsia="Calibri" w:hAnsi="Calibri"/>
          <w:b/>
          <w:bCs/>
          <w:i w:val="false"/>
          <w:iCs w:val="false"/>
          <w:color w:val="1F3A5F"/>
          <w:sz w:val="26"/>
          <w:szCs w:val="26"/>
        </w:rPr>
        <w:t xml:space="preserve">Part 16 — Reputation, Outcomes &amp; Accreditation</w:t>
      </w:r>
    </w:p>
    <w:p>
      <w:pPr>
        <w:spacing w:after="110" w:before="0" w:line="268"/>
        <w:jc w:val="left"/>
      </w:pPr>
      <w:r>
        <w:rPr>
          <w:rFonts w:ascii="Calibri" w:cs="Calibri" w:eastAsia="Calibri" w:hAnsi="Calibri"/>
          <w:b w:val="false"/>
          <w:bCs w:val="false"/>
          <w:i w:val="false"/>
          <w:iCs w:val="false"/>
          <w:color w:val="1A1A1A"/>
          <w:sz w:val="20"/>
          <w:szCs w:val="20"/>
        </w:rPr>
        <w:t xml:space="preserve">Over time, referrals flow toward providers with a reputation for getting results and being safe to send people to. You build that reputation deliberately.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Track and share outcomes (appropriately). </w:t>
      </w:r>
      <w:r>
        <w:rPr>
          <w:rFonts w:ascii="Calibri" w:cs="Calibri" w:eastAsia="Calibri" w:hAnsi="Calibri"/>
          <w:b w:val="false"/>
          <w:bCs w:val="false"/>
          <w:i w:val="false"/>
          <w:iCs w:val="false"/>
          <w:color w:val="1A1A1A"/>
          <w:sz w:val="20"/>
          <w:szCs w:val="20"/>
        </w:rPr>
        <w:t xml:space="preserve">Engagement rates, completion rates, and reductions in crisis or readmission are the language referrers care about. A provider who can say 'the clients you send us stay engaged' has an enormous advantage.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Manage your online reputation. </w:t>
      </w:r>
      <w:r>
        <w:rPr>
          <w:rFonts w:ascii="Calibri" w:cs="Calibri" w:eastAsia="Calibri" w:hAnsi="Calibri"/>
          <w:b w:val="false"/>
          <w:bCs w:val="false"/>
          <w:i w:val="false"/>
          <w:iCs w:val="false"/>
          <w:color w:val="1A1A1A"/>
          <w:sz w:val="20"/>
          <w:szCs w:val="20"/>
        </w:rPr>
        <w:t xml:space="preserve">Referrers and families look you up. A current, professional online presence and thoughtful responses to reviews signal that you are credible and safe.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Consider accreditation. </w:t>
      </w:r>
      <w:r>
        <w:rPr>
          <w:rFonts w:ascii="Calibri" w:cs="Calibri" w:eastAsia="Calibri" w:hAnsi="Calibri"/>
          <w:b w:val="false"/>
          <w:bCs w:val="false"/>
          <w:i w:val="false"/>
          <w:iCs w:val="false"/>
          <w:color w:val="1A1A1A"/>
          <w:sz w:val="20"/>
          <w:szCs w:val="20"/>
        </w:rPr>
        <w:t xml:space="preserve">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Never let a referred client bounce back needlessly. </w:t>
      </w:r>
      <w:r>
        <w:rPr>
          <w:rFonts w:ascii="Calibri" w:cs="Calibri" w:eastAsia="Calibri" w:hAnsi="Calibri"/>
          <w:b w:val="false"/>
          <w:bCs w:val="false"/>
          <w:i w:val="false"/>
          <w:iCs w:val="false"/>
          <w:color w:val="1A1A1A"/>
          <w:sz w:val="20"/>
          <w:szCs w:val="20"/>
        </w:rPr>
        <w:t xml:space="preserve">The strongest reputation-builder of all is simple: the people they send you get better and do not return to crisis. That makes the referrer look good — and they remember.</w:t>
      </w:r>
    </w:p>
    <w:p>
      <w:pPr>
        <w:keepNext/>
        <w:spacing w:after="90" w:before="220"/>
      </w:pPr>
      <w:r>
        <w:rPr>
          <w:rFonts w:ascii="Calibri" w:cs="Calibri" w:eastAsia="Calibri" w:hAnsi="Calibri"/>
          <w:b/>
          <w:bCs/>
          <w:i w:val="false"/>
          <w:iCs w:val="false"/>
          <w:color w:val="1F3A5F"/>
          <w:sz w:val="26"/>
          <w:szCs w:val="26"/>
        </w:rPr>
        <w:t xml:space="preserve">Part 17 — Community Education, Objections &amp; Your 12-Month Rhythm</w:t>
      </w:r>
    </w:p>
    <w:p>
      <w:pPr>
        <w:keepNext/>
        <w:spacing w:after="60" w:before="140"/>
      </w:pPr>
      <w:r>
        <w:rPr>
          <w:rFonts w:ascii="Calibri" w:cs="Calibri" w:eastAsia="Calibri" w:hAnsi="Calibri"/>
          <w:b/>
          <w:bCs/>
          <w:i w:val="false"/>
          <w:iCs w:val="false"/>
          <w:color w:val="3E5871"/>
          <w:sz w:val="21"/>
          <w:szCs w:val="21"/>
        </w:rPr>
        <w:t xml:space="preserve">Be the educator</w:t>
      </w:r>
    </w:p>
    <w:p>
      <w:pPr>
        <w:spacing w:after="110" w:before="0" w:line="268"/>
        <w:jc w:val="left"/>
      </w:pPr>
      <w:r>
        <w:rPr>
          <w:rFonts w:ascii="Calibri" w:cs="Calibri" w:eastAsia="Calibri" w:hAnsi="Calibri"/>
          <w:b w:val="false"/>
          <w:bCs w:val="false"/>
          <w:i w:val="false"/>
          <w:iCs w:val="false"/>
          <w:color w:val="1A1A1A"/>
          <w:sz w:val="20"/>
          <w:szCs w:val="20"/>
        </w:rPr>
        <w:t xml:space="preserve">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keepNext/>
        <w:spacing w:after="60" w:before="140"/>
      </w:pPr>
      <w:r>
        <w:rPr>
          <w:rFonts w:ascii="Calibri" w:cs="Calibri" w:eastAsia="Calibri" w:hAnsi="Calibri"/>
          <w:b/>
          <w:bCs/>
          <w:i w:val="false"/>
          <w:iCs w:val="false"/>
          <w:color w:val="3E5871"/>
          <w:sz w:val="21"/>
          <w:szCs w:val="21"/>
        </w:rPr>
        <w:t xml:space="preserve">Answering the objections referrers raise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 don't know if you have space.' </w:t>
      </w:r>
      <w:r>
        <w:rPr>
          <w:rFonts w:ascii="Calibri" w:cs="Calibri" w:eastAsia="Calibri" w:hAnsi="Calibri"/>
          <w:b w:val="false"/>
          <w:bCs w:val="false"/>
          <w:i w:val="false"/>
          <w:iCs w:val="false"/>
          <w:color w:val="1A1A1A"/>
          <w:sz w:val="20"/>
          <w:szCs w:val="20"/>
        </w:rPr>
        <w:t xml:space="preserve">Keep your availability current with them and in any bed or referral platform, and answer instantly when they ask.</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 not sure you take our clients / payer.' </w:t>
      </w:r>
      <w:r>
        <w:rPr>
          <w:rFonts w:ascii="Calibri" w:cs="Calibri" w:eastAsia="Calibri" w:hAnsi="Calibri"/>
          <w:b w:val="false"/>
          <w:bCs w:val="false"/>
          <w:i w:val="false"/>
          <w:iCs w:val="false"/>
          <w:color w:val="1A1A1A"/>
          <w:sz w:val="20"/>
          <w:szCs w:val="20"/>
        </w:rPr>
        <w:t xml:space="preserve">Be crystal clear about who you serve and which payers and networks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'Last time I referred somewhere, I never heard back.' </w:t>
      </w:r>
      <w:r>
        <w:rPr>
          <w:rFonts w:ascii="Calibri" w:cs="Calibri" w:eastAsia="Calibri" w:hAnsi="Calibri"/>
          <w:b w:val="false"/>
          <w:bCs w:val="false"/>
          <w:i w:val="false"/>
          <w:iCs w:val="false"/>
          <w:color w:val="1A1A1A"/>
          <w:sz w:val="20"/>
          <w:szCs w:val="20"/>
        </w:rPr>
        <w:t xml:space="preserve">Lead with your communication promise and then keep it — this is the objection you win by being different.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'Will my client actually get better?' </w:t>
      </w:r>
      <w:r>
        <w:rPr>
          <w:rFonts w:ascii="Calibri" w:cs="Calibri" w:eastAsia="Calibri" w:hAnsi="Calibri"/>
          <w:b w:val="false"/>
          <w:bCs w:val="false"/>
          <w:i w:val="false"/>
          <w:iCs w:val="false"/>
          <w:color w:val="1A1A1A"/>
          <w:sz w:val="20"/>
          <w:szCs w:val="20"/>
        </w:rPr>
        <w:t xml:space="preserve">Share your approach and outcomes honestly, and let a track record of engaged clients speak for you.</w:t>
      </w:r>
    </w:p>
    <w:p>
      <w:pPr>
        <w:keepNext/>
        <w:spacing w:after="60" w:before="140"/>
      </w:pPr>
      <w:r>
        <w:rPr>
          <w:rFonts w:ascii="Calibri" w:cs="Calibri" w:eastAsia="Calibri" w:hAnsi="Calibri"/>
          <w:b/>
          <w:bCs/>
          <w:i w:val="false"/>
          <w:iCs w:val="false"/>
          <w:color w:val="3E5871"/>
          <w:sz w:val="21"/>
          <w:szCs w:val="21"/>
        </w:rPr>
        <w:t xml:space="preserve">A twelve-month relationship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keepNext/>
        <w:spacing w:after="90" w:before="220"/>
      </w:pPr>
      <w:r>
        <w:rPr>
          <w:rFonts w:ascii="Calibri" w:cs="Calibri" w:eastAsia="Calibri" w:hAnsi="Calibri"/>
          <w:b/>
          <w:bCs/>
          <w:i w:val="false"/>
          <w:iCs w:val="false"/>
          <w:color w:val="1F3A5F"/>
          <w:sz w:val="26"/>
          <w:szCs w:val="26"/>
        </w:rPr>
        <w:t xml:space="preserve">Part 18 — Source-Type Playbooks: Each Referrer Is Different</w:t>
      </w:r>
    </w:p>
    <w:p>
      <w:pPr>
        <w:spacing w:after="110" w:before="0" w:line="268"/>
        <w:jc w:val="left"/>
      </w:pPr>
      <w:r>
        <w:rPr>
          <w:rFonts w:ascii="Calibri" w:cs="Calibri" w:eastAsia="Calibri" w:hAnsi="Calibri"/>
          <w:b w:val="false"/>
          <w:bCs w:val="false"/>
          <w:i w:val="false"/>
          <w:iCs w:val="false"/>
          <w:color w:val="1A1A1A"/>
          <w:sz w:val="20"/>
          <w:szCs w:val="20"/>
        </w:rPr>
        <w:t xml:space="preserve">A hospital discharge planner, a drug-court coordinator, a primary care clinic, and a child-welfare caseworker all send consumers — but they have different pressures, different timelines, and different definitions of a good provider. Tailor your approach to each.</w:t>
      </w:r>
    </w:p>
    <w:p>
      <w:pPr>
        <w:keepNext/>
        <w:spacing w:after="60" w:before="140"/>
      </w:pPr>
      <w:r>
        <w:rPr>
          <w:rFonts w:ascii="Calibri" w:cs="Calibri" w:eastAsia="Calibri" w:hAnsi="Calibri"/>
          <w:b/>
          <w:bCs/>
          <w:i w:val="false"/>
          <w:iCs w:val="false"/>
          <w:color w:val="3E5871"/>
          <w:sz w:val="21"/>
          <w:szCs w:val="21"/>
        </w:rPr>
        <w:t xml:space="preserve">Hospitals &amp; emergency departments</w:t>
      </w:r>
    </w:p>
    <w:p>
      <w:pPr>
        <w:spacing w:after="110" w:before="0" w:line="268"/>
        <w:jc w:val="left"/>
      </w:pPr>
      <w:r>
        <w:rPr>
          <w:rFonts w:ascii="Calibri" w:cs="Calibri" w:eastAsia="Calibri" w:hAnsi="Calibri"/>
          <w:b w:val="false"/>
          <w:bCs w:val="false"/>
          <w:i w:val="false"/>
          <w:iCs w:val="false"/>
          <w:color w:val="1A1A1A"/>
          <w:sz w:val="20"/>
          <w:szCs w:val="20"/>
        </w:rPr>
        <w:t xml:space="preserve">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keepNext/>
        <w:spacing w:after="60" w:before="140"/>
      </w:pPr>
      <w:r>
        <w:rPr>
          <w:rFonts w:ascii="Calibri" w:cs="Calibri" w:eastAsia="Calibri" w:hAnsi="Calibri"/>
          <w:b/>
          <w:bCs/>
          <w:i w:val="false"/>
          <w:iCs w:val="false"/>
          <w:color w:val="3E5871"/>
          <w:sz w:val="21"/>
          <w:szCs w:val="21"/>
        </w:rPr>
        <w:t xml:space="preserve">Courts &amp; criminal justice</w:t>
      </w:r>
    </w:p>
    <w:p>
      <w:pPr>
        <w:spacing w:after="110" w:before="0" w:line="268"/>
        <w:jc w:val="left"/>
      </w:pPr>
      <w:r>
        <w:rPr>
          <w:rFonts w:ascii="Calibri" w:cs="Calibri" w:eastAsia="Calibri" w:hAnsi="Calibri"/>
          <w:b w:val="false"/>
          <w:bCs w:val="false"/>
          <w:i w:val="false"/>
          <w:iCs w:val="false"/>
          <w:color w:val="1A1A1A"/>
          <w:sz w:val="20"/>
          <w:szCs w:val="20"/>
        </w:rPr>
        <w:t xml:space="preserve">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keepNext/>
        <w:spacing w:after="60" w:before="140"/>
      </w:pPr>
      <w:r>
        <w:rPr>
          <w:rFonts w:ascii="Calibri" w:cs="Calibri" w:eastAsia="Calibri" w:hAnsi="Calibri"/>
          <w:b/>
          <w:bCs/>
          <w:i w:val="false"/>
          <w:iCs w:val="false"/>
          <w:color w:val="3E5871"/>
          <w:sz w:val="21"/>
          <w:szCs w:val="21"/>
        </w:rPr>
        <w:t xml:space="preserve">Primary care &amp; FQHCs</w:t>
      </w:r>
    </w:p>
    <w:p>
      <w:pPr>
        <w:spacing w:after="110" w:before="0" w:line="268"/>
        <w:jc w:val="left"/>
      </w:pPr>
      <w:r>
        <w:rPr>
          <w:rFonts w:ascii="Calibri" w:cs="Calibri" w:eastAsia="Calibri" w:hAnsi="Calibri"/>
          <w:b w:val="false"/>
          <w:bCs w:val="false"/>
          <w:i w:val="false"/>
          <w:iCs w:val="false"/>
          <w:color w:val="1A1A1A"/>
          <w:sz w:val="20"/>
          <w:szCs w:val="20"/>
        </w:rPr>
        <w:t xml:space="preserve">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keepNext/>
        <w:spacing w:after="60" w:before="140"/>
      </w:pPr>
      <w:r>
        <w:rPr>
          <w:rFonts w:ascii="Calibri" w:cs="Calibri" w:eastAsia="Calibri" w:hAnsi="Calibri"/>
          <w:b/>
          <w:bCs/>
          <w:i w:val="false"/>
          <w:iCs w:val="false"/>
          <w:color w:val="3E5871"/>
          <w:sz w:val="21"/>
          <w:szCs w:val="21"/>
        </w:rPr>
        <w:t xml:space="preserve">Schools, child welfare &amp; social services</w:t>
      </w:r>
    </w:p>
    <w:p>
      <w:pPr>
        <w:spacing w:after="110" w:before="0" w:line="268"/>
        <w:jc w:val="left"/>
      </w:pPr>
      <w:r>
        <w:rPr>
          <w:rFonts w:ascii="Calibri" w:cs="Calibri" w:eastAsia="Calibri" w:hAnsi="Calibri"/>
          <w:b w:val="false"/>
          <w:bCs w:val="false"/>
          <w:i w:val="false"/>
          <w:iCs w:val="false"/>
          <w:color w:val="1A1A1A"/>
          <w:sz w:val="20"/>
          <w:szCs w:val="20"/>
        </w:rPr>
        <w:t xml:space="preserve">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keepNext/>
        <w:spacing w:after="90" w:before="220"/>
      </w:pPr>
      <w:r>
        <w:rPr>
          <w:rFonts w:ascii="Calibri" w:cs="Calibri" w:eastAsia="Calibri" w:hAnsi="Calibri"/>
          <w:b/>
          <w:bCs/>
          <w:i w:val="false"/>
          <w:iCs w:val="false"/>
          <w:color w:val="1F3A5F"/>
          <w:sz w:val="26"/>
          <w:szCs w:val="26"/>
        </w:rPr>
        <w:t xml:space="preserve">Part 19 — Your Digital Front Door</w:t>
      </w:r>
    </w:p>
    <w:p>
      <w:pPr>
        <w:spacing w:after="110" w:before="0" w:line="268"/>
        <w:jc w:val="left"/>
      </w:pPr>
      <w:r>
        <w:rPr>
          <w:rFonts w:ascii="Calibri" w:cs="Calibri" w:eastAsia="Calibri" w:hAnsi="Calibri"/>
          <w:b w:val="false"/>
          <w:bCs w:val="false"/>
          <w:i w:val="false"/>
          <w:iCs w:val="false"/>
          <w:color w:val="1A1A1A"/>
          <w:sz w:val="20"/>
          <w:szCs w:val="20"/>
        </w:rPr>
        <w:t xml:space="preserve">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Google Business Profile. </w:t>
      </w:r>
      <w:r>
        <w:rPr>
          <w:rFonts w:ascii="Calibri" w:cs="Calibri" w:eastAsia="Calibri" w:hAnsi="Calibri"/>
          <w:b w:val="false"/>
          <w:bCs w:val="false"/>
          <w:i w:val="false"/>
          <w:iCs w:val="false"/>
          <w:color w:val="1A1A1A"/>
          <w:sz w:val="20"/>
          <w:szCs w:val="20"/>
        </w:rPr>
        <w:t xml:space="preserve">Claim and complete it: accurate name, address, phone, hours, services, and photos. This is often the first thing a referrer or family sees. Keep it current and respond to reviews professionally.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Provider directories. </w:t>
      </w:r>
      <w:r>
        <w:rPr>
          <w:rFonts w:ascii="Calibri" w:cs="Calibri" w:eastAsia="Calibri" w:hAnsi="Calibri"/>
          <w:b w:val="false"/>
          <w:bCs w:val="false"/>
          <w:i w:val="false"/>
          <w:iCs w:val="false"/>
          <w:color w:val="1A1A1A"/>
          <w:sz w:val="20"/>
          <w:szCs w:val="20"/>
        </w:rPr>
        <w:t xml:space="preserve">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Payer &amp; network directories. </w:t>
      </w:r>
      <w:r>
        <w:rPr>
          <w:rFonts w:ascii="Calibri" w:cs="Calibri" w:eastAsia="Calibri" w:hAnsi="Calibri"/>
          <w:b w:val="false"/>
          <w:bCs w:val="false"/>
          <w:i w:val="false"/>
          <w:iCs w:val="false"/>
          <w:color w:val="1A1A1A"/>
          <w:sz w:val="20"/>
          <w:szCs w:val="20"/>
        </w:rPr>
        <w:t xml:space="preserve">Confirm every plan you accept lists you correctly, with current contact and availability. Coordinators filter by network first.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 website that converts. </w:t>
      </w:r>
      <w:r>
        <w:rPr>
          <w:rFonts w:ascii="Calibri" w:cs="Calibri" w:eastAsia="Calibri" w:hAnsi="Calibri"/>
          <w:b w:val="false"/>
          <w:bCs w:val="false"/>
          <w:i w:val="false"/>
          <w:iCs w:val="false"/>
          <w:color w:val="1A1A1A"/>
          <w:sz w:val="20"/>
          <w:szCs w:val="20"/>
        </w:rPr>
        <w:t xml:space="preserve">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Reputation management. </w:t>
      </w:r>
      <w:r>
        <w:rPr>
          <w:rFonts w:ascii="Calibri" w:cs="Calibri" w:eastAsia="Calibri" w:hAnsi="Calibri"/>
          <w:b w:val="false"/>
          <w:bCs w:val="false"/>
          <w:i w:val="false"/>
          <w:iCs w:val="false"/>
          <w:color w:val="1A1A1A"/>
          <w:sz w:val="20"/>
          <w:szCs w:val="20"/>
        </w:rPr>
        <w:t xml:space="preserve">Monitor your reviews, respond with professionalism and without ever confirming anyone was a client, and ask satisfied clients and families — appropriately — to share their experience. A thoughtful presence signals a safe place to send people.</w:t>
      </w:r>
    </w:p>
    <w:p>
      <w:pPr>
        <w:keepNext/>
        <w:spacing w:after="90" w:before="220"/>
      </w:pPr>
      <w:r>
        <w:rPr>
          <w:rFonts w:ascii="Calibri" w:cs="Calibri" w:eastAsia="Calibri" w:hAnsi="Calibri"/>
          <w:b/>
          <w:bCs/>
          <w:i w:val="false"/>
          <w:iCs w:val="false"/>
          <w:color w:val="1F3A5F"/>
          <w:sz w:val="26"/>
          <w:szCs w:val="26"/>
        </w:rPr>
        <w:t xml:space="preserve">Part 20 — Measuring What Matters</w:t>
      </w:r>
    </w:p>
    <w:p>
      <w:pPr>
        <w:spacing w:after="110" w:before="0" w:line="268"/>
        <w:jc w:val="left"/>
      </w:pPr>
      <w:r>
        <w:rPr>
          <w:rFonts w:ascii="Calibri" w:cs="Calibri" w:eastAsia="Calibri" w:hAnsi="Calibri"/>
          <w:b w:val="false"/>
          <w:bCs w:val="false"/>
          <w:i w:val="false"/>
          <w:iCs w:val="false"/>
          <w:color w:val="1A1A1A"/>
          <w:sz w:val="20"/>
          <w:szCs w:val="20"/>
        </w:rPr>
        <w:t xml:space="preserve">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Referrals in, by source. </w:t>
      </w:r>
      <w:r>
        <w:rPr>
          <w:rFonts w:ascii="Calibri" w:cs="Calibri" w:eastAsia="Calibri" w:hAnsi="Calibri"/>
          <w:b w:val="false"/>
          <w:bCs w:val="false"/>
          <w:i w:val="false"/>
          <w:iCs w:val="false"/>
          <w:color w:val="1A1A1A"/>
          <w:sz w:val="20"/>
          <w:szCs w:val="20"/>
        </w:rPr>
        <w:t xml:space="preserve">Count how many clients each source sends. The pattern tells you where to spend your relationship time.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Conversion rate. </w:t>
      </w:r>
      <w:r>
        <w:rPr>
          <w:rFonts w:ascii="Calibri" w:cs="Calibri" w:eastAsia="Calibri" w:hAnsi="Calibri"/>
          <w:b w:val="false"/>
          <w:bCs w:val="false"/>
          <w:i w:val="false"/>
          <w:iCs w:val="false"/>
          <w:color w:val="1A1A1A"/>
          <w:sz w:val="20"/>
          <w:szCs w:val="20"/>
        </w:rPr>
        <w:t xml:space="preserve">Of the people referred, how many actually admitted or attended? A low rate points to intake friction or slow response.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Time to first contact and to admission. </w:t>
      </w:r>
      <w:r>
        <w:rPr>
          <w:rFonts w:ascii="Calibri" w:cs="Calibri" w:eastAsia="Calibri" w:hAnsi="Calibri"/>
          <w:b w:val="false"/>
          <w:bCs w:val="false"/>
          <w:i w:val="false"/>
          <w:iCs w:val="false"/>
          <w:color w:val="1A1A1A"/>
          <w:sz w:val="20"/>
          <w:szCs w:val="20"/>
        </w:rPr>
        <w:t xml:space="preserve">Track your speed. Faster response is the single strongest lever on conversion.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Engagement / completion. </w:t>
      </w:r>
      <w:r>
        <w:rPr>
          <w:rFonts w:ascii="Calibri" w:cs="Calibri" w:eastAsia="Calibri" w:hAnsi="Calibri"/>
          <w:b w:val="false"/>
          <w:bCs w:val="false"/>
          <w:i w:val="false"/>
          <w:iCs w:val="false"/>
          <w:color w:val="1A1A1A"/>
          <w:sz w:val="20"/>
          <w:szCs w:val="20"/>
        </w:rPr>
        <w:t xml:space="preserve">Do referred clients stay and progress? This is what referrers ultimately judge you 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Loop-closure rate. </w:t>
      </w:r>
      <w:r>
        <w:rPr>
          <w:rFonts w:ascii="Calibri" w:cs="Calibri" w:eastAsia="Calibri" w:hAnsi="Calibri"/>
          <w:b w:val="false"/>
          <w:bCs w:val="false"/>
          <w:i w:val="false"/>
          <w:iCs w:val="false"/>
          <w:color w:val="1A1A1A"/>
          <w:sz w:val="20"/>
          <w:szCs w:val="20"/>
        </w:rPr>
        <w:t xml:space="preserve">How often did you actually report back to the referrer (with consent)? This predicts your repeat referrals better than almost anything else.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Run a monthly referral review</w:t>
            </w:r>
          </w:p>
          <w:p>
            <w:pPr>
              <w:spacing w:after="0" w:line="264"/>
            </w:pPr>
            <w:r>
              <w:rPr>
                <w:rFonts w:ascii="Calibri" w:cs="Calibri" w:eastAsia="Calibri" w:hAnsi="Calibri"/>
                <w:b w:val="false"/>
                <w:bCs w:val="false"/>
                <w:i w:val="false"/>
                <w:iCs w:val="false"/>
                <w:color w:val="1A1A1A"/>
                <w:sz w:val="19"/>
                <w:szCs w:val="19"/>
              </w:rPr>
              <w:t xml:space="preserve">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keepNext/>
        <w:spacing w:after="90" w:before="220"/>
      </w:pPr>
      <w:r>
        <w:rPr>
          <w:rFonts w:ascii="Calibri" w:cs="Calibri" w:eastAsia="Calibri" w:hAnsi="Calibri"/>
          <w:b/>
          <w:bCs/>
          <w:i w:val="false"/>
          <w:iCs w:val="false"/>
          <w:color w:val="1F3A5F"/>
          <w:sz w:val="26"/>
          <w:szCs w:val="26"/>
        </w:rPr>
        <w:t xml:space="preserve">Part 21 — Be the Provider Who Takes the Hard Referrals</w:t>
      </w:r>
    </w:p>
    <w:p>
      <w:pPr>
        <w:spacing w:after="110" w:before="0" w:line="268"/>
        <w:jc w:val="left"/>
      </w:pPr>
      <w:r>
        <w:rPr>
          <w:rFonts w:ascii="Calibri" w:cs="Calibri" w:eastAsia="Calibri" w:hAnsi="Calibri"/>
          <w:b w:val="false"/>
          <w:bCs w:val="false"/>
          <w:i w:val="false"/>
          <w:iCs w:val="false"/>
          <w:color w:val="1A1A1A"/>
          <w:sz w:val="20"/>
          <w:szCs w:val="20"/>
        </w:rPr>
        <w:t xml:space="preserve">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to co-occurring. </w:t>
      </w:r>
      <w:r>
        <w:rPr>
          <w:rFonts w:ascii="Calibri" w:cs="Calibri" w:eastAsia="Calibri" w:hAnsi="Calibri"/>
          <w:b w:val="false"/>
          <w:bCs w:val="false"/>
          <w:i w:val="false"/>
          <w:iCs w:val="false"/>
          <w:color w:val="1A1A1A"/>
          <w:sz w:val="20"/>
          <w:szCs w:val="20"/>
        </w:rPr>
        <w:t xml:space="preserve">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Have a clear, fast answer for complex cases. </w:t>
      </w:r>
      <w:r>
        <w:rPr>
          <w:rFonts w:ascii="Calibri" w:cs="Calibri" w:eastAsia="Calibri" w:hAnsi="Calibri"/>
          <w:b w:val="false"/>
          <w:bCs w:val="false"/>
          <w:i w:val="false"/>
          <w:iCs w:val="false"/>
          <w:color w:val="1A1A1A"/>
          <w:sz w:val="20"/>
          <w:szCs w:val="20"/>
        </w:rPr>
        <w:t xml:space="preserve">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Build the capacity that makes 'yes' possible. </w:t>
      </w:r>
      <w:r>
        <w:rPr>
          <w:rFonts w:ascii="Calibri" w:cs="Calibri" w:eastAsia="Calibri" w:hAnsi="Calibri"/>
          <w:b w:val="false"/>
          <w:bCs w:val="false"/>
          <w:i w:val="false"/>
          <w:iCs w:val="false"/>
          <w:color w:val="1A1A1A"/>
          <w:sz w:val="20"/>
          <w:szCs w:val="20"/>
        </w:rPr>
        <w:t xml:space="preserve">Staff training, medication support, language access, and warm partnerships with complementary providers are what let you accept the referrals others turn away. Each capability you add opens a new stream of clients.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Reliability on the hard cases is your best marketing</w:t>
            </w:r>
          </w:p>
          <w:p>
            <w:pPr>
              <w:spacing w:after="0" w:line="264"/>
            </w:pPr>
            <w:r>
              <w:rPr>
                <w:rFonts w:ascii="Calibri" w:cs="Calibri" w:eastAsia="Calibri" w:hAnsi="Calibri"/>
                <w:b w:val="false"/>
                <w:bCs w:val="false"/>
                <w:i w:val="false"/>
                <w:iCs w:val="false"/>
                <w:color w:val="1A1A1A"/>
                <w:sz w:val="19"/>
                <w:szCs w:val="19"/>
              </w:rPr>
              <w:t xml:space="preserve">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keepNext/>
        <w:spacing w:after="90" w:before="220"/>
      </w:pPr>
      <w:r>
        <w:rPr>
          <w:rFonts w:ascii="Calibri" w:cs="Calibri" w:eastAsia="Calibri" w:hAnsi="Calibri"/>
          <w:b/>
          <w:bCs/>
          <w:i w:val="false"/>
          <w:iCs w:val="false"/>
          <w:color w:val="1F3A5F"/>
          <w:sz w:val="26"/>
          <w:szCs w:val="26"/>
        </w:rPr>
        <w:t xml:space="preserve">Part 22 — Benefits &amp; Payer Navigation as a Referral Advantage</w:t>
      </w:r>
    </w:p>
    <w:p>
      <w:pPr>
        <w:spacing w:after="110" w:before="0" w:line="268"/>
        <w:jc w:val="left"/>
      </w:pPr>
      <w:r>
        <w:rPr>
          <w:rFonts w:ascii="Calibri" w:cs="Calibri" w:eastAsia="Calibri" w:hAnsi="Calibri"/>
          <w:b w:val="false"/>
          <w:bCs w:val="false"/>
          <w:i w:val="false"/>
          <w:iCs w:val="false"/>
          <w:color w:val="1A1A1A"/>
          <w:sz w:val="20"/>
          <w:szCs w:val="20"/>
        </w:rPr>
        <w:t xml:space="preserve">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Verify benefits fast. </w:t>
      </w:r>
      <w:r>
        <w:rPr>
          <w:rFonts w:ascii="Calibri" w:cs="Calibri" w:eastAsia="Calibri" w:hAnsi="Calibri"/>
          <w:b w:val="false"/>
          <w:bCs w:val="false"/>
          <w:i w:val="false"/>
          <w:iCs w:val="false"/>
          <w:color w:val="1A1A1A"/>
          <w:sz w:val="20"/>
          <w:szCs w:val="20"/>
        </w:rPr>
        <w:t xml:space="preserve">A quick, clear verification of coverage — what is covered, what it costs, what is authorized — keeps a referral from stalling. Referrers remember the provider who gives them a straight answer the same day.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Help with enrollment. </w:t>
      </w:r>
      <w:r>
        <w:rPr>
          <w:rFonts w:ascii="Calibri" w:cs="Calibri" w:eastAsia="Calibri" w:hAnsi="Calibri"/>
          <w:b w:val="false"/>
          <w:bCs w:val="false"/>
          <w:i w:val="false"/>
          <w:iCs w:val="false"/>
          <w:color w:val="1A1A1A"/>
          <w:sz w:val="20"/>
          <w:szCs w:val="20"/>
        </w:rPr>
        <w:t xml:space="preserve">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Know the options for the uninsured. </w:t>
      </w:r>
      <w:r>
        <w:rPr>
          <w:rFonts w:ascii="Calibri" w:cs="Calibri" w:eastAsia="Calibri" w:hAnsi="Calibri"/>
          <w:b w:val="false"/>
          <w:bCs w:val="false"/>
          <w:i w:val="false"/>
          <w:iCs w:val="false"/>
          <w:color w:val="1A1A1A"/>
          <w:sz w:val="20"/>
          <w:szCs w:val="20"/>
        </w:rPr>
        <w:t xml:space="preserve">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transparent about cost. </w:t>
      </w:r>
      <w:r>
        <w:rPr>
          <w:rFonts w:ascii="Calibri" w:cs="Calibri" w:eastAsia="Calibri" w:hAnsi="Calibri"/>
          <w:b w:val="false"/>
          <w:bCs w:val="false"/>
          <w:i w:val="false"/>
          <w:iCs w:val="false"/>
          <w:color w:val="1A1A1A"/>
          <w:sz w:val="20"/>
          <w:szCs w:val="20"/>
        </w:rPr>
        <w:t xml:space="preserve">Clear, honest information about what a client will owe builds trust with families and referrers alike, and prevents the surprise bills that damage reputations and referral relationships.</w:t>
      </w:r>
    </w:p>
    <w:p>
      <w:pPr>
        <w:keepNext/>
        <w:spacing w:after="90" w:before="220"/>
      </w:pPr>
      <w:r>
        <w:rPr>
          <w:rFonts w:ascii="Calibri" w:cs="Calibri" w:eastAsia="Calibri" w:hAnsi="Calibri"/>
          <w:b/>
          <w:bCs/>
          <w:i w:val="false"/>
          <w:iCs w:val="false"/>
          <w:color w:val="1F3A5F"/>
          <w:sz w:val="26"/>
          <w:szCs w:val="26"/>
        </w:rPr>
        <w:t xml:space="preserve">Part 23 — Ready-to-Use Outreach Scripts</w:t>
      </w:r>
    </w:p>
    <w:p>
      <w:pPr>
        <w:spacing w:after="110" w:before="0" w:line="268"/>
        <w:jc w:val="left"/>
      </w:pPr>
      <w:r>
        <w:rPr>
          <w:rFonts w:ascii="Calibri" w:cs="Calibri" w:eastAsia="Calibri" w:hAnsi="Calibri"/>
          <w:b w:val="false"/>
          <w:bCs w:val="false"/>
          <w:i w:val="false"/>
          <w:iCs w:val="false"/>
          <w:color w:val="1A1A1A"/>
          <w:sz w:val="20"/>
          <w:szCs w:val="20"/>
        </w:rPr>
        <w:t xml:space="preserve">Adapt these to your program and your voice. They are starting points for the conversations that build referral relationships — keep them short, specific, and focused on the other person's problem, never on your brochure.</w:t>
      </w:r>
    </w:p>
    <w:p>
      <w:pPr>
        <w:keepNext/>
        <w:spacing w:after="60" w:before="140"/>
      </w:pPr>
      <w:r>
        <w:rPr>
          <w:rFonts w:ascii="Calibri" w:cs="Calibri" w:eastAsia="Calibri" w:hAnsi="Calibri"/>
          <w:b/>
          <w:bCs/>
          <w:i w:val="false"/>
          <w:iCs w:val="false"/>
          <w:color w:val="3E5871"/>
          <w:sz w:val="21"/>
          <w:szCs w:val="21"/>
        </w:rPr>
        <w:t xml:space="preserve">Voicemail for a discharge planner or care coordinator</w:t>
      </w:r>
    </w:p>
    <w:p>
      <w:pPr>
        <w:spacing w:after="110" w:before="0" w:line="268"/>
        <w:jc w:val="left"/>
      </w:pPr>
      <w:r>
        <w:rPr>
          <w:rFonts w:ascii="Calibri" w:cs="Calibri" w:eastAsia="Calibri" w:hAnsi="Calibri"/>
          <w:b w:val="false"/>
          <w:bCs w:val="false"/>
          <w:i w:val="false"/>
          <w:iCs w:val="false"/>
          <w:color w:val="1A1A1A"/>
          <w:sz w:val="20"/>
          <w:szCs w:val="20"/>
        </w:rPr>
        <w:t xml:space="preserve">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keepNext/>
        <w:spacing w:after="60" w:before="140"/>
      </w:pPr>
      <w:r>
        <w:rPr>
          <w:rFonts w:ascii="Calibri" w:cs="Calibri" w:eastAsia="Calibri" w:hAnsi="Calibri"/>
          <w:b/>
          <w:bCs/>
          <w:i w:val="false"/>
          <w:iCs w:val="false"/>
          <w:color w:val="3E5871"/>
          <w:sz w:val="21"/>
          <w:szCs w:val="21"/>
        </w:rPr>
        <w:t xml:space="preserve">Introduction email to a hospital or ED social worker</w:t>
      </w:r>
    </w:p>
    <w:p>
      <w:pPr>
        <w:spacing w:after="110" w:before="0" w:line="268"/>
        <w:jc w:val="left"/>
      </w:pPr>
      <w:r>
        <w:rPr>
          <w:rFonts w:ascii="Calibri" w:cs="Calibri" w:eastAsia="Calibri" w:hAnsi="Calibri"/>
          <w:b w:val="false"/>
          <w:bCs w:val="false"/>
          <w:i w:val="false"/>
          <w:iCs w:val="false"/>
          <w:color w:val="1A1A1A"/>
          <w:sz w:val="20"/>
          <w:szCs w:val="20"/>
        </w:rPr>
        <w:t xml:space="preserve">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keepNext/>
        <w:spacing w:after="60" w:before="140"/>
      </w:pPr>
      <w:r>
        <w:rPr>
          <w:rFonts w:ascii="Calibri" w:cs="Calibri" w:eastAsia="Calibri" w:hAnsi="Calibri"/>
          <w:b/>
          <w:bCs/>
          <w:i w:val="false"/>
          <w:iCs w:val="false"/>
          <w:color w:val="3E5871"/>
          <w:sz w:val="21"/>
          <w:szCs w:val="21"/>
        </w:rPr>
        <w:t xml:space="preserve">Email to a drug-court or accountability-court coordinator</w:t>
      </w:r>
    </w:p>
    <w:p>
      <w:pPr>
        <w:spacing w:after="110" w:before="0" w:line="268"/>
        <w:jc w:val="left"/>
      </w:pPr>
      <w:r>
        <w:rPr>
          <w:rFonts w:ascii="Calibri" w:cs="Calibri" w:eastAsia="Calibri" w:hAnsi="Calibri"/>
          <w:b w:val="false"/>
          <w:bCs w:val="false"/>
          <w:i w:val="false"/>
          <w:iCs w:val="false"/>
          <w:color w:val="1A1A1A"/>
          <w:sz w:val="20"/>
          <w:szCs w:val="20"/>
        </w:rPr>
        <w:t xml:space="preserve">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keepNext/>
        <w:spacing w:after="60" w:before="140"/>
      </w:pPr>
      <w:r>
        <w:rPr>
          <w:rFonts w:ascii="Calibri" w:cs="Calibri" w:eastAsia="Calibri" w:hAnsi="Calibri"/>
          <w:b/>
          <w:bCs/>
          <w:i w:val="false"/>
          <w:iCs w:val="false"/>
          <w:color w:val="3E5871"/>
          <w:sz w:val="21"/>
          <w:szCs w:val="21"/>
        </w:rPr>
        <w:t xml:space="preserve">The reconnect script (for a source that went quiet)</w:t>
      </w:r>
    </w:p>
    <w:p>
      <w:pPr>
        <w:spacing w:after="110" w:before="0" w:line="268"/>
        <w:jc w:val="left"/>
      </w:pPr>
      <w:r>
        <w:rPr>
          <w:rFonts w:ascii="Calibri" w:cs="Calibri" w:eastAsia="Calibri" w:hAnsi="Calibri"/>
          <w:b w:val="false"/>
          <w:bCs w:val="false"/>
          <w:i w:val="false"/>
          <w:iCs w:val="false"/>
          <w:color w:val="1A1A1A"/>
          <w:sz w:val="20"/>
          <w:szCs w:val="20"/>
        </w:rPr>
        <w:t xml:space="preserve">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Referral-readiness checklist</w:t>
            </w:r>
          </w:p>
          <w:p>
            <w:pPr>
              <w:spacing w:after="0" w:line="264"/>
            </w:pPr>
            <w:r>
              <w:rPr>
                <w:rFonts w:ascii="Calibri" w:cs="Calibri" w:eastAsia="Calibri" w:hAnsi="Calibri"/>
                <w:b w:val="false"/>
                <w:bCs w:val="false"/>
                <w:i w:val="false"/>
                <w:iCs w:val="false"/>
                <w:color w:val="1A1A1A"/>
                <w:sz w:val="19"/>
                <w:szCs w:val="19"/>
              </w:rPr>
              <w:t xml:space="preserve">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keepNext/>
        <w:spacing w:after="90" w:before="220"/>
      </w:pPr>
      <w:r>
        <w:rPr>
          <w:rFonts w:ascii="Calibri" w:cs="Calibri" w:eastAsia="Calibri" w:hAnsi="Calibri"/>
          <w:b/>
          <w:bCs/>
          <w:i w:val="false"/>
          <w:iCs w:val="false"/>
          <w:color w:val="1F3A5F"/>
          <w:sz w:val="26"/>
          <w:szCs w:val="26"/>
        </w:rPr>
        <w:t xml:space="preserve">Building Your Referral Story: What Makes You the Reliable Choice</w:t>
      </w:r>
    </w:p>
    <w:p>
      <w:pPr>
        <w:spacing w:after="110" w:before="0" w:line="268"/>
        <w:jc w:val="left"/>
      </w:pPr>
      <w:r>
        <w:rPr>
          <w:rFonts w:ascii="Calibri" w:cs="Calibri" w:eastAsia="Calibri" w:hAnsi="Calibri"/>
          <w:b w:val="false"/>
          <w:bCs w:val="false"/>
          <w:i w:val="false"/>
          <w:iCs w:val="false"/>
          <w:color w:val="1A1A1A"/>
          <w:sz w:val="20"/>
          <w:szCs w:val="20"/>
        </w:rPr>
        <w:t xml:space="preserve">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spacing w:after="110" w:before="0" w:line="268"/>
        <w:jc w:val="left"/>
      </w:pPr>
      <w:r>
        <w:rPr>
          <w:rFonts w:ascii="Calibri" w:cs="Calibri" w:eastAsia="Calibri" w:hAnsi="Calibri"/>
          <w:b w:val="false"/>
          <w:bCs w:val="false"/>
          <w:i w:val="false"/>
          <w:iCs w:val="false"/>
          <w:color w:val="1A1A1A"/>
          <w:sz w:val="20"/>
          <w:szCs w:val="20"/>
        </w:rPr>
        <w:t xml:space="preserve">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spacing w:after="110" w:before="0" w:line="268"/>
        <w:jc w:val="left"/>
      </w:pPr>
      <w:r>
        <w:rPr>
          <w:rFonts w:ascii="Calibri" w:cs="Calibri" w:eastAsia="Calibri" w:hAnsi="Calibri"/>
          <w:b w:val="false"/>
          <w:bCs w:val="false"/>
          <w:i w:val="false"/>
          <w:iCs w:val="false"/>
          <w:color w:val="1A1A1A"/>
          <w:sz w:val="20"/>
          <w:szCs w:val="20"/>
        </w:rPr>
        <w:t xml:space="preserve">Write your referral story down, make sure everyone who answers your intake line can express it, and keep it current as your services grow. Then let everything you do prove it true.</w:t>
      </w:r>
    </w:p>
    <w:p>
      <w:pPr>
        <w:keepNext/>
        <w:spacing w:after="90" w:before="220"/>
      </w:pPr>
      <w:r>
        <w:rPr>
          <w:rFonts w:ascii="Calibri" w:cs="Calibri" w:eastAsia="Calibri" w:hAnsi="Calibri"/>
          <w:b/>
          <w:bCs/>
          <w:i w:val="false"/>
          <w:iCs w:val="false"/>
          <w:color w:val="1F3A5F"/>
          <w:sz w:val="26"/>
          <w:szCs w:val="26"/>
        </w:rPr>
        <w:t xml:space="preserve">Your First 90 Days: An Outreach Action Plan</w:t>
      </w:r>
    </w:p>
    <w:p>
      <w:pPr>
        <w:spacing w:after="110" w:before="0" w:line="268"/>
        <w:jc w:val="left"/>
      </w:pPr>
      <w:r>
        <w:rPr>
          <w:rFonts w:ascii="Calibri" w:cs="Calibri" w:eastAsia="Calibri" w:hAnsi="Calibri"/>
          <w:b w:val="false"/>
          <w:bCs w:val="false"/>
          <w:i w:val="false"/>
          <w:iCs w:val="false"/>
          <w:color w:val="1A1A1A"/>
          <w:sz w:val="20"/>
          <w:szCs w:val="20"/>
        </w:rPr>
        <w:t xml:space="preserve">If you are opening or newly licensed, here is a concrete way to build your referral base in the first ninety days: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Weeks 1–2: get in-network. </w:t>
      </w:r>
      <w:r>
        <w:rPr>
          <w:rFonts w:ascii="Calibri" w:cs="Calibri" w:eastAsia="Calibri" w:hAnsi="Calibri"/>
          <w:b w:val="false"/>
          <w:bCs w:val="false"/>
          <w:i w:val="false"/>
          <w:iCs w:val="false"/>
          <w:color w:val="1A1A1A"/>
          <w:sz w:val="20"/>
          <w:szCs w:val="20"/>
        </w:rPr>
        <w:t xml:space="preserve">Confirm your NJ Medicaid enrollment, your MCO contracts and credentialing, and your DMHAS contract, and make sure your directory listings are accurate.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Weeks 2–4: map your region. </w:t>
      </w:r>
      <w:r>
        <w:rPr>
          <w:rFonts w:ascii="Calibri" w:cs="Calibri" w:eastAsia="Calibri" w:hAnsi="Calibri"/>
          <w:b w:val="false"/>
          <w:bCs w:val="false"/>
          <w:i w:val="false"/>
          <w:iCs w:val="false"/>
          <w:color w:val="1A1A1A"/>
          <w:sz w:val="20"/>
          <w:szCs w:val="20"/>
        </w:rPr>
        <w:t xml:space="preserve">Identify the crisis and screening centers, hospitals and EDs, psychiatric hospitals, courts, and other providers near you — use the directory in Part Two.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Weeks 3–6: introduce yourself to the crisis and hospital teams. </w:t>
      </w:r>
      <w:r>
        <w:rPr>
          <w:rFonts w:ascii="Calibri" w:cs="Calibri" w:eastAsia="Calibri" w:hAnsi="Calibri"/>
          <w:b w:val="false"/>
          <w:bCs w:val="false"/>
          <w:i w:val="false"/>
          <w:iCs w:val="false"/>
          <w:color w:val="1A1A1A"/>
          <w:sz w:val="20"/>
          <w:szCs w:val="20"/>
        </w:rPr>
        <w:t xml:space="preserve">Reach out with your one-page leave-behind, your openings, and your response time.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Weeks 5–8: build hospital and court relationships. </w:t>
      </w:r>
      <w:r>
        <w:rPr>
          <w:rFonts w:ascii="Calibri" w:cs="Calibri" w:eastAsia="Calibri" w:hAnsi="Calibri"/>
          <w:b w:val="false"/>
          <w:bCs w:val="false"/>
          <w:i w:val="false"/>
          <w:iCs w:val="false"/>
          <w:color w:val="1A1A1A"/>
          <w:sz w:val="20"/>
          <w:szCs w:val="20"/>
        </w:rPr>
        <w:t xml:space="preserve">Meet the psychiatric hospitals and screening centers and, if you serve justice-involved consumers, the mental health courts and probation.</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Weeks 8–12: deepen and follow up. </w:t>
      </w:r>
      <w:r>
        <w:rPr>
          <w:rFonts w:ascii="Calibri" w:cs="Calibri" w:eastAsia="Calibri" w:hAnsi="Calibri"/>
          <w:b w:val="false"/>
          <w:bCs w:val="false"/>
          <w:i w:val="false"/>
          <w:iCs w:val="false"/>
          <w:color w:val="1A1A1A"/>
          <w:sz w:val="20"/>
          <w:szCs w:val="20"/>
        </w:rPr>
        <w:t xml:space="preserve">Check back in with everyone you met, respond instantly to any referral, and start your weekly rhythm and tracking so nothing slips.</w:t>
      </w:r>
    </w:p>
    <w:p>
      <w:pPr>
        <w:spacing w:after="110" w:before="0" w:line="268"/>
        <w:jc w:val="left"/>
      </w:pPr>
      <w:r>
        <w:rPr>
          <w:rFonts w:ascii="Calibri" w:cs="Calibri" w:eastAsia="Calibri" w:hAnsi="Calibri"/>
          <w:b w:val="false"/>
          <w:bCs w:val="false"/>
          <w:i w:val="false"/>
          <w:iCs w:val="false"/>
          <w:color w:val="1A1A1A"/>
          <w:sz w:val="20"/>
          <w:szCs w:val="20"/>
        </w:rPr>
        <w:t xml:space="preserve">By the end of ninety days you will not have every relationship you need, but you will have introduced yourself to the sources that matter most and started the habits that fill a caseload over the long run. Keep going — in this business, consistency is the whole strategy.</w:t>
      </w:r>
    </w:p>
    <w:p>
      <w:r>
        <w:br w:type="page"/>
      </w:r>
    </w:p>
    <w:p>
      <w:pPr>
        <w:keepNext/>
        <w:spacing w:after="90" w:before="220"/>
      </w:pPr>
      <w:r>
        <w:rPr>
          <w:rFonts w:ascii="Calibri" w:cs="Calibri" w:eastAsia="Calibri" w:hAnsi="Calibri"/>
          <w:b/>
          <w:bCs/>
          <w:i w:val="false"/>
          <w:iCs w:val="false"/>
          <w:color w:val="1F3A5F"/>
          <w:sz w:val="26"/>
          <w:szCs w:val="26"/>
        </w:rPr>
        <w:t xml:space="preserve">Part Two — The New Jersey Mental Health Referral Directory</w:t>
      </w:r>
    </w:p>
    <w:p>
      <w:pPr>
        <w:spacing w:after="110" w:before="0" w:line="268"/>
        <w:jc w:val="left"/>
      </w:pPr>
      <w:r>
        <w:rPr>
          <w:rFonts w:ascii="Calibri" w:cs="Calibri" w:eastAsia="Calibri" w:hAnsi="Calibri"/>
          <w:b w:val="false"/>
          <w:bCs w:val="false"/>
          <w:i w:val="false"/>
          <w:iCs w:val="false"/>
          <w:color w:val="1A1A1A"/>
          <w:sz w:val="20"/>
          <w:szCs w:val="20"/>
        </w:rPr>
        <w:t xml:space="preserve">These are the New Jersey sources a mental health provider builds relationships with, organized statewide and then by metro with verified named partners. Contacts change — confirm each before you rely on it, and treat this as a starting map, not a guarantee.</w:t>
      </w:r>
    </w:p>
    <w:p>
      <w:pPr>
        <w:keepNext/>
        <w:spacing w:after="60" w:before="150"/>
      </w:pPr>
      <w:r>
        <w:rPr>
          <w:rFonts w:ascii="Calibri" w:cs="Calibri" w:eastAsia="Calibri" w:hAnsi="Calibri"/>
          <w:b/>
          <w:bCs/>
          <w:i w:val="false"/>
          <w:iCs w:val="false"/>
          <w:color w:val="3E5871"/>
          <w:sz w:val="20"/>
          <w:szCs w:val="20"/>
        </w:rPr>
        <w:t xml:space="preserve">Statewide — start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&amp; the screening/crisis system — the statewide access points. </w:t>
      </w:r>
      <w:r>
        <w:rPr>
          <w:rFonts w:ascii="Calibri" w:cs="Calibri" w:eastAsia="Calibri" w:hAnsi="Calibri"/>
          <w:b w:val="false"/>
          <w:bCs w:val="false"/>
          <w:i w:val="false"/>
          <w:iCs w:val="false"/>
          <w:color w:val="1A1A1A"/>
          <w:sz w:val="20"/>
          <w:szCs w:val="20"/>
        </w:rPr>
        <w:t xml:space="preserve">The 988 Suicide and Crisis Lifeline (call or text 988), the county designated psychiatric emergency screening centers, and mobile mental health crisis teams connect New Jerseyans to mental health care around the clock and dispatch crisis response. Make sure your listings and availability are current and your screening center knows what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NJ Medicaid, NJ FamilyCare &amp; the MCOs — in-network first. </w:t>
      </w:r>
      <w:r>
        <w:rPr>
          <w:rFonts w:ascii="Calibri" w:cs="Calibri" w:eastAsia="Calibri" w:hAnsi="Calibri"/>
          <w:b w:val="false"/>
          <w:bCs w:val="false"/>
          <w:i w:val="false"/>
          <w:iCs w:val="false"/>
          <w:color w:val="1A1A1A"/>
          <w:sz w:val="20"/>
          <w:szCs w:val="20"/>
        </w:rPr>
        <w:t xml:space="preserve">New Jersey's community mental health benefit runs through NJ Medicaid and NJ FamilyCare and the managed care organizations, alongside DMHAS state contracts. Enroll as a NJ Medicaid provider and contract and credential with the MCOs serving your area, and hold your DMHAS contract — they are who send paid referrals.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County government &amp; DMHAS funding. </w:t>
      </w:r>
      <w:r>
        <w:rPr>
          <w:rFonts w:ascii="Calibri" w:cs="Calibri" w:eastAsia="Calibri" w:hAnsi="Calibri"/>
          <w:b w:val="false"/>
          <w:bCs w:val="false"/>
          <w:i w:val="false"/>
          <w:iCs w:val="false"/>
          <w:color w:val="1A1A1A"/>
          <w:sz w:val="20"/>
          <w:szCs w:val="20"/>
        </w:rPr>
        <w:t xml:space="preserve">Each county's mental health board and human services office, and the county screening center, plan and coordinate services locally, and DMHAS funds and contracts the community mental health safety net alongside Medicaid. Know your county mental health office and your DMHAS contacts — they shape what gets funded and referred in your area. nj.gov/humanservices/dmhas.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DMHAS &amp; licensing. </w:t>
      </w:r>
      <w:r>
        <w:rPr>
          <w:rFonts w:ascii="Calibri" w:cs="Calibri" w:eastAsia="Calibri" w:hAnsi="Calibri"/>
          <w:b w:val="false"/>
          <w:bCs w:val="false"/>
          <w:i w:val="false"/>
          <w:iCs w:val="false"/>
          <w:color w:val="1A1A1A"/>
          <w:sz w:val="20"/>
          <w:szCs w:val="20"/>
        </w:rPr>
        <w:t xml:space="preserve">Community mental health services are delivered under the Community Mental Health Services Act (N.J.S.A. 30:9A) and the DMHAS service standards at N.J.A.C. 10:37 — outpatient (10:37E), partial care (10:37F), community support services (10:37B), and PACT (10:37J) — with facility licensure under N.J.A.C. 8:121. nj.gov/humanservices/dmhas.</w:t>
      </w:r>
    </w:p>
    <w:p>
      <w:pPr>
        <w:keepNext/>
        <w:spacing w:after="60" w:before="150"/>
      </w:pPr>
      <w:r>
        <w:rPr>
          <w:rFonts w:ascii="Calibri" w:cs="Calibri" w:eastAsia="Calibri" w:hAnsi="Calibri"/>
          <w:b/>
          <w:bCs/>
          <w:i w:val="false"/>
          <w:iCs w:val="false"/>
          <w:color w:val="3E5871"/>
          <w:sz w:val="20"/>
          <w:szCs w:val="20"/>
        </w:rPr>
        <w:t xml:space="preserve">Newark / Essex County — verified named partners</w:t>
      </w:r>
    </w:p>
    <w:p>
      <w:pPr>
        <w:spacing w:after="60"/>
      </w:pPr>
      <w:r>
        <w:rPr>
          <w:rFonts w:ascii="Calibri" w:cs="Calibri" w:eastAsia="Calibri" w:hAnsi="Calibri"/>
          <w:b/>
          <w:bCs/>
          <w:i w:val="false"/>
          <w:iCs w:val="false"/>
          <w:color w:val="1F3A5F"/>
          <w:sz w:val="19"/>
          <w:szCs w:val="19"/>
        </w:rPr>
        <w:t xml:space="preserve">Community mental health &amp; crisis services</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Rutgers University Behavioral Health Care (Certified Community Behavioral Health Clinic — outpatient, crisis &amp; psychiatric services)</w:t>
      </w:r>
      <w:r>
        <w:rPr>
          <w:rFonts w:ascii="Calibri" w:cs="Calibri" w:eastAsia="Calibri" w:hAnsi="Calibri"/>
          <w:b w:val="false"/>
          <w:bCs w:val="false"/>
          <w:i w:val="false"/>
          <w:iCs w:val="false"/>
          <w:color w:val="555555"/>
          <w:sz w:val="18"/>
          <w:szCs w:val="18"/>
        </w:rPr>
        <w:t xml:space="preserve">  —  183 South Orange Avenue, Newark, NJ 07103</w:t>
      </w:r>
      <w:r>
        <w:rPr>
          <w:rFonts w:ascii="Calibri" w:cs="Calibri" w:eastAsia="Calibri" w:hAnsi="Calibri"/>
          <w:b w:val="false"/>
          <w:bCs w:val="false"/>
          <w:i w:val="false"/>
          <w:iCs w:val="false"/>
          <w:color w:val="3E5871"/>
          <w:sz w:val="18"/>
          <w:szCs w:val="18"/>
        </w:rPr>
        <w:t xml:space="preserve">  ·  973-972-6100</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Rutgers UBHC — University Hospital Psychiatric Emergency Screening Center (24/7 crisis screening)</w:t>
      </w:r>
      <w:r>
        <w:rPr>
          <w:rFonts w:ascii="Calibri" w:cs="Calibri" w:eastAsia="Calibri" w:hAnsi="Calibri"/>
          <w:b w:val="false"/>
          <w:bCs w:val="false"/>
          <w:i w:val="false"/>
          <w:iCs w:val="false"/>
          <w:color w:val="555555"/>
          <w:sz w:val="18"/>
          <w:szCs w:val="18"/>
        </w:rPr>
        <w:t xml:space="preserve">  —  150 Bergen Street, Newark, NJ 07103</w:t>
      </w:r>
      <w:r>
        <w:rPr>
          <w:rFonts w:ascii="Calibri" w:cs="Calibri" w:eastAsia="Calibri" w:hAnsi="Calibri"/>
          <w:b w:val="false"/>
          <w:bCs w:val="false"/>
          <w:i w:val="false"/>
          <w:iCs w:val="false"/>
          <w:color w:val="3E5871"/>
          <w:sz w:val="18"/>
          <w:szCs w:val="18"/>
        </w:rPr>
        <w:t xml:space="preserve">  ·  973-623-2323</w:t>
      </w:r>
    </w:p>
    <w:p>
      <w:pPr>
        <w:keepNext/>
        <w:spacing w:after="60" w:before="150"/>
      </w:pPr>
      <w:r>
        <w:rPr>
          <w:rFonts w:ascii="Calibri" w:cs="Calibri" w:eastAsia="Calibri" w:hAnsi="Calibri"/>
          <w:b/>
          <w:bCs/>
          <w:i w:val="false"/>
          <w:iCs w:val="false"/>
          <w:color w:val="3E5871"/>
          <w:sz w:val="20"/>
          <w:szCs w:val="20"/>
        </w:rPr>
        <w:t xml:space="preserve">Camden / South Jersey — verified named partners</w:t>
      </w:r>
    </w:p>
    <w:p>
      <w:pPr>
        <w:spacing w:after="60"/>
      </w:pPr>
      <w:r>
        <w:rPr>
          <w:rFonts w:ascii="Calibri" w:cs="Calibri" w:eastAsia="Calibri" w:hAnsi="Calibri"/>
          <w:b/>
          <w:bCs/>
          <w:i w:val="false"/>
          <w:iCs w:val="false"/>
          <w:color w:val="1F3A5F"/>
          <w:sz w:val="19"/>
          <w:szCs w:val="19"/>
        </w:rPr>
        <w:t xml:space="preserve">Community mental health &amp; crisis services</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Oaks Integrated Care (community mental health, PACT, EISS &amp; jail diversion — South Jersey)</w:t>
      </w:r>
      <w:r>
        <w:rPr>
          <w:rFonts w:ascii="Calibri" w:cs="Calibri" w:eastAsia="Calibri" w:hAnsi="Calibri"/>
          <w:b w:val="false"/>
          <w:bCs w:val="false"/>
          <w:i w:val="false"/>
          <w:iCs w:val="false"/>
          <w:color w:val="555555"/>
          <w:sz w:val="18"/>
          <w:szCs w:val="18"/>
        </w:rPr>
        <w:t xml:space="preserve">  —  1409 Kings Highway North, Cherry Hill, NJ 08034</w:t>
      </w:r>
      <w:r>
        <w:rPr>
          <w:rFonts w:ascii="Calibri" w:cs="Calibri" w:eastAsia="Calibri" w:hAnsi="Calibri"/>
          <w:b w:val="false"/>
          <w:bCs w:val="false"/>
          <w:i w:val="false"/>
          <w:iCs w:val="false"/>
          <w:color w:val="3E5871"/>
          <w:sz w:val="18"/>
          <w:szCs w:val="18"/>
        </w:rPr>
        <w:t xml:space="preserve">  ·  856-482-8747</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South Jersey Behavioral Health Resources, Inc. (community mental health &amp; crisis services)</w:t>
      </w:r>
      <w:r>
        <w:rPr>
          <w:rFonts w:ascii="Calibri" w:cs="Calibri" w:eastAsia="Calibri" w:hAnsi="Calibri"/>
          <w:b w:val="false"/>
          <w:bCs w:val="false"/>
          <w:i w:val="false"/>
          <w:iCs w:val="false"/>
          <w:color w:val="555555"/>
          <w:sz w:val="18"/>
          <w:szCs w:val="18"/>
        </w:rPr>
        <w:t xml:space="preserve">  —  400 Market Street, Camden, NJ 08102</w:t>
      </w:r>
      <w:r>
        <w:rPr>
          <w:rFonts w:ascii="Calibri" w:cs="Calibri" w:eastAsia="Calibri" w:hAnsi="Calibri"/>
          <w:b w:val="false"/>
          <w:bCs w:val="false"/>
          <w:i w:val="false"/>
          <w:iCs w:val="false"/>
          <w:color w:val="3E5871"/>
          <w:sz w:val="18"/>
          <w:szCs w:val="18"/>
        </w:rPr>
        <w:t xml:space="preserve">  ·  856-361-2700</w:t>
      </w:r>
    </w:p>
    <w:p>
      <w:pPr>
        <w:pBdr>
          <w:top w:val="single" w:color="9DB1C7" w:sz="4" w:space="6"/>
        </w:pBdr>
        <w:spacing w:after="0" w:before="140"/>
      </w:pPr>
      <w:r>
        <w:rPr>
          <w:rFonts w:ascii="Calibri" w:cs="Calibri" w:eastAsia="Calibri" w:hAnsi="Calibri"/>
          <w:b w:val="false"/>
          <w:bCs w:val="false"/>
          <w:i/>
          <w:iCs/>
          <w:color w:val="555555"/>
          <w:sz w:val="17"/>
          <w:szCs w:val="17"/>
        </w:rPr>
        <w:t xml:space="preserve">Verify every contact before you rely on it. Named partners are potential referral relationships, not endorsements or guarantees of referrals, and listing is not affiliation.</w:t>
      </w:r>
    </w:p>
    <w:p>
      <w:r>
        <w:br w:type="page"/>
      </w:r>
    </w:p>
    <w:p>
      <w:pPr>
        <w:keepNext/>
        <w:spacing w:after="90" w:before="220"/>
      </w:pPr>
      <w:r>
        <w:rPr>
          <w:rFonts w:ascii="Calibri" w:cs="Calibri" w:eastAsia="Calibri" w:hAnsi="Calibri"/>
          <w:b/>
          <w:bCs/>
          <w:i w:val="false"/>
          <w:iCs w:val="false"/>
          <w:color w:val="1F3A5F"/>
          <w:sz w:val="26"/>
          <w:szCs w:val="26"/>
        </w:rPr>
        <w:t xml:space="preserve">Part Three — The Referral Toolkit</w:t>
      </w:r>
    </w:p>
    <w:p>
      <w:pPr>
        <w:spacing w:after="110" w:before="0" w:line="268"/>
        <w:jc w:val="left"/>
      </w:pPr>
      <w:r>
        <w:rPr>
          <w:rFonts w:ascii="Calibri" w:cs="Calibri" w:eastAsia="Calibri" w:hAnsi="Calibri"/>
          <w:b w:val="false"/>
          <w:bCs w:val="false"/>
          <w:i w:val="false"/>
          <w:iCs w:val="false"/>
          <w:color w:val="1A1A1A"/>
          <w:sz w:val="20"/>
          <w:szCs w:val="20"/>
        </w:rPr>
        <w:t xml:space="preserve">Use these worksheets to run your referral system week to week. Print them, or copy them into your own tracker.</w:t>
      </w:r>
    </w:p>
    <w:p>
      <w:pPr>
        <w:keepNext/>
        <w:shd w:fill="1F3A5F" w:val="clear"/>
        <w:spacing w:after="100" w:before="40"/>
      </w:pPr>
      <w:r>
        <w:rPr>
          <w:rFonts w:ascii="Calibri" w:cs="Calibri" w:eastAsia="Calibri" w:hAnsi="Calibri"/>
          <w:b/>
          <w:bCs/>
          <w:i w:val="false"/>
          <w:iCs w:val="false"/>
          <w:color w:val="FFFFFF"/>
          <w:sz w:val="22"/>
          <w:szCs w:val="22"/>
        </w:rPr>
        <w:t xml:space="preserve">  Priority Referral Partner Target List  </w:t>
      </w:r>
    </w:p>
    <w:p>
      <w:pPr>
        <w:spacing w:after="110" w:before="0" w:line="268"/>
        <w:jc w:val="left"/>
      </w:pPr>
      <w:r>
        <w:rPr>
          <w:rFonts w:ascii="Calibri" w:cs="Calibri" w:eastAsia="Calibri" w:hAnsi="Calibri"/>
          <w:b w:val="false"/>
          <w:bCs w:val="false"/>
          <w:i w:val="false"/>
          <w:iCs w:val="false"/>
          <w:color w:val="1A1A1A"/>
          <w:sz w:val="20"/>
          <w:szCs w:val="20"/>
        </w:rPr>
        <w:t xml:space="preserve">List the sources you most want relationships with, by category, and plan your first contact.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Source (name)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Type (screening / MCO / crisis / hospital / court)</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First contact &amp; date</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Payer &amp; Network Contracting Map  </w:t>
      </w:r>
    </w:p>
    <w:p>
      <w:pPr>
        <w:spacing w:after="110" w:before="0" w:line="268"/>
        <w:jc w:val="left"/>
      </w:pPr>
      <w:r>
        <w:rPr>
          <w:rFonts w:ascii="Calibri" w:cs="Calibri" w:eastAsia="Calibri" w:hAnsi="Calibri"/>
          <w:b w:val="false"/>
          <w:bCs w:val="false"/>
          <w:i w:val="false"/>
          <w:iCs w:val="false"/>
          <w:color w:val="1A1A1A"/>
          <w:sz w:val="20"/>
          <w:szCs w:val="20"/>
        </w:rPr>
        <w:t xml:space="preserve">Track your in-network status — being contracted is what lets clients be sent to you.</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760"/>
        <w:gridCol w:w="3200"/>
        <w:gridCol w:w="2400"/>
      </w:tblGrid>
      <w:tr>
        <w:trPr>
          <w:tblHeader/>
        </w:trPr>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Payer / network (NJ Medicaid, managed care organizations, commercial)</w:t>
            </w:r>
          </w:p>
        </w:tc>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Status (enrolled / contracted / pending)</w:t>
            </w:r>
          </w:p>
        </w:tc>
        <w:tc>
          <w:tcPr>
            <w:tcW w:type="dxa" w:w="24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Next step &amp; date</w:t>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Outreach Contact Log  </w:t>
      </w:r>
    </w:p>
    <w:p>
      <w:pPr>
        <w:spacing w:after="110" w:before="0" w:line="268"/>
        <w:jc w:val="left"/>
      </w:pPr>
      <w:r>
        <w:rPr>
          <w:rFonts w:ascii="Calibri" w:cs="Calibri" w:eastAsia="Calibri" w:hAnsi="Calibri"/>
          <w:b w:val="false"/>
          <w:bCs w:val="false"/>
          <w:i w:val="false"/>
          <w:iCs w:val="false"/>
          <w:color w:val="1A1A1A"/>
          <w:sz w:val="20"/>
          <w:szCs w:val="20"/>
        </w:rPr>
        <w:t xml:space="preserve">Log every outreach so nothing falls through the cracks.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500"/>
        <w:gridCol w:w="3360"/>
        <w:gridCol w:w="4500"/>
      </w:tblGrid>
      <w:tr>
        <w:trPr>
          <w:tblHeader/>
        </w:trPr>
        <w:tc>
          <w:tcPr>
            <w:tcW w:type="dxa" w:w="1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Who / organization</w:t>
            </w:r>
          </w:p>
        </w:tc>
        <w:tc>
          <w:tcPr>
            <w:tcW w:type="dxa" w:w="4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What was said / next step</w:t>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Referral Source Tracker  </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admissions actually come from so you invest in what works.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admitted (initials / 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Referral source</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Level of care / notes</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Weekly Outreach Planner  </w:t>
      </w:r>
    </w:p>
    <w:p>
      <w:pPr>
        <w:spacing w:after="110" w:before="0" w:line="268"/>
        <w:jc w:val="left"/>
      </w:pPr>
      <w:r>
        <w:rPr>
          <w:rFonts w:ascii="Calibri" w:cs="Calibri" w:eastAsia="Calibri" w:hAnsi="Calibri"/>
          <w:b w:val="false"/>
          <w:bCs w:val="false"/>
          <w:i w:val="false"/>
          <w:iCs w:val="false"/>
          <w:color w:val="1A1A1A"/>
          <w:sz w:val="20"/>
          <w:szCs w:val="20"/>
        </w:rPr>
        <w:t xml:space="preserve">Plan your weekly rhythm: a set number of new contacts and check-ins each week.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200"/>
        <w:gridCol w:w="3560"/>
        <w:gridCol w:w="3600"/>
      </w:tblGrid>
      <w:tr>
        <w:trPr>
          <w:tblHeader/>
        </w:trPr>
        <w:tc>
          <w:tcPr>
            <w:tcW w:type="dxa" w:w="2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Week of</w:t>
            </w:r>
          </w:p>
        </w:tc>
        <w:tc>
          <w:tcPr>
            <w:tcW w:type="dxa" w:w="35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contacts (goal / done)</w:t>
            </w:r>
          </w:p>
        </w:tc>
        <w:tc>
          <w:tcPr>
            <w:tcW w:type="dxa" w:w="3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availability updates</w:t>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r>
        <w:br w:type="page"/>
      </w:r>
    </w:p>
    <w:p>
      <w:pPr>
        <w:keepNext/>
        <w:shd w:fill="1F3A5F" w:val="clear"/>
        <w:spacing w:after="100" w:before="40"/>
      </w:pPr>
      <w:r>
        <w:rPr>
          <w:rFonts w:ascii="Calibri" w:cs="Calibri" w:eastAsia="Calibri" w:hAnsi="Calibri"/>
          <w:b/>
          <w:bCs/>
          <w:i w:val="false"/>
          <w:iCs w:val="false"/>
          <w:color w:val="FFFFFF"/>
          <w:sz w:val="22"/>
          <w:szCs w:val="22"/>
        </w:rPr>
        <w:t xml:space="preserve">  Template: Introduction Letter to a Referral Source  </w:t>
      </w:r>
    </w:p>
    <w:p>
      <w:pPr>
        <w:spacing w:after="110" w:before="0" w:line="268"/>
        <w:jc w:val="left"/>
      </w:pPr>
      <w:r>
        <w:rPr>
          <w:rFonts w:ascii="Calibri" w:cs="Calibri" w:eastAsia="Calibri" w:hAnsi="Calibri"/>
          <w:b w:val="false"/>
          <w:bCs w:val="false"/>
          <w:i w:val="false"/>
          <w:iCs w:val="false"/>
          <w:color w:val="1A1A1A"/>
          <w:sz w:val="20"/>
          <w:szCs w:val="20"/>
        </w:rPr>
        <w:t xml:space="preserve">Adapt and put on your letterhead. Keep it to one page.</w:t>
      </w:r>
    </w:p>
    <w:p>
      <w:pPr>
        <w:spacing w:after="110" w:before="0" w:line="268"/>
        <w:jc w:val="left"/>
      </w:pPr>
      <w:r>
        <w:rPr>
          <w:rFonts w:ascii="Calibri" w:cs="Calibri" w:eastAsia="Calibri" w:hAnsi="Calibri"/>
          <w:b w:val="false"/>
          <w:bCs w:val="false"/>
          <w:i w:val="false"/>
          <w:iCs w:val="false"/>
          <w:color w:val="1A1A1A"/>
          <w:sz w:val="20"/>
          <w:szCs w:val="20"/>
        </w:rPr>
        <w:t xml:space="preserve">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keepNext/>
        <w:shd w:fill="1F3A5F" w:val="clear"/>
        <w:spacing w:after="100" w:before="40"/>
      </w:pPr>
      <w:r>
        <w:rPr>
          <w:rFonts w:ascii="Calibri" w:cs="Calibri" w:eastAsia="Calibri" w:hAnsi="Calibri"/>
          <w:b/>
          <w:bCs/>
          <w:i w:val="false"/>
          <w:iCs w:val="false"/>
          <w:color w:val="FFFFFF"/>
          <w:sz w:val="22"/>
          <w:szCs w:val="22"/>
        </w:rPr>
        <w:t xml:space="preserve">  Template: Your Capabilities One-Pager  </w:t>
      </w:r>
    </w:p>
    <w:p>
      <w:pPr>
        <w:spacing w:after="110" w:before="0" w:line="268"/>
        <w:jc w:val="left"/>
      </w:pPr>
      <w:r>
        <w:rPr>
          <w:rFonts w:ascii="Calibri" w:cs="Calibri" w:eastAsia="Calibri" w:hAnsi="Calibri"/>
          <w:b w:val="false"/>
          <w:bCs w:val="false"/>
          <w:i w:val="false"/>
          <w:iCs w:val="false"/>
          <w:color w:val="1A1A1A"/>
          <w:sz w:val="20"/>
          <w:szCs w:val="20"/>
        </w:rPr>
        <w:t xml:space="preserve">A single page a coordinator can keep on file. Include each of these, factually and without any claim you cannot back up:</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Program name, location, and license / certification.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Levels of care and services you provide.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Who you serve well — diagnoses, co-occurring, ages, specialties — and who you are not the right fit for.</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Payers and networks accepted (Medicaid plans, county, commercial, private pay).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Current availability and typical time-to-admission.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Intake contact, hours, and your response-time promise.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One line on what makes you reliable (accreditation, outcomes, communication).</w:t>
      </w:r>
    </w:p>
    <w:p>
      <w:pPr>
        <w:keepNext/>
        <w:shd w:fill="1F3A5F" w:val="clear"/>
        <w:spacing w:after="100" w:before="40"/>
      </w:pPr>
      <w:r>
        <w:rPr>
          <w:rFonts w:ascii="Calibri" w:cs="Calibri" w:eastAsia="Calibri" w:hAnsi="Calibri"/>
          <w:b/>
          <w:bCs/>
          <w:i w:val="false"/>
          <w:iCs w:val="false"/>
          <w:color w:val="FFFFFF"/>
          <w:sz w:val="22"/>
          <w:szCs w:val="22"/>
        </w:rPr>
        <w:t xml:space="preserve">  Template: A Three-Touch Follow-Up Sequence  </w:t>
      </w:r>
    </w:p>
    <w:p>
      <w:pPr>
        <w:spacing w:after="110" w:before="0" w:line="268"/>
        <w:jc w:val="left"/>
      </w:pPr>
      <w:r>
        <w:rPr>
          <w:rFonts w:ascii="Calibri" w:cs="Calibri" w:eastAsia="Calibri" w:hAnsi="Calibri"/>
          <w:b w:val="false"/>
          <w:bCs w:val="false"/>
          <w:i w:val="false"/>
          <w:iCs w:val="false"/>
          <w:color w:val="1A1A1A"/>
          <w:sz w:val="20"/>
          <w:szCs w:val="20"/>
        </w:rPr>
        <w:t xml:space="preserve">After you meet or receive a referral, persistence — done politely — is what separates you from the providers a coordinator forgets.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Touch 1 (within 48 hours): </w:t>
      </w:r>
      <w:r>
        <w:rPr>
          <w:rFonts w:ascii="Calibri" w:cs="Calibri" w:eastAsia="Calibri" w:hAnsi="Calibri"/>
          <w:b w:val="false"/>
          <w:bCs w:val="false"/>
          <w:i w:val="false"/>
          <w:iCs w:val="false"/>
          <w:color w:val="1A1A1A"/>
          <w:sz w:val="20"/>
          <w:szCs w:val="20"/>
        </w:rPr>
        <w:t xml:space="preserve">a short thank-you that restates your intake contact, openings, and response-time promise.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Touch 2 (about two weeks later): </w:t>
      </w:r>
      <w:r>
        <w:rPr>
          <w:rFonts w:ascii="Calibri" w:cs="Calibri" w:eastAsia="Calibri" w:hAnsi="Calibri"/>
          <w:b w:val="false"/>
          <w:bCs w:val="false"/>
          <w:i w:val="false"/>
          <w:iCs w:val="false"/>
          <w:color w:val="1A1A1A"/>
          <w:sz w:val="20"/>
          <w:szCs w:val="20"/>
        </w:rPr>
        <w:t xml:space="preserve">share one useful item — an update on availability, a resource, or an offer to do a brief in-service. No ask.</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Touch 3 (about a month later): </w:t>
      </w:r>
      <w:r>
        <w:rPr>
          <w:rFonts w:ascii="Calibri" w:cs="Calibri" w:eastAsia="Calibri" w:hAnsi="Calibri"/>
          <w:b w:val="false"/>
          <w:bCs w:val="false"/>
          <w:i w:val="false"/>
          <w:iCs w:val="false"/>
          <w:color w:val="1A1A1A"/>
          <w:sz w:val="20"/>
          <w:szCs w:val="20"/>
        </w:rPr>
        <w:t xml:space="preserve">check in, confirm your current openings, and ask how they prefer to send a referral. Then move them into your regular check-in cycle.</w:t>
      </w:r>
    </w:p>
    <w:p>
      <w:pPr>
        <w:keepNext/>
        <w:shd w:fill="1F3A5F" w:val="clear"/>
        <w:spacing w:after="100" w:before="40"/>
      </w:pPr>
      <w:r>
        <w:rPr>
          <w:rFonts w:ascii="Calibri" w:cs="Calibri" w:eastAsia="Calibri" w:hAnsi="Calibri"/>
          <w:b/>
          <w:bCs/>
          <w:i w:val="false"/>
          <w:iCs w:val="false"/>
          <w:color w:val="FFFFFF"/>
          <w:sz w:val="22"/>
          <w:szCs w:val="22"/>
        </w:rPr>
        <w:t xml:space="preserve">  Template: Referral Feedback / Loop-Closure Note  </w:t>
      </w:r>
    </w:p>
    <w:p>
      <w:pPr>
        <w:spacing w:after="110" w:before="0" w:line="268"/>
        <w:jc w:val="left"/>
      </w:pPr>
      <w:r>
        <w:rPr>
          <w:rFonts w:ascii="Calibri" w:cs="Calibri" w:eastAsia="Calibri" w:hAnsi="Calibri"/>
          <w:b w:val="false"/>
          <w:bCs w:val="false"/>
          <w:i w:val="false"/>
          <w:iCs w:val="false"/>
          <w:color w:val="1A1A1A"/>
          <w:sz w:val="20"/>
          <w:szCs w:val="20"/>
        </w:rPr>
        <w:t xml:space="preserve">Send to the original referrer once you have appropriate consent. This single habit earns more repeat referrals than any other.</w:t>
      </w:r>
    </w:p>
    <w:p>
      <w:pPr>
        <w:spacing w:after="110" w:before="0" w:line="268"/>
        <w:jc w:val="left"/>
      </w:pPr>
      <w:r>
        <w:rPr>
          <w:rFonts w:ascii="Calibri" w:cs="Calibri" w:eastAsia="Calibri" w:hAnsi="Calibri"/>
          <w:b w:val="false"/>
          <w:bCs w:val="false"/>
          <w:i w:val="false"/>
          <w:iCs w:val="false"/>
          <w:color w:val="1A1A1A"/>
          <w:sz w:val="20"/>
          <w:szCs w:val="20"/>
        </w:rPr>
        <w:t xml:space="preserve">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keepNext/>
        <w:shd w:fill="1F3A5F" w:val="clear"/>
        <w:spacing w:after="100" w:before="40"/>
      </w:pPr>
      <w:r>
        <w:rPr>
          <w:rFonts w:ascii="Calibri" w:cs="Calibri" w:eastAsia="Calibri" w:hAnsi="Calibri"/>
          <w:b/>
          <w:bCs/>
          <w:i w:val="false"/>
          <w:iCs w:val="false"/>
          <w:color w:val="FFFFFF"/>
          <w:sz w:val="22"/>
          <w:szCs w:val="22"/>
        </w:rPr>
        <w:t xml:space="preserve">  Outline: A Compliant Care-Coordination Agreement (MOU)  </w:t>
      </w:r>
    </w:p>
    <w:p>
      <w:pPr>
        <w:spacing w:after="110" w:before="0" w:line="268"/>
        <w:jc w:val="left"/>
      </w:pPr>
      <w:r>
        <w:rPr>
          <w:rFonts w:ascii="Calibri" w:cs="Calibri" w:eastAsia="Calibri" w:hAnsi="Calibri"/>
          <w:b w:val="false"/>
          <w:bCs w:val="false"/>
          <w:i w:val="false"/>
          <w:iCs w:val="false"/>
          <w:color w:val="1A1A1A"/>
          <w:sz w:val="20"/>
          <w:szCs w:val="20"/>
        </w:rPr>
        <w:t xml:space="preserve">Use as a discussion outline with counsel — not as legal language. A sound agreement covers: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Purpose: to coordinate care and support safe transitions between the two providers.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Communication: named contacts, response times, and how information is shared within 42 CFR Part 2 and HIPAA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Transitions: how warm handoffs, records, and joint planning will work.</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What it does NOT include: any payment tied to referral volume, and no promise to refer a set number of clients — this is what keeps it on the right side of the Anti-Kickback Statute and EKRA.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Term, review, and termination.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 note that either party may refer elsewhere based solely on clinical fit and client choice.</w:t>
      </w:r>
    </w:p>
    <w:p>
      <w:pPr>
        <w:keepNext/>
        <w:shd w:fill="1F3A5F" w:val="clear"/>
        <w:spacing w:after="100" w:before="40"/>
      </w:pPr>
      <w:r>
        <w:rPr>
          <w:rFonts w:ascii="Calibri" w:cs="Calibri" w:eastAsia="Calibri" w:hAnsi="Calibri"/>
          <w:b/>
          <w:bCs/>
          <w:i w:val="false"/>
          <w:iCs w:val="false"/>
          <w:color w:val="FFFFFF"/>
          <w:sz w:val="22"/>
          <w:szCs w:val="22"/>
        </w:rPr>
        <w:t xml:space="preserve">  Twelve-Month Relationship Calendar  </w:t>
      </w:r>
    </w:p>
    <w:p>
      <w:pPr>
        <w:spacing w:after="110" w:before="0" w:line="268"/>
        <w:jc w:val="left"/>
      </w:pPr>
      <w:r>
        <w:rPr>
          <w:rFonts w:ascii="Calibri" w:cs="Calibri" w:eastAsia="Calibri" w:hAnsi="Calibri"/>
          <w:b w:val="false"/>
          <w:bCs w:val="false"/>
          <w:i w:val="false"/>
          <w:iCs w:val="false"/>
          <w:color w:val="1A1A1A"/>
          <w:sz w:val="20"/>
          <w:szCs w:val="20"/>
        </w:rPr>
        <w:t xml:space="preserve">Plan the year so relationships stay warm. Fill in targets and track completion.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800"/>
        <w:gridCol w:w="3760"/>
        <w:gridCol w:w="3800"/>
      </w:tblGrid>
      <w:tr>
        <w:trPr>
          <w:tblHeader/>
        </w:trPr>
        <w:tc>
          <w:tcPr>
            <w:tcW w:type="dxa" w:w="1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Quarter</w:t>
            </w:r>
          </w:p>
        </w:tc>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sources to meet (goal)</w:t>
            </w:r>
          </w:p>
        </w:tc>
        <w:tc>
          <w:tcPr>
            <w:tcW w:type="dxa" w:w="3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in-service / education</w:t>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Q1</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Q2</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Q3</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Q4</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Template: Monthly Referral Tracking Log  </w:t>
      </w:r>
    </w:p>
    <w:p>
      <w:pPr>
        <w:spacing w:after="110" w:before="0" w:line="268"/>
        <w:jc w:val="left"/>
      </w:pPr>
      <w:r>
        <w:rPr>
          <w:rFonts w:ascii="Calibri" w:cs="Calibri" w:eastAsia="Calibri" w:hAnsi="Calibri"/>
          <w:b w:val="false"/>
          <w:bCs w:val="false"/>
          <w:i w:val="false"/>
          <w:iCs w:val="false"/>
          <w:color w:val="1A1A1A"/>
          <w:sz w:val="20"/>
          <w:szCs w:val="20"/>
        </w:rPr>
        <w:t xml:space="preserve">Keep a simple running log — a spreadsheet is fine. One row per referral; review the totals each month (Part 20).</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600"/>
        <w:gridCol w:w="3900"/>
        <w:gridCol w:w="2860"/>
      </w:tblGrid>
      <w:tr>
        <w:trPr>
          <w:tblHeader/>
        </w:trPr>
        <w:tc>
          <w:tcPr>
            <w:tcW w:type="dxa" w:w="2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 &amp; referral source</w:t>
            </w:r>
          </w:p>
        </w:tc>
        <w:tc>
          <w:tcPr>
            <w:tcW w:type="dxa" w:w="39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initials — outcome (admitted / declined / no-show)</w:t>
            </w:r>
          </w:p>
        </w:tc>
        <w:tc>
          <w:tcPr>
            <w:tcW w:type="dxa" w:w="28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Time to contact — loop closed? (Y/N)</w:t>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pacing w:after="60" w:before="140"/>
      </w:pPr>
      <w:r>
        <w:rPr>
          <w:rFonts w:ascii="Calibri" w:cs="Calibri" w:eastAsia="Calibri" w:hAnsi="Calibri"/>
          <w:b/>
          <w:bCs/>
          <w:i w:val="false"/>
          <w:iCs w:val="false"/>
          <w:color w:val="3E5871"/>
          <w:sz w:val="21"/>
          <w:szCs w:val="21"/>
        </w:rPr>
        <w:t xml:space="preserve">Sources &amp; Further Reading</w:t>
      </w:r>
    </w:p>
    <w:p>
      <w:pPr>
        <w:spacing w:after="110" w:before="0" w:line="268"/>
        <w:jc w:val="left"/>
      </w:pPr>
      <w:r>
        <w:rPr>
          <w:rFonts w:ascii="Calibri" w:cs="Calibri" w:eastAsia="Calibri" w:hAnsi="Calibri"/>
          <w:b w:val="false"/>
          <w:bCs w:val="false"/>
          <w:i w:val="false"/>
          <w:iCs w:val="false"/>
          <w:color w:val="1A1A1A"/>
          <w:sz w:val="20"/>
          <w:szCs w:val="20"/>
        </w:rPr>
        <w:t xml:space="preserve">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90" w:before="0" w:line="268"/>
        <w:jc w:val="center"/>
      </w:pPr>
      <w:r>
        <w:rPr>
          <w:rFonts w:ascii="Calibri" w:cs="Calibri" w:eastAsia="Calibri" w:hAnsi="Calibri"/>
          <w:b w:val="false"/>
          <w:bCs w:val="false"/>
          <w:i/>
          <w:iCs/>
          <w:color w:val="555555"/>
          <w:sz w:val="18"/>
          <w:szCs w:val="18"/>
        </w:rPr>
        <w:t xml:space="preserve">This resource is general educational information for New Jersey behavioral health providers, not legal advice. Contacts, programs, and phone numbers change — verify each before you rely on it, and confirm the Anti-Kickback Statute, EKRA, and New Jersey's patient-brokering law with qualified counsel before entering any arrangement involving referrals. Named partners are potential referral relationships, not endorsements.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The Mental Health Referral System — New Jersey Edition  —  PolicyReady.org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Mental Health Referral System — New Jersey Edition</dc:title>
  <dc:creator>PolicyReady.org</dc:creator>
  <cp:lastModifiedBy>Un-named</cp:lastModifiedBy>
  <cp:revision>1</cp:revision>
  <dcterms:created xsi:type="dcterms:W3CDTF">2026-07-20T02:18:48.789Z</dcterms:created>
  <dcterms:modified xsi:type="dcterms:W3CDTF">2026-07-20T02:18:48.789Z</dcterms:modified>
</cp:coreProperties>
</file>

<file path=docProps/custom.xml><?xml version="1.0" encoding="utf-8"?>
<Properties xmlns="http://schemas.openxmlformats.org/officeDocument/2006/custom-properties" xmlns:vt="http://schemas.openxmlformats.org/officeDocument/2006/docPropsVTypes"/>
</file>