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800"/>
        <w:rPr/>
      </w:pPr>
      <w:r>
        <w:rPr/>
      </w:r>
    </w:p>
    <w:p>
      <w:pPr>
        <w:pStyle w:val="Normal"/>
        <w:spacing w:before="0" w:after="200"/>
        <w:jc w:val="center"/>
        <w:rPr/>
      </w:pPr>
      <w:r>
        <w:rPr>
          <w:rFonts w:eastAsia="Arial" w:cs="Arial"/>
          <w:b/>
          <w:bCs/>
          <w:color w:val="1F3864"/>
          <w:sz w:val="52"/>
          <w:szCs w:val="52"/>
        </w:rPr>
        <w:t>[HH/CC PROVIDER NAME]</w:t>
      </w:r>
    </w:p>
    <w:p>
      <w:pPr>
        <w:pStyle w:val="Normal"/>
        <w:spacing w:before="0" w:after="100"/>
        <w:jc w:val="center"/>
        <w:rPr/>
      </w:pPr>
      <w:r>
        <w:rPr>
          <w:rFonts w:eastAsia="Arial" w:cs="Arial"/>
          <w:color w:val="2E5DA8"/>
          <w:sz w:val="32"/>
          <w:szCs w:val="32"/>
        </w:rPr>
        <w:t>Texas HCS Host Home/Companion Care Provider</w:t>
      </w:r>
    </w:p>
    <w:p>
      <w:pPr>
        <w:pStyle w:val="Normal"/>
        <w:spacing w:before="0" w:after="100"/>
        <w:jc w:val="center"/>
        <w:rPr/>
      </w:pPr>
      <w:r>
        <w:rPr>
          <w:rFonts w:eastAsia="Arial" w:cs="Arial"/>
          <w:b/>
          <w:bCs/>
          <w:color w:val="1F3864"/>
          <w:sz w:val="40"/>
          <w:szCs w:val="40"/>
        </w:rPr>
        <w:t>Individual Provider Policy &amp; Procedure Manual</w:t>
      </w:r>
    </w:p>
    <w:p>
      <w:pPr>
        <w:pStyle w:val="Normal"/>
        <w:spacing w:before="0" w:after="400"/>
        <w:jc w:val="center"/>
        <w:rPr/>
      </w:pPr>
      <w:r>
        <w:rPr>
          <w:rFonts w:eastAsia="Arial" w:cs="Arial"/>
          <w:i/>
          <w:iCs/>
          <w:color w:val="2E5DA8"/>
          <w:sz w:val="24"/>
          <w:szCs w:val="24"/>
        </w:rPr>
        <w:t>Individual HH/CC Provider Edition — HCS Waiver / 26 TAC Chapter 263</w:t>
      </w:r>
    </w:p>
    <w:p>
      <w:pPr>
        <w:pStyle w:val="Normal"/>
        <w:pBdr>
          <w:top w:val="single" w:sz="6" w:space="0" w:color="2E5DA8"/>
        </w:pBdr>
        <w:spacing w:before="200" w:after="200"/>
        <w:jc w:val="center"/>
        <w:rPr/>
      </w:pPr>
      <w:r>
        <w:rPr/>
      </w:r>
    </w:p>
    <w:p>
      <w:pPr>
        <w:pStyle w:val="Normal"/>
        <w:spacing w:before="0" w:after="60"/>
        <w:jc w:val="center"/>
        <w:rPr/>
      </w:pPr>
      <w:r>
        <w:rPr>
          <w:rFonts w:eastAsia="Arial" w:cs="Arial"/>
          <w:b/>
          <w:bCs/>
          <w:color w:val="2E5DA8"/>
          <w:sz w:val="22"/>
          <w:szCs w:val="22"/>
        </w:rPr>
        <w:t>REGULATORY AUTHORITY</w:t>
      </w:r>
    </w:p>
    <w:p>
      <w:pPr>
        <w:pStyle w:val="Normal"/>
        <w:spacing w:before="0" w:after="60"/>
        <w:jc w:val="center"/>
        <w:rPr/>
      </w:pPr>
      <w:r>
        <w:rPr>
          <w:rFonts w:eastAsia="Arial" w:cs="Arial"/>
          <w:sz w:val="22"/>
          <w:szCs w:val="22"/>
        </w:rPr>
        <w:t>26 TAC Ch. 263 &amp; 565 (HCS Program Rules) | Texas H&amp;S Code Ch. 534</w:t>
      </w:r>
    </w:p>
    <w:p>
      <w:pPr>
        <w:pStyle w:val="Normal"/>
        <w:spacing w:before="0" w:after="300"/>
        <w:jc w:val="center"/>
        <w:rPr/>
      </w:pPr>
      <w:r>
        <w:rPr>
          <w:rFonts w:eastAsia="Arial" w:cs="Arial"/>
          <w:sz w:val="22"/>
          <w:szCs w:val="22"/>
        </w:rPr>
        <w:t>HCBS Settings Final Rule (42 CFR 441.301) | HIPAA (45 CFR Parts 160 &amp; 164)</w:t>
      </w:r>
    </w:p>
    <w:p>
      <w:pPr>
        <w:pStyle w:val="Normal"/>
        <w:pBdr>
          <w:bottom w:val="single" w:sz="6" w:space="0" w:color="2E5DA8"/>
        </w:pBdr>
        <w:spacing w:before="0" w:after="200"/>
        <w:jc w:val="center"/>
        <w:rPr/>
      </w:pPr>
      <w:r>
        <w:rPr/>
      </w:r>
    </w:p>
    <w:p>
      <w:pPr>
        <w:pStyle w:val="Normal"/>
        <w:spacing w:before="40" w:after="40"/>
        <w:jc w:val="center"/>
        <w:rPr/>
      </w:pPr>
      <w:r>
        <w:rPr>
          <w:rFonts w:eastAsia="Arial" w:cs="Arial"/>
          <w:b/>
          <w:bCs/>
          <w:sz w:val="22"/>
          <w:szCs w:val="22"/>
        </w:rPr>
        <w:t xml:space="preserve">HH/CC Provider Name: </w:t>
      </w:r>
      <w:r>
        <w:rPr>
          <w:rFonts w:eastAsia="Arial" w:cs="Arial"/>
          <w:sz w:val="22"/>
          <w:szCs w:val="22"/>
        </w:rPr>
        <w:t>[HH/CC Provider Name]</w:t>
      </w:r>
    </w:p>
    <w:p>
      <w:pPr>
        <w:pStyle w:val="Normal"/>
        <w:spacing w:before="40" w:after="40"/>
        <w:jc w:val="center"/>
        <w:rPr/>
      </w:pPr>
      <w:r>
        <w:rPr>
          <w:rFonts w:eastAsia="Arial" w:cs="Arial"/>
          <w:b/>
          <w:bCs/>
          <w:sz w:val="22"/>
          <w:szCs w:val="22"/>
        </w:rPr>
        <w:t xml:space="preserve">Home Address: </w:t>
      </w:r>
      <w:r>
        <w:rPr>
          <w:rFonts w:eastAsia="Arial" w:cs="Arial"/>
          <w:sz w:val="22"/>
          <w:szCs w:val="22"/>
        </w:rPr>
        <w:t>[Address, City, TX ZIP]</w:t>
      </w:r>
    </w:p>
    <w:p>
      <w:pPr>
        <w:pStyle w:val="Normal"/>
        <w:spacing w:before="40" w:after="40"/>
        <w:jc w:val="center"/>
        <w:rPr/>
      </w:pPr>
      <w:r>
        <w:rPr>
          <w:rFonts w:eastAsia="Arial" w:cs="Arial"/>
          <w:b/>
          <w:bCs/>
          <w:sz w:val="22"/>
          <w:szCs w:val="22"/>
        </w:rPr>
        <w:t xml:space="preserve">Program Provider: </w:t>
      </w:r>
      <w:r>
        <w:rPr>
          <w:rFonts w:eastAsia="Arial" w:cs="Arial"/>
          <w:sz w:val="22"/>
          <w:szCs w:val="22"/>
        </w:rPr>
        <w:t>[Program Provider Name]</w:t>
      </w:r>
    </w:p>
    <w:p>
      <w:pPr>
        <w:pStyle w:val="Normal"/>
        <w:spacing w:before="40" w:after="40"/>
        <w:jc w:val="center"/>
        <w:rPr/>
      </w:pPr>
      <w:r>
        <w:rPr>
          <w:rFonts w:eastAsia="Arial" w:cs="Arial"/>
          <w:b/>
          <w:bCs/>
          <w:sz w:val="22"/>
          <w:szCs w:val="22"/>
        </w:rPr>
        <w:t xml:space="preserve">LIDDA: </w:t>
      </w:r>
      <w:r>
        <w:rPr>
          <w:rFonts w:eastAsia="Arial" w:cs="Arial"/>
          <w:sz w:val="22"/>
          <w:szCs w:val="22"/>
        </w:rPr>
        <w:t>[LIDDA Name]</w:t>
      </w:r>
    </w:p>
    <w:p>
      <w:pPr>
        <w:pStyle w:val="Normal"/>
        <w:spacing w:before="40" w:after="40"/>
        <w:jc w:val="center"/>
        <w:rPr/>
      </w:pPr>
      <w:r>
        <w:rPr>
          <w:rFonts w:eastAsia="Arial" w:cs="Arial"/>
          <w:b/>
          <w:bCs/>
          <w:sz w:val="22"/>
          <w:szCs w:val="22"/>
        </w:rPr>
        <w:t xml:space="preserve">Effective Date: </w:t>
      </w:r>
      <w:r>
        <w:rPr>
          <w:rFonts w:eastAsia="Arial" w:cs="Arial"/>
          <w:sz w:val="22"/>
          <w:szCs w:val="22"/>
        </w:rPr>
        <w:t>[Date]</w:t>
      </w:r>
    </w:p>
    <w:p>
      <w:pPr>
        <w:pStyle w:val="Normal"/>
        <w:spacing w:before="40" w:after="40"/>
        <w:jc w:val="center"/>
        <w:rPr/>
      </w:pPr>
      <w:r>
        <w:rPr>
          <w:rFonts w:eastAsia="Arial" w:cs="Arial"/>
          <w:b/>
          <w:bCs/>
          <w:sz w:val="22"/>
          <w:szCs w:val="22"/>
        </w:rPr>
        <w:t xml:space="preserve">Last Reviewed: </w:t>
      </w:r>
      <w:r>
        <w:rPr>
          <w:rFonts w:eastAsia="Arial" w:cs="Arial"/>
          <w:sz w:val="22"/>
          <w:szCs w:val="22"/>
        </w:rPr>
        <w:t>[Date]</w:t>
      </w:r>
    </w:p>
    <w:p>
      <w:pPr>
        <w:pStyle w:val="Normal"/>
        <w:spacing w:before="40" w:after="40"/>
        <w:jc w:val="center"/>
        <w:rPr/>
      </w:pPr>
      <w:r>
        <w:rPr>
          <w:rFonts w:eastAsia="Arial" w:cs="Arial"/>
          <w:b/>
          <w:bCs/>
          <w:sz w:val="22"/>
          <w:szCs w:val="22"/>
        </w:rPr>
        <w:t xml:space="preserve">County: </w:t>
      </w:r>
      <w:r>
        <w:rPr>
          <w:rFonts w:eastAsia="Arial" w:cs="Arial"/>
          <w:sz w:val="22"/>
          <w:szCs w:val="22"/>
        </w:rPr>
        <w:t>[County Name]</w:t>
      </w:r>
    </w:p>
    <w:p>
      <w:pPr>
        <w:pStyle w:val="Normal"/>
        <w:spacing w:before="0" w:after="600"/>
        <w:rPr/>
      </w:pPr>
      <w:r>
        <w:rPr/>
      </w:r>
    </w:p>
    <w:p>
      <w:pPr>
        <w:pStyle w:val="Normal"/>
        <w:jc w:val="center"/>
        <w:rPr/>
      </w:pPr>
      <w:r>
        <w:rPr>
          <w:rFonts w:eastAsia="Arial" w:cs="Arial"/>
          <w:b/>
          <w:bCs/>
          <w:color w:val="A0A0A0"/>
          <w:sz w:val="18"/>
          <w:szCs w:val="18"/>
        </w:rPr>
        <w:t>CONFIDENTIAL — FOR INTERNAL USE ONLY</w:t>
      </w:r>
    </w:p>
    <w:p>
      <w:pPr>
        <w:pStyle w:val="Normal"/>
        <w:rPr/>
      </w:pPr>
      <w:r>
        <w:rPr/>
        <w:br/>
      </w:r>
    </w:p>
    <w:p>
      <w:pPr>
        <w:pStyle w:val="Heading1"/>
        <w:pBdr>
          <w:bottom w:val="single" w:sz="6" w:space="1" w:color="2E5DA8"/>
        </w:pBdr>
        <w:spacing w:before="200" w:after="120"/>
        <w:rPr/>
      </w:pPr>
      <w:r>
        <w:rPr>
          <w:rFonts w:eastAsia="Arial" w:cs="Arial" w:ascii="Arial" w:hAnsi="Arial"/>
          <w:b/>
          <w:bCs/>
          <w:color w:val="1F3864"/>
          <w:sz w:val="28"/>
          <w:szCs w:val="28"/>
        </w:rPr>
        <w:t>HOW TO USE THIS TEMPLATE</w:t>
      </w:r>
    </w:p>
    <w:p>
      <w:pPr>
        <w:pStyle w:val="Normal"/>
        <w:spacing w:before="40" w:after="60"/>
        <w:rPr/>
      </w:pPr>
      <w:r>
        <w:rPr>
          <w:rFonts w:eastAsia="Arial" w:cs="Arial"/>
          <w:sz w:val="22"/>
          <w:szCs w:val="22"/>
        </w:rPr>
        <w:t>This manual is a professional-grade policy and procedure template designed for Texas HCS Host Home/Companion Care (HH/CC) providers operating under the Home and Community-based Services (HCS) Waiver, administered by the Texas Health and Human Services Commission (HHSC). All bracketed fields must be completed before use or submission to your Program Provider or HHSC.</w:t>
      </w:r>
    </w:p>
    <w:p>
      <w:pPr>
        <w:pStyle w:val="Normal"/>
        <w:spacing w:before="0" w:after="80"/>
        <w:rPr/>
      </w:pPr>
      <w:r>
        <w:rPr/>
      </w:r>
    </w:p>
    <w:p>
      <w:pPr>
        <w:pStyle w:val="Normal"/>
        <w:spacing w:before="140" w:after="60"/>
        <w:rPr/>
      </w:pPr>
      <w:r>
        <w:rPr>
          <w:rFonts w:eastAsia="Arial" w:cs="Arial"/>
          <w:b/>
          <w:bCs/>
          <w:sz w:val="22"/>
          <w:szCs w:val="22"/>
          <w:u w:val="single"/>
        </w:rPr>
        <w:t>BRACKETED FIELDS — COMPLETE BEFORE SUBMISSION</w:t>
      </w:r>
    </w:p>
    <w:p>
      <w:pPr>
        <w:pStyle w:val="ListParagraph"/>
        <w:numPr>
          <w:ilvl w:val="0"/>
          <w:numId w:val="3"/>
        </w:numPr>
        <w:spacing w:before="30" w:after="30"/>
        <w:rPr/>
      </w:pPr>
      <w:r>
        <w:rPr>
          <w:rFonts w:eastAsia="Arial" w:cs="Arial"/>
          <w:sz w:val="22"/>
          <w:szCs w:val="22"/>
        </w:rPr>
        <w:t>[HH/CC Provider Name] / [PROVIDER ORGANIZATION NAME] — your legal name or registered business name</w:t>
      </w:r>
    </w:p>
    <w:p>
      <w:pPr>
        <w:pStyle w:val="ListParagraph"/>
        <w:numPr>
          <w:ilvl w:val="0"/>
          <w:numId w:val="1"/>
        </w:numPr>
        <w:spacing w:before="30" w:after="30"/>
        <w:rPr/>
      </w:pPr>
      <w:r>
        <w:rPr>
          <w:rFonts w:eastAsia="Arial" w:cs="Arial"/>
          <w:sz w:val="22"/>
          <w:szCs w:val="22"/>
        </w:rPr>
        <w:t>[Program Provider Name] — the HHSC-contracted HCS Program Provider you are contracted with</w:t>
      </w:r>
    </w:p>
    <w:p>
      <w:pPr>
        <w:pStyle w:val="ListParagraph"/>
        <w:numPr>
          <w:ilvl w:val="0"/>
          <w:numId w:val="1"/>
        </w:numPr>
        <w:spacing w:before="30" w:after="30"/>
        <w:rPr/>
      </w:pPr>
      <w:r>
        <w:rPr>
          <w:rFonts w:eastAsia="Arial" w:cs="Arial"/>
          <w:sz w:val="22"/>
          <w:szCs w:val="22"/>
        </w:rPr>
        <w:t>[Administrator Name] — the name of your designated program administrator (org version)</w:t>
      </w:r>
    </w:p>
    <w:p>
      <w:pPr>
        <w:pStyle w:val="ListParagraph"/>
        <w:numPr>
          <w:ilvl w:val="0"/>
          <w:numId w:val="1"/>
        </w:numPr>
        <w:spacing w:before="30" w:after="30"/>
        <w:rPr/>
      </w:pPr>
      <w:r>
        <w:rPr>
          <w:rFonts w:eastAsia="Arial" w:cs="Arial"/>
          <w:sz w:val="22"/>
          <w:szCs w:val="22"/>
        </w:rPr>
        <w:t>[LIDDA Name] — your Local Intellectual and Developmental Disability Authority</w:t>
      </w:r>
    </w:p>
    <w:p>
      <w:pPr>
        <w:pStyle w:val="ListParagraph"/>
        <w:numPr>
          <w:ilvl w:val="0"/>
          <w:numId w:val="1"/>
        </w:numPr>
        <w:spacing w:before="30" w:after="30"/>
        <w:rPr/>
      </w:pPr>
      <w:r>
        <w:rPr>
          <w:rFonts w:eastAsia="Arial" w:cs="Arial"/>
          <w:sz w:val="22"/>
          <w:szCs w:val="22"/>
        </w:rPr>
        <w:t>[HHSC Contract #] — your agency's HHSC HCS Program contract number (org version)</w:t>
      </w:r>
    </w:p>
    <w:p>
      <w:pPr>
        <w:pStyle w:val="ListParagraph"/>
        <w:numPr>
          <w:ilvl w:val="0"/>
          <w:numId w:val="1"/>
        </w:numPr>
        <w:spacing w:before="30" w:after="30"/>
        <w:rPr/>
      </w:pPr>
      <w:r>
        <w:rPr>
          <w:rFonts w:eastAsia="Arial" w:cs="Arial"/>
          <w:sz w:val="22"/>
          <w:szCs w:val="22"/>
        </w:rPr>
        <w:t>[Address, City, TX ZIP] — the physical address of the HH/CC home</w:t>
      </w:r>
    </w:p>
    <w:p>
      <w:pPr>
        <w:pStyle w:val="ListParagraph"/>
        <w:numPr>
          <w:ilvl w:val="0"/>
          <w:numId w:val="1"/>
        </w:numPr>
        <w:spacing w:before="30" w:after="30"/>
        <w:rPr/>
      </w:pPr>
      <w:r>
        <w:rPr>
          <w:rFonts w:eastAsia="Arial" w:cs="Arial"/>
          <w:sz w:val="22"/>
          <w:szCs w:val="22"/>
        </w:rPr>
        <w:t>[County Name] — the Texas county where the HH/CC home is located</w:t>
      </w:r>
    </w:p>
    <w:p>
      <w:pPr>
        <w:pStyle w:val="ListParagraph"/>
        <w:numPr>
          <w:ilvl w:val="0"/>
          <w:numId w:val="1"/>
        </w:numPr>
        <w:spacing w:before="30" w:after="30"/>
        <w:rPr/>
      </w:pPr>
      <w:r>
        <w:rPr>
          <w:rFonts w:eastAsia="Arial" w:cs="Arial"/>
          <w:sz w:val="22"/>
          <w:szCs w:val="22"/>
        </w:rPr>
        <w:t>[Date] / [YEAR] — effective date, revision dates, and document history dates</w:t>
      </w:r>
    </w:p>
    <w:p>
      <w:pPr>
        <w:pStyle w:val="ListParagraph"/>
        <w:numPr>
          <w:ilvl w:val="0"/>
          <w:numId w:val="1"/>
        </w:numPr>
        <w:spacing w:before="30" w:after="30"/>
        <w:rPr/>
      </w:pPr>
      <w:r>
        <w:rPr>
          <w:rFonts w:eastAsia="Arial" w:cs="Arial"/>
          <w:sz w:val="22"/>
          <w:szCs w:val="22"/>
        </w:rPr>
        <w:t>[Service Coordinator Name] / [LIDDA Name] — the assigned LIDDA Service Coordinator</w:t>
      </w:r>
    </w:p>
    <w:p>
      <w:pPr>
        <w:pStyle w:val="Normal"/>
        <w:spacing w:before="0" w:after="80"/>
        <w:rPr/>
      </w:pPr>
      <w:r>
        <w:rPr/>
      </w:r>
    </w:p>
    <w:p>
      <w:pPr>
        <w:pStyle w:val="Normal"/>
        <w:spacing w:before="140" w:after="60"/>
        <w:rPr/>
      </w:pPr>
      <w:r>
        <w:rPr>
          <w:rFonts w:eastAsia="Arial" w:cs="Arial"/>
          <w:b/>
          <w:bCs/>
          <w:sz w:val="22"/>
          <w:szCs w:val="22"/>
          <w:u w:val="single"/>
        </w:rPr>
        <w:t>KEY TEXAS HCS DISTINCTIONS</w:t>
      </w:r>
    </w:p>
    <w:p>
      <w:pPr>
        <w:pStyle w:val="ListParagraph"/>
        <w:numPr>
          <w:ilvl w:val="0"/>
          <w:numId w:val="1"/>
        </w:numPr>
        <w:spacing w:before="30" w:after="30"/>
        <w:rPr/>
      </w:pPr>
      <w:r>
        <w:rPr>
          <w:rFonts w:eastAsia="Arial" w:cs="Arial"/>
          <w:sz w:val="22"/>
          <w:szCs w:val="22"/>
        </w:rPr>
        <w:t>Background clearances in Texas use a three-part system — DPS criminal history, Employee Misconduct Registry (EMR), and Nurse Aide Registry (NAR) — all through TULIP. All three must be clear before any person provides care or resides in the home.</w:t>
      </w:r>
    </w:p>
    <w:p>
      <w:pPr>
        <w:pStyle w:val="ListParagraph"/>
        <w:numPr>
          <w:ilvl w:val="0"/>
          <w:numId w:val="1"/>
        </w:numPr>
        <w:spacing w:before="30" w:after="30"/>
        <w:rPr/>
      </w:pPr>
      <w:r>
        <w:rPr>
          <w:rFonts w:eastAsia="Arial" w:cs="Arial"/>
          <w:sz w:val="22"/>
          <w:szCs w:val="22"/>
        </w:rPr>
        <w:t>EMR and NAR clearances must be renewed ANNUALLY for all active HH/CC providers, household members, and Substitute Caregivers.</w:t>
      </w:r>
    </w:p>
    <w:p>
      <w:pPr>
        <w:pStyle w:val="ListParagraph"/>
        <w:numPr>
          <w:ilvl w:val="0"/>
          <w:numId w:val="1"/>
        </w:numPr>
        <w:spacing w:before="30" w:after="30"/>
        <w:rPr/>
      </w:pPr>
      <w:r>
        <w:rPr>
          <w:rFonts w:eastAsia="Arial" w:cs="Arial"/>
          <w:sz w:val="22"/>
          <w:szCs w:val="22"/>
        </w:rPr>
        <w:t>The individual's plan is called an Individual Plan of Care (IPC) and the service-level plan is the Implementation Plan (IP) — distinct from the ISP/PCP/Support Plan terminology used in other states.</w:t>
      </w:r>
    </w:p>
    <w:p>
      <w:pPr>
        <w:pStyle w:val="ListParagraph"/>
        <w:numPr>
          <w:ilvl w:val="0"/>
          <w:numId w:val="1"/>
        </w:numPr>
        <w:spacing w:before="30" w:after="30"/>
        <w:rPr/>
      </w:pPr>
      <w:r>
        <w:rPr>
          <w:rFonts w:eastAsia="Arial" w:cs="Arial"/>
          <w:sz w:val="22"/>
          <w:szCs w:val="22"/>
        </w:rPr>
        <w:t>The local coordinating body is the LIDDA (not a CCB or DDD district office). The case manager is called a Service Coordinator.</w:t>
      </w:r>
    </w:p>
    <w:p>
      <w:pPr>
        <w:pStyle w:val="ListParagraph"/>
        <w:numPr>
          <w:ilvl w:val="0"/>
          <w:numId w:val="1"/>
        </w:numPr>
        <w:spacing w:before="30" w:after="30"/>
        <w:rPr/>
      </w:pPr>
      <w:r>
        <w:rPr>
          <w:rFonts w:eastAsia="Arial" w:cs="Arial"/>
          <w:sz w:val="22"/>
          <w:szCs w:val="22"/>
        </w:rPr>
        <w:t>Texas APS is under DFPS (Department of Family and Protective Services), not a standalone APS agency. Report to: 1-800-458-9858.</w:t>
      </w:r>
    </w:p>
    <w:p>
      <w:pPr>
        <w:pStyle w:val="ListParagraph"/>
        <w:numPr>
          <w:ilvl w:val="0"/>
          <w:numId w:val="1"/>
        </w:numPr>
        <w:spacing w:before="30" w:after="30"/>
        <w:rPr/>
      </w:pPr>
      <w:r>
        <w:rPr>
          <w:rFonts w:eastAsia="Arial" w:cs="Arial"/>
          <w:sz w:val="22"/>
          <w:szCs w:val="22"/>
        </w:rPr>
        <w:t>HCS rules have recently migrated from 40 TAC Chapter 9 to 26 TAC Chapters 263 and 565. Always verify current citations on the HHSC website.</w:t>
      </w:r>
    </w:p>
    <w:p>
      <w:pPr>
        <w:pStyle w:val="ListParagraph"/>
        <w:numPr>
          <w:ilvl w:val="0"/>
          <w:numId w:val="1"/>
        </w:numPr>
        <w:spacing w:before="30" w:after="30"/>
        <w:rPr/>
      </w:pPr>
      <w:r>
        <w:rPr>
          <w:rFonts w:eastAsia="Arial" w:cs="Arial"/>
          <w:sz w:val="22"/>
          <w:szCs w:val="22"/>
        </w:rPr>
        <w:t>This template does not constitute legal advice. Consult with a qualified Texas health and human services attorney or HCS compliance consultant before submitting to HHSC.</w:t>
      </w:r>
    </w:p>
    <w:p>
      <w:pPr>
        <w:pStyle w:val="Normal"/>
        <w:rPr/>
      </w:pPr>
      <w:r>
        <w:rPr/>
        <w:br/>
      </w:r>
    </w:p>
    <w:p>
      <w:pPr>
        <w:pStyle w:val="Heading1"/>
        <w:pBdr>
          <w:bottom w:val="single" w:sz="6" w:space="1" w:color="2E5DA8"/>
        </w:pBdr>
        <w:spacing w:before="200" w:after="120"/>
        <w:rPr/>
      </w:pPr>
      <w:r>
        <w:rPr>
          <w:rFonts w:eastAsia="Arial" w:cs="Arial" w:ascii="Arial" w:hAnsi="Arial"/>
          <w:b/>
          <w:bCs/>
          <w:color w:val="1F3864"/>
          <w:sz w:val="28"/>
          <w:szCs w:val="28"/>
        </w:rPr>
        <w:t>TABLE OF CONTENTS</w:t>
      </w:r>
    </w:p>
    <w:p>
      <w:pPr>
        <w:pStyle w:val="Normal"/>
        <w:spacing w:before="120" w:after="40"/>
        <w:rPr/>
      </w:pPr>
      <w:r>
        <w:rPr>
          <w:rFonts w:eastAsia="Arial" w:cs="Arial"/>
          <w:b/>
          <w:bCs/>
          <w:color w:val="1F3864"/>
          <w:sz w:val="22"/>
          <w:szCs w:val="22"/>
        </w:rPr>
        <w:t>SECTION A: ADMINISTRATION &amp; GOVERNANCE</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1.00 — Individual Rights, HCBS Settings &amp; Rights Modification</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1.01 — Confidentiality &amp; Health Information Management (HIPAA)</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1.02 — Non-Discrimination &amp; Accessibility</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1.03 — Feedback, Grievance &amp; Complaint Procedure</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1.04 — Relief Coverage, Planned Absences &amp; Emergency Coverage</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1.05 — Supervision &amp; Communication with Your Program Provider and LIDDA</w:t>
      </w:r>
    </w:p>
    <w:p>
      <w:pPr>
        <w:pStyle w:val="Normal"/>
        <w:spacing w:before="120" w:after="40"/>
        <w:rPr/>
      </w:pPr>
      <w:r>
        <w:rPr>
          <w:rFonts w:eastAsia="Arial" w:cs="Arial"/>
          <w:b/>
          <w:bCs/>
          <w:color w:val="1F3864"/>
          <w:sz w:val="22"/>
          <w:szCs w:val="22"/>
        </w:rPr>
        <w:t>SECTION B: HH/CC PROVIDER QUALIFICATIONS, BACKGROUND CLEARANCES &amp; SUBSTITUTE CAREGIVERS</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2.00 — HH/CC Provider Qualifications &amp; Texas Background Clearance Requirements</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2.01 — HH/CC Provider Training, Orientation &amp; Competency Assessment Program</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2.02 — Medication Administration Training &amp; Certification</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2.03 — HH/CC Home Environment &amp; Physical Standards</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2.04 — Substitute Caregivers &amp; Respite Staff — Management &amp; Documentation</w:t>
      </w:r>
    </w:p>
    <w:p>
      <w:pPr>
        <w:pStyle w:val="Normal"/>
        <w:spacing w:before="120" w:after="40"/>
        <w:rPr/>
      </w:pPr>
      <w:r>
        <w:rPr>
          <w:rFonts w:eastAsia="Arial" w:cs="Arial"/>
          <w:b/>
          <w:bCs/>
          <w:color w:val="1F3864"/>
          <w:sz w:val="22"/>
          <w:szCs w:val="22"/>
        </w:rPr>
        <w:t>SECTION C: CARE, TREATMENT &amp; SUPPORT SERVICES</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3.00 — Person-Centered Planning, Assessment &amp; IPC/IP Implementation</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3.01 — Admission, Transition &amp; Discharge</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3.02 — Assessment &amp; Individualized Care Planning</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3.03 — Activities of Daily Living &amp; Personal Care Services</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3.04 — Health Monitoring &amp; Coordination with Healthcare Providers</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3.05 — Behavioral Support &amp; Positive Behavior Strategies</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3.06 — Management of Individual Funds &amp; Personal Property</w:t>
      </w:r>
    </w:p>
    <w:p>
      <w:pPr>
        <w:pStyle w:val="Normal"/>
        <w:spacing w:before="120" w:after="40"/>
        <w:rPr/>
      </w:pPr>
      <w:r>
        <w:rPr>
          <w:rFonts w:eastAsia="Arial" w:cs="Arial"/>
          <w:b/>
          <w:bCs/>
          <w:color w:val="1F3864"/>
          <w:sz w:val="22"/>
          <w:szCs w:val="22"/>
        </w:rPr>
        <w:t>SECTION D: MEDICATION MANAGEMENT</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4.00 — Medication Management — Ordering, Storage, Administration &amp; Monitoring</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4.01 — Controlled Substances &amp; Narcotics Management</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4.02 — Self-Administration of Medications</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4.03 — Medication Errors &amp; Adverse Drug Events</w:t>
      </w:r>
    </w:p>
    <w:p>
      <w:pPr>
        <w:pStyle w:val="Normal"/>
        <w:spacing w:before="120" w:after="40"/>
        <w:rPr/>
      </w:pPr>
      <w:r>
        <w:rPr>
          <w:rFonts w:eastAsia="Arial" w:cs="Arial"/>
          <w:b/>
          <w:bCs/>
          <w:color w:val="1F3864"/>
          <w:sz w:val="22"/>
          <w:szCs w:val="22"/>
        </w:rPr>
        <w:t>SECTION E: HEALTH, SAFETY &amp; EMERGENCY RESPONSE</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5.00 — Incident Reporting, Critical Incidents &amp; Sentinel Events</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5.01 — Emergency Preparedness, Hazard Vulnerability Analysis &amp; Continuity of Care</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5.02 — Infection Prevention &amp; Control</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5.03 — COVID-19, Pandemic Response &amp; Communicable Disease Protocols</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5.04 — Environment of Care — Safety, Utility Management &amp; Hazardous Materials</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5.05 — Abuse, Neglect &amp; Exploitation — Prevention, Recognition &amp; Mandatory Reporting</w:t>
      </w:r>
    </w:p>
    <w:p>
      <w:pPr>
        <w:pStyle w:val="Normal"/>
        <w:spacing w:before="120" w:after="40"/>
        <w:rPr/>
      </w:pPr>
      <w:r>
        <w:rPr>
          <w:rFonts w:eastAsia="Arial" w:cs="Arial"/>
          <w:b/>
          <w:bCs/>
          <w:color w:val="1F3864"/>
          <w:sz w:val="22"/>
          <w:szCs w:val="22"/>
        </w:rPr>
        <w:t>SECTION F: QUALITY MANAGEMENT, ETHICS &amp; DOCUMENTATION</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6.00 — Quality Management, Performance Improvement &amp; Organizational Safety Culture</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6.01 — Documentation Standards, Record Content &amp; Data Integrity</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6.02 — Provider Agreements, Licensing, Regulatory Compliance &amp; Ethics</w:t>
      </w:r>
    </w:p>
    <w:p>
      <w:pPr>
        <w:pStyle w:val="Normal"/>
        <w:spacing w:before="120" w:after="40"/>
        <w:rPr/>
      </w:pPr>
      <w:r>
        <w:rPr>
          <w:rFonts w:eastAsia="Arial" w:cs="Arial"/>
          <w:b/>
          <w:bCs/>
          <w:color w:val="1F3864"/>
          <w:sz w:val="22"/>
          <w:szCs w:val="22"/>
        </w:rPr>
        <w:t>APPENDICES</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Appendix A — Required Forms Checklist</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Appendix B — Key Agency Contact Directory (Texas)</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Appendix C — Narcotics &amp; Controlled Substances Count Sheet</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Appendix D — Individual Rights Acknowledgment Form</w:t>
      </w:r>
    </w:p>
    <w:p>
      <w:pPr>
        <w:pStyle w:val="Normal"/>
        <w:rPr/>
      </w:pPr>
      <w:r>
        <w:rPr/>
        <w:br/>
      </w:r>
    </w:p>
    <w:p>
      <w:pPr>
        <w:pStyle w:val="Normal"/>
        <w:shd w:val="clear" w:fill="1F3864"/>
        <w:spacing w:before="0" w:after="0"/>
        <w:jc w:val="center"/>
        <w:rPr/>
      </w:pPr>
      <w:r>
        <w:rPr>
          <w:rFonts w:eastAsia="Arial" w:cs="Arial"/>
          <w:b/>
          <w:bCs/>
          <w:color w:val="FFFFFF"/>
          <w:sz w:val="32"/>
          <w:szCs w:val="32"/>
        </w:rPr>
        <w:t>SECTION A: ADMINISTRATION &amp; GOVERNANCE</w:t>
      </w:r>
    </w:p>
    <w:p>
      <w:pPr>
        <w:pStyle w:val="Normal"/>
        <w:spacing w:before="0" w:after="200"/>
        <w:rPr/>
      </w:pPr>
      <w:r>
        <w:rP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#1.00: Individual Rights, HCBS Settings &amp; Rights Modification</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Administration</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1.00</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42 CFR 441.301 (HCBS Settings Final Rule); 26 TAC §263.301 et seq. (Individual Rights); Texas H&amp;S Code §534.101; HHSC HCS Handbook; 42 CFR 438.100</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[HH/CC Provider /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define, protect, and promote the rights of all individuals served through this Host Home/Companion Care (HH/CC) setting, in accordance with the Texas HCS Program rules, the federal HCBS Settings Final Rule, and HHSC policy. This policy ensures that rights are communicated at the time of placement, upheld at all times, and that any modification follows the legally required person-centered process.</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This HH/CC Provider affirms that every individual served has inherent rights that shall be upheld at all times. No right shall be restricted or modified except through the formal, documented rights modification process described in this policy. Individual rights shall be posted in a visible location in the home and reviewed with the individual and the Interdisciplinary Team (IDT) at least annually.</w:t>
      </w:r>
    </w:p>
    <w:p>
      <w:pPr>
        <w:pStyle w:val="Normal"/>
        <w:spacing w:before="120" w:after="40"/>
        <w:rPr/>
      </w:pPr>
      <w:r>
        <w:rPr>
          <w:rFonts w:eastAsia="Arial" w:cs="Arial"/>
          <w:b/>
          <w:bCs/>
          <w:color w:val="2E5DA8"/>
          <w:sz w:val="22"/>
          <w:szCs w:val="22"/>
        </w:rPr>
        <w:t>DEFINITIONS</w:t>
      </w:r>
    </w:p>
    <w:p>
      <w:pPr>
        <w:pStyle w:val="ListParagraph"/>
        <w:numPr>
          <w:ilvl w:val="0"/>
          <w:numId w:val="1"/>
        </w:numPr>
        <w:spacing w:before="30" w:after="30"/>
        <w:rPr/>
      </w:pPr>
      <w:r>
        <w:rPr>
          <w:rFonts w:eastAsia="Arial" w:cs="Arial"/>
          <w:sz w:val="22"/>
          <w:szCs w:val="22"/>
        </w:rPr>
        <w:t>HCBS Settings Final Rule: Federal requirement (42 CFR 441.301) that HCBS-funded settings must be integrated, person-centered, and provide individuals with rights consistent with community members not receiving HCBS.</w:t>
      </w:r>
    </w:p>
    <w:p>
      <w:pPr>
        <w:pStyle w:val="ListParagraph"/>
        <w:numPr>
          <w:ilvl w:val="0"/>
          <w:numId w:val="1"/>
        </w:numPr>
        <w:spacing w:before="30" w:after="30"/>
        <w:rPr/>
      </w:pPr>
      <w:r>
        <w:rPr>
          <w:rFonts w:eastAsia="Arial" w:cs="Arial"/>
          <w:sz w:val="22"/>
          <w:szCs w:val="22"/>
        </w:rPr>
        <w:t>Individual Plan of Care (IPC): The HHSC-approved plan that authorizes waiver services and specifies the services to be provided under the HCS waiver for each individual.</w:t>
      </w:r>
    </w:p>
    <w:p>
      <w:pPr>
        <w:pStyle w:val="ListParagraph"/>
        <w:numPr>
          <w:ilvl w:val="0"/>
          <w:numId w:val="1"/>
        </w:numPr>
        <w:spacing w:before="30" w:after="30"/>
        <w:rPr/>
      </w:pPr>
      <w:r>
        <w:rPr>
          <w:rFonts w:eastAsia="Arial" w:cs="Arial"/>
          <w:sz w:val="22"/>
          <w:szCs w:val="22"/>
        </w:rPr>
        <w:t>Implementation Plan (IP): The detailed plan developed by the Program Provider specifying how authorized HCS services will be implemented to meet the individual's goals and needs.</w:t>
      </w:r>
    </w:p>
    <w:p>
      <w:pPr>
        <w:pStyle w:val="ListParagraph"/>
        <w:numPr>
          <w:ilvl w:val="0"/>
          <w:numId w:val="1"/>
        </w:numPr>
        <w:spacing w:before="30" w:after="30"/>
        <w:rPr/>
      </w:pPr>
      <w:r>
        <w:rPr>
          <w:rFonts w:eastAsia="Arial" w:cs="Arial"/>
          <w:sz w:val="22"/>
          <w:szCs w:val="22"/>
        </w:rPr>
        <w:t>Interdisciplinary Team (IDT): The group that develops and reviews the individual's IPC and IP, including the individual, their legally authorized representative (LAR), the Service Coordinator, and service providers.</w:t>
      </w:r>
    </w:p>
    <w:p>
      <w:pPr>
        <w:pStyle w:val="ListParagraph"/>
        <w:numPr>
          <w:ilvl w:val="0"/>
          <w:numId w:val="1"/>
        </w:numPr>
        <w:spacing w:before="30" w:after="30"/>
        <w:rPr/>
      </w:pPr>
      <w:r>
        <w:rPr>
          <w:rFonts w:eastAsia="Arial" w:cs="Arial"/>
          <w:sz w:val="22"/>
          <w:szCs w:val="22"/>
        </w:rPr>
        <w:t>LIDDA: Local Intellectual and Developmental Disability Authority — the local entity responsible for intake, eligibility determination, and service coordination for IDD waiver services.</w:t>
      </w:r>
    </w:p>
    <w:p>
      <w:pPr>
        <w:pStyle w:val="ListParagraph"/>
        <w:numPr>
          <w:ilvl w:val="0"/>
          <w:numId w:val="1"/>
        </w:numPr>
        <w:spacing w:before="30" w:after="30"/>
        <w:rPr/>
      </w:pPr>
      <w:r>
        <w:rPr>
          <w:rFonts w:eastAsia="Arial" w:cs="Arial"/>
          <w:sz w:val="22"/>
          <w:szCs w:val="22"/>
        </w:rPr>
        <w:t>Service Coordinator: The LIDDA staff member responsible for developing and monitoring the individual's IPC and coordinating services.</w:t>
      </w:r>
    </w:p>
    <w:p>
      <w:pPr>
        <w:pStyle w:val="ListParagraph"/>
        <w:numPr>
          <w:ilvl w:val="0"/>
          <w:numId w:val="1"/>
        </w:numPr>
        <w:spacing w:before="30" w:after="30"/>
        <w:rPr/>
      </w:pPr>
      <w:r>
        <w:rPr>
          <w:rFonts w:eastAsia="Arial" w:cs="Arial"/>
          <w:sz w:val="22"/>
          <w:szCs w:val="22"/>
        </w:rPr>
        <w:t>Legally Authorized Representative (LAR): A person authorized by law to act on behalf of an individual who cannot make their own decisions.</w:t>
      </w:r>
    </w:p>
    <w:p>
      <w:pPr>
        <w:pStyle w:val="Normal"/>
        <w:spacing w:before="120" w:after="40"/>
        <w:rPr/>
      </w:pPr>
      <w:r>
        <w:rPr>
          <w:rFonts w:eastAsia="Arial" w:cs="Arial"/>
          <w:b/>
          <w:bCs/>
          <w:color w:val="2E5DA8"/>
          <w:sz w:val="22"/>
          <w:szCs w:val="22"/>
        </w:rPr>
        <w:t>SCOPE OF INDIVIDUAL RIGHTS</w:t>
      </w:r>
    </w:p>
    <w:p>
      <w:pPr>
        <w:pStyle w:val="Normal"/>
        <w:spacing w:before="140" w:after="60"/>
        <w:rPr/>
      </w:pPr>
      <w:r>
        <w:rPr>
          <w:rFonts w:eastAsia="Arial" w:cs="Arial"/>
          <w:b/>
          <w:bCs/>
          <w:sz w:val="22"/>
          <w:szCs w:val="22"/>
          <w:u w:val="single"/>
        </w:rPr>
        <w:t>A. Civil and Human Rights</w:t>
      </w:r>
    </w:p>
    <w:p>
      <w:pPr>
        <w:pStyle w:val="Normal"/>
        <w:spacing w:before="30" w:after="30"/>
        <w:ind w:hanging="360" w:start="720"/>
        <w:rPr/>
      </w:pPr>
      <w:r>
        <w:rPr>
          <w:rFonts w:eastAsia="Arial" w:cs="Arial"/>
          <w:b/>
          <w:bCs/>
          <w:sz w:val="22"/>
          <w:szCs w:val="22"/>
        </w:rPr>
        <w:t xml:space="preserve">a.  </w:t>
      </w:r>
      <w:r>
        <w:rPr>
          <w:rFonts w:eastAsia="Arial" w:cs="Arial"/>
          <w:sz w:val="22"/>
          <w:szCs w:val="22"/>
        </w:rPr>
        <w:t>The right to be treated with dignity, respect, and courtesy at all times.</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right to be free from abuse, neglect, exploitation, mistreatment, and unauthorized restraint per Texas H&amp;S Code §48.002 and applicable HCS Program rules.</w:t>
      </w:r>
    </w:p>
    <w:p>
      <w:pPr>
        <w:pStyle w:val="Normal"/>
        <w:spacing w:before="30" w:after="30"/>
        <w:ind w:hanging="360" w:start="720"/>
        <w:rPr/>
      </w:pPr>
      <w:r>
        <w:rPr>
          <w:rFonts w:eastAsia="Arial" w:cs="Arial"/>
          <w:b/>
          <w:bCs/>
          <w:sz w:val="22"/>
          <w:szCs w:val="22"/>
        </w:rPr>
        <w:t xml:space="preserve">c.  </w:t>
      </w:r>
      <w:r>
        <w:rPr>
          <w:rFonts w:eastAsia="Arial" w:cs="Arial"/>
          <w:sz w:val="22"/>
          <w:szCs w:val="22"/>
        </w:rPr>
        <w:t>The right to privacy in treatment, personal care, communications, and personal space.</w:t>
      </w:r>
    </w:p>
    <w:p>
      <w:pPr>
        <w:pStyle w:val="Normal"/>
        <w:spacing w:before="30" w:after="30"/>
        <w:ind w:hanging="360" w:start="720"/>
        <w:rPr/>
      </w:pPr>
      <w:r>
        <w:rPr>
          <w:rFonts w:eastAsia="Arial" w:cs="Arial"/>
          <w:b/>
          <w:bCs/>
          <w:sz w:val="22"/>
          <w:szCs w:val="22"/>
        </w:rPr>
        <w:t xml:space="preserve">d.  </w:t>
      </w:r>
      <w:r>
        <w:rPr>
          <w:rFonts w:eastAsia="Arial" w:cs="Arial"/>
          <w:sz w:val="22"/>
          <w:szCs w:val="22"/>
        </w:rPr>
        <w:t>The right to practice religion, culture, and personal beliefs freely.</w:t>
      </w:r>
    </w:p>
    <w:p>
      <w:pPr>
        <w:pStyle w:val="Normal"/>
        <w:spacing w:before="30" w:after="30"/>
        <w:ind w:hanging="360" w:start="720"/>
        <w:rPr/>
      </w:pPr>
      <w:r>
        <w:rPr>
          <w:rFonts w:eastAsia="Arial" w:cs="Arial"/>
          <w:b/>
          <w:bCs/>
          <w:sz w:val="22"/>
          <w:szCs w:val="22"/>
        </w:rPr>
        <w:t xml:space="preserve">e.  </w:t>
      </w:r>
      <w:r>
        <w:rPr>
          <w:rFonts w:eastAsia="Arial" w:cs="Arial"/>
          <w:sz w:val="22"/>
          <w:szCs w:val="22"/>
        </w:rPr>
        <w:t>The right to vote in elections without interference.</w:t>
      </w:r>
    </w:p>
    <w:p>
      <w:pPr>
        <w:pStyle w:val="Normal"/>
        <w:spacing w:before="30" w:after="30"/>
        <w:ind w:hanging="360" w:start="720"/>
        <w:rPr/>
      </w:pPr>
      <w:r>
        <w:rPr>
          <w:rFonts w:eastAsia="Arial" w:cs="Arial"/>
          <w:b/>
          <w:bCs/>
          <w:sz w:val="22"/>
          <w:szCs w:val="22"/>
        </w:rPr>
        <w:t xml:space="preserve">f.  </w:t>
      </w:r>
      <w:r>
        <w:rPr>
          <w:rFonts w:eastAsia="Arial" w:cs="Arial"/>
          <w:sz w:val="22"/>
          <w:szCs w:val="22"/>
        </w:rPr>
        <w:t>The right to access legal counsel and to file complaints with any government agency without retaliation.</w:t>
      </w:r>
    </w:p>
    <w:p>
      <w:pPr>
        <w:pStyle w:val="Normal"/>
        <w:spacing w:before="30" w:after="30"/>
        <w:ind w:hanging="360" w:start="720"/>
        <w:rPr/>
      </w:pPr>
      <w:r>
        <w:rPr>
          <w:rFonts w:eastAsia="Arial" w:cs="Arial"/>
          <w:b/>
          <w:bCs/>
          <w:sz w:val="22"/>
          <w:szCs w:val="22"/>
        </w:rPr>
        <w:t xml:space="preserve">g.  </w:t>
      </w:r>
      <w:r>
        <w:rPr>
          <w:rFonts w:eastAsia="Arial" w:cs="Arial"/>
          <w:sz w:val="22"/>
          <w:szCs w:val="22"/>
        </w:rPr>
        <w:t>The right to be free from discrimination on the basis of race, color, national origin, sex, disability, age, sexual orientation, gender identity, religion, or any other protected class.</w:t>
      </w:r>
    </w:p>
    <w:p>
      <w:pPr>
        <w:pStyle w:val="Normal"/>
        <w:spacing w:before="140" w:after="60"/>
        <w:rPr/>
      </w:pPr>
      <w:r>
        <w:rPr>
          <w:rFonts w:eastAsia="Arial" w:cs="Arial"/>
          <w:b/>
          <w:bCs/>
          <w:sz w:val="22"/>
          <w:szCs w:val="22"/>
          <w:u w:val="single"/>
        </w:rPr>
        <w:t>B. Rights in the HH/CC Setting (HCBS Settings Compliance)</w:t>
      </w:r>
    </w:p>
    <w:p>
      <w:pPr>
        <w:pStyle w:val="Normal"/>
        <w:spacing w:before="30" w:after="30"/>
        <w:ind w:hanging="360" w:start="720"/>
        <w:rPr/>
      </w:pPr>
      <w:r>
        <w:rPr>
          <w:rFonts w:eastAsia="Arial" w:cs="Arial"/>
          <w:b/>
          <w:bCs/>
          <w:sz w:val="22"/>
          <w:szCs w:val="22"/>
        </w:rPr>
        <w:t xml:space="preserve">a.  </w:t>
      </w:r>
      <w:r>
        <w:rPr>
          <w:rFonts w:eastAsia="Arial" w:cs="Arial"/>
          <w:sz w:val="22"/>
          <w:szCs w:val="22"/>
        </w:rPr>
        <w:t>The right to have a key or key code to the home and the ability to enter and exit at any time.</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right to privacy in the bedroom and to furnish and decorate personal space within normal household guidelines.</w:t>
      </w:r>
    </w:p>
    <w:p>
      <w:pPr>
        <w:pStyle w:val="Normal"/>
        <w:spacing w:before="30" w:after="30"/>
        <w:ind w:hanging="360" w:start="720"/>
        <w:rPr/>
      </w:pPr>
      <w:r>
        <w:rPr>
          <w:rFonts w:eastAsia="Arial" w:cs="Arial"/>
          <w:b/>
          <w:bCs/>
          <w:sz w:val="22"/>
          <w:szCs w:val="22"/>
        </w:rPr>
        <w:t xml:space="preserve">c.  </w:t>
      </w:r>
      <w:r>
        <w:rPr>
          <w:rFonts w:eastAsia="Arial" w:cs="Arial"/>
          <w:sz w:val="22"/>
          <w:szCs w:val="22"/>
        </w:rPr>
        <w:t>The right to have visitors, including overnight visitors, at any time, subject only to the individual's own preference.</w:t>
      </w:r>
    </w:p>
    <w:p>
      <w:pPr>
        <w:pStyle w:val="Normal"/>
        <w:spacing w:before="30" w:after="30"/>
        <w:ind w:hanging="360" w:start="720"/>
        <w:rPr/>
      </w:pPr>
      <w:r>
        <w:rPr>
          <w:rFonts w:eastAsia="Arial" w:cs="Arial"/>
          <w:b/>
          <w:bCs/>
          <w:sz w:val="22"/>
          <w:szCs w:val="22"/>
        </w:rPr>
        <w:t xml:space="preserve">d.  </w:t>
      </w:r>
      <w:r>
        <w:rPr>
          <w:rFonts w:eastAsia="Arial" w:cs="Arial"/>
          <w:sz w:val="22"/>
          <w:szCs w:val="22"/>
        </w:rPr>
        <w:t>The right to access food at any time.</w:t>
      </w:r>
    </w:p>
    <w:p>
      <w:pPr>
        <w:pStyle w:val="Normal"/>
        <w:spacing w:before="30" w:after="30"/>
        <w:ind w:hanging="360" w:start="720"/>
        <w:rPr/>
      </w:pPr>
      <w:r>
        <w:rPr>
          <w:rFonts w:eastAsia="Arial" w:cs="Arial"/>
          <w:b/>
          <w:bCs/>
          <w:sz w:val="22"/>
          <w:szCs w:val="22"/>
        </w:rPr>
        <w:t xml:space="preserve">e.  </w:t>
      </w:r>
      <w:r>
        <w:rPr>
          <w:rFonts w:eastAsia="Arial" w:cs="Arial"/>
          <w:sz w:val="22"/>
          <w:szCs w:val="22"/>
        </w:rPr>
        <w:t>The right to choose their own daily schedule, including sleeping, waking, meals, and activities.</w:t>
      </w:r>
    </w:p>
    <w:p>
      <w:pPr>
        <w:pStyle w:val="Normal"/>
        <w:spacing w:before="30" w:after="30"/>
        <w:ind w:hanging="360" w:start="720"/>
        <w:rPr/>
      </w:pPr>
      <w:r>
        <w:rPr>
          <w:rFonts w:eastAsia="Arial" w:cs="Arial"/>
          <w:b/>
          <w:bCs/>
          <w:sz w:val="22"/>
          <w:szCs w:val="22"/>
        </w:rPr>
        <w:t xml:space="preserve">f.  </w:t>
      </w:r>
      <w:r>
        <w:rPr>
          <w:rFonts w:eastAsia="Arial" w:cs="Arial"/>
          <w:sz w:val="22"/>
          <w:szCs w:val="22"/>
        </w:rPr>
        <w:t>The right to receive services in a setting that is integrated in the broader Texas community.</w:t>
      </w:r>
    </w:p>
    <w:p>
      <w:pPr>
        <w:pStyle w:val="Normal"/>
        <w:spacing w:before="140" w:after="60"/>
        <w:rPr/>
      </w:pPr>
      <w:r>
        <w:rPr>
          <w:rFonts w:eastAsia="Arial" w:cs="Arial"/>
          <w:b/>
          <w:bCs/>
          <w:sz w:val="22"/>
          <w:szCs w:val="22"/>
          <w:u w:val="single"/>
        </w:rPr>
        <w:t>C. Rights in Care and Services</w:t>
      </w:r>
    </w:p>
    <w:p>
      <w:pPr>
        <w:pStyle w:val="Normal"/>
        <w:spacing w:before="30" w:after="30"/>
        <w:ind w:hanging="360" w:start="720"/>
        <w:rPr/>
      </w:pPr>
      <w:r>
        <w:rPr>
          <w:rFonts w:eastAsia="Arial" w:cs="Arial"/>
          <w:b/>
          <w:bCs/>
          <w:sz w:val="22"/>
          <w:szCs w:val="22"/>
        </w:rPr>
        <w:t xml:space="preserve">a.  </w:t>
      </w:r>
      <w:r>
        <w:rPr>
          <w:rFonts w:eastAsia="Arial" w:cs="Arial"/>
          <w:sz w:val="22"/>
          <w:szCs w:val="22"/>
        </w:rPr>
        <w:t>The right to participate in the development, review, and revision of the IPC and IP.</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right to make choices about daily life, activities, meals, and social engagements.</w:t>
      </w:r>
    </w:p>
    <w:p>
      <w:pPr>
        <w:pStyle w:val="Normal"/>
        <w:spacing w:before="30" w:after="30"/>
        <w:ind w:hanging="360" w:start="720"/>
        <w:rPr/>
      </w:pPr>
      <w:r>
        <w:rPr>
          <w:rFonts w:eastAsia="Arial" w:cs="Arial"/>
          <w:b/>
          <w:bCs/>
          <w:sz w:val="22"/>
          <w:szCs w:val="22"/>
        </w:rPr>
        <w:t xml:space="preserve">c.  </w:t>
      </w:r>
      <w:r>
        <w:rPr>
          <w:rFonts w:eastAsia="Arial" w:cs="Arial"/>
          <w:sz w:val="22"/>
          <w:szCs w:val="22"/>
        </w:rPr>
        <w:t>The right to accept or refuse services, including medical treatment, in accordance with Texas law.</w:t>
      </w:r>
    </w:p>
    <w:p>
      <w:pPr>
        <w:pStyle w:val="Normal"/>
        <w:spacing w:before="30" w:after="30"/>
        <w:ind w:hanging="360" w:start="720"/>
        <w:rPr/>
      </w:pPr>
      <w:r>
        <w:rPr>
          <w:rFonts w:eastAsia="Arial" w:cs="Arial"/>
          <w:b/>
          <w:bCs/>
          <w:sz w:val="22"/>
          <w:szCs w:val="22"/>
        </w:rPr>
        <w:t xml:space="preserve">d.  </w:t>
      </w:r>
      <w:r>
        <w:rPr>
          <w:rFonts w:eastAsia="Arial" w:cs="Arial"/>
          <w:sz w:val="22"/>
          <w:szCs w:val="22"/>
        </w:rPr>
        <w:t>The right to receive services from providers who are qualified, trained, and supervised.</w:t>
      </w:r>
    </w:p>
    <w:p>
      <w:pPr>
        <w:pStyle w:val="Normal"/>
        <w:spacing w:before="30" w:after="30"/>
        <w:ind w:hanging="360" w:start="720"/>
        <w:rPr/>
      </w:pPr>
      <w:r>
        <w:rPr>
          <w:rFonts w:eastAsia="Arial" w:cs="Arial"/>
          <w:b/>
          <w:bCs/>
          <w:sz w:val="22"/>
          <w:szCs w:val="22"/>
        </w:rPr>
        <w:t xml:space="preserve">e.  </w:t>
      </w:r>
      <w:r>
        <w:rPr>
          <w:rFonts w:eastAsia="Arial" w:cs="Arial"/>
          <w:sz w:val="22"/>
          <w:szCs w:val="22"/>
        </w:rPr>
        <w:t>The right to continuity of care and to transition to another setting of choice with adequate notice and support.</w:t>
      </w:r>
    </w:p>
    <w:p>
      <w:pPr>
        <w:pStyle w:val="Normal"/>
        <w:spacing w:before="140" w:after="60"/>
        <w:rPr/>
      </w:pPr>
      <w:r>
        <w:rPr>
          <w:rFonts w:eastAsia="Arial" w:cs="Arial"/>
          <w:b/>
          <w:bCs/>
          <w:sz w:val="22"/>
          <w:szCs w:val="22"/>
          <w:u w:val="single"/>
        </w:rPr>
        <w:t>D. Limited English Proficiency &amp; Accessibility</w:t>
      </w:r>
    </w:p>
    <w:p>
      <w:pPr>
        <w:pStyle w:val="Normal"/>
        <w:spacing w:before="30" w:after="30"/>
        <w:ind w:hanging="360" w:start="720"/>
        <w:rPr/>
      </w:pPr>
      <w:r>
        <w:rPr>
          <w:rFonts w:eastAsia="Arial" w:cs="Arial"/>
          <w:b/>
          <w:bCs/>
          <w:sz w:val="22"/>
          <w:szCs w:val="22"/>
        </w:rPr>
        <w:t xml:space="preserve">a.  </w:t>
      </w:r>
      <w:r>
        <w:rPr>
          <w:rFonts w:eastAsia="Arial" w:cs="Arial"/>
          <w:sz w:val="22"/>
          <w:szCs w:val="22"/>
        </w:rPr>
        <w:t>Individuals who communicate in a language other than English shall receive interpreter services at no cost.</w:t>
      </w:r>
    </w:p>
    <w:p>
      <w:pPr>
        <w:pStyle w:val="Normal"/>
        <w:spacing w:before="30" w:after="30"/>
        <w:ind w:hanging="360" w:start="720"/>
        <w:rPr/>
      </w:pPr>
      <w:r>
        <w:rPr>
          <w:rFonts w:eastAsia="Arial" w:cs="Arial"/>
          <w:b/>
          <w:bCs/>
          <w:sz w:val="22"/>
          <w:szCs w:val="22"/>
        </w:rPr>
        <w:t xml:space="preserve">b.  </w:t>
      </w:r>
      <w:r>
        <w:rPr>
          <w:rFonts w:eastAsia="Arial" w:cs="Arial"/>
          <w:sz w:val="22"/>
          <w:szCs w:val="22"/>
        </w:rPr>
        <w:t>Individuals with communication disabilities shall receive services in accessible formats at no cost.</w:t>
      </w:r>
    </w:p>
    <w:p>
      <w:pPr>
        <w:pStyle w:val="Normal"/>
        <w:spacing w:before="120" w:after="40"/>
        <w:rPr/>
      </w:pPr>
      <w:r>
        <w:rPr>
          <w:rFonts w:eastAsia="Arial" w:cs="Arial"/>
          <w:b/>
          <w:bCs/>
          <w:color w:val="2E5DA8"/>
          <w:sz w:val="22"/>
          <w:szCs w:val="22"/>
        </w:rPr>
        <w:t>RIGHTS MODIFICATION PROCEDURE</w:t>
      </w:r>
    </w:p>
    <w:p>
      <w:pPr>
        <w:pStyle w:val="Normal"/>
        <w:spacing w:before="40" w:after="60"/>
        <w:rPr/>
      </w:pPr>
      <w:r>
        <w:rPr>
          <w:rFonts w:eastAsia="Arial" w:cs="Arial"/>
          <w:sz w:val="22"/>
          <w:szCs w:val="22"/>
        </w:rPr>
        <w:t>A rights modification may only occur when ALL of the following conditions are met:</w:t>
      </w:r>
    </w:p>
    <w:p>
      <w:pPr>
        <w:pStyle w:val="Normal"/>
        <w:spacing w:before="30" w:after="30"/>
        <w:ind w:hanging="360" w:start="720"/>
        <w:rPr/>
      </w:pPr>
      <w:r>
        <w:rPr>
          <w:rFonts w:eastAsia="Arial" w:cs="Arial"/>
          <w:b/>
          <w:bCs/>
          <w:sz w:val="22"/>
          <w:szCs w:val="22"/>
        </w:rPr>
        <w:t xml:space="preserve">a.  </w:t>
      </w:r>
      <w:r>
        <w:rPr>
          <w:rFonts w:eastAsia="Arial" w:cs="Arial"/>
          <w:sz w:val="22"/>
          <w:szCs w:val="22"/>
        </w:rPr>
        <w:t>There is a specific assessed need documented in the individual's record.</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modification is the least restrictive alternative available.</w:t>
      </w:r>
    </w:p>
    <w:p>
      <w:pPr>
        <w:pStyle w:val="Normal"/>
        <w:spacing w:before="30" w:after="30"/>
        <w:ind w:hanging="360" w:start="720"/>
        <w:rPr/>
      </w:pPr>
      <w:r>
        <w:rPr>
          <w:rFonts w:eastAsia="Arial" w:cs="Arial"/>
          <w:b/>
          <w:bCs/>
          <w:sz w:val="22"/>
          <w:szCs w:val="22"/>
        </w:rPr>
        <w:t xml:space="preserve">c.  </w:t>
      </w:r>
      <w:r>
        <w:rPr>
          <w:rFonts w:eastAsia="Arial" w:cs="Arial"/>
          <w:sz w:val="22"/>
          <w:szCs w:val="22"/>
        </w:rPr>
        <w:t>The individual and/or LAR has provided written informed consent.</w:t>
      </w:r>
    </w:p>
    <w:p>
      <w:pPr>
        <w:pStyle w:val="Normal"/>
        <w:spacing w:before="30" w:after="30"/>
        <w:ind w:hanging="360" w:start="720"/>
        <w:rPr/>
      </w:pPr>
      <w:r>
        <w:rPr>
          <w:rFonts w:eastAsia="Arial" w:cs="Arial"/>
          <w:b/>
          <w:bCs/>
          <w:sz w:val="22"/>
          <w:szCs w:val="22"/>
        </w:rPr>
        <w:t xml:space="preserve">d.  </w:t>
      </w:r>
      <w:r>
        <w:rPr>
          <w:rFonts w:eastAsia="Arial" w:cs="Arial"/>
          <w:sz w:val="22"/>
          <w:szCs w:val="22"/>
        </w:rPr>
        <w:t>The modification is reviewed and approved by the IDT, including the Service Coordinator.</w:t>
      </w:r>
    </w:p>
    <w:p>
      <w:pPr>
        <w:pStyle w:val="Normal"/>
        <w:spacing w:before="30" w:after="30"/>
        <w:ind w:hanging="360" w:start="720"/>
        <w:rPr/>
      </w:pPr>
      <w:r>
        <w:rPr>
          <w:rFonts w:eastAsia="Arial" w:cs="Arial"/>
          <w:b/>
          <w:bCs/>
          <w:sz w:val="22"/>
          <w:szCs w:val="22"/>
        </w:rPr>
        <w:t xml:space="preserve">e.  </w:t>
      </w:r>
      <w:r>
        <w:rPr>
          <w:rFonts w:eastAsia="Arial" w:cs="Arial"/>
          <w:sz w:val="22"/>
          <w:szCs w:val="22"/>
        </w:rPr>
        <w:t>The modification is time-limited with measurable goals and a plan for fading or elimination.</w:t>
      </w:r>
    </w:p>
    <w:p>
      <w:pPr>
        <w:pStyle w:val="Normal"/>
        <w:spacing w:before="30" w:after="30"/>
        <w:ind w:hanging="360" w:start="720"/>
        <w:rPr/>
      </w:pPr>
      <w:r>
        <w:rPr>
          <w:rFonts w:eastAsia="Arial" w:cs="Arial"/>
          <w:b/>
          <w:bCs/>
          <w:sz w:val="22"/>
          <w:szCs w:val="22"/>
        </w:rPr>
        <w:t xml:space="preserve">f.  </w:t>
      </w:r>
      <w:r>
        <w:rPr>
          <w:rFonts w:eastAsia="Arial" w:cs="Arial"/>
          <w:sz w:val="22"/>
          <w:szCs w:val="22"/>
        </w:rPr>
        <w:t>The modification is reviewed at least quarterly and at each IPC/IP review.</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Step 1 — Rights Communication (At Placement)</w:t>
      </w:r>
    </w:p>
    <w:p>
      <w:pPr>
        <w:pStyle w:val="Normal"/>
        <w:spacing w:before="30" w:after="30"/>
        <w:ind w:hanging="360" w:start="720"/>
        <w:rPr/>
      </w:pPr>
      <w:r>
        <w:rPr>
          <w:rFonts w:eastAsia="Arial" w:cs="Arial"/>
          <w:b/>
          <w:bCs/>
          <w:sz w:val="22"/>
          <w:szCs w:val="22"/>
        </w:rPr>
        <w:t xml:space="preserve">a.  </w:t>
      </w:r>
      <w:r>
        <w:rPr>
          <w:rFonts w:eastAsia="Arial" w:cs="Arial"/>
          <w:sz w:val="22"/>
          <w:szCs w:val="22"/>
        </w:rPr>
        <w:t>The HH/CC Provider shall review all individual rights with the individual and/or LAR within twenty-four (24) hours of placement.</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individual shall receive a written copy of this policy in a format they can understand.</w:t>
      </w:r>
    </w:p>
    <w:p>
      <w:pPr>
        <w:pStyle w:val="Normal"/>
        <w:spacing w:before="30" w:after="30"/>
        <w:ind w:hanging="360" w:start="720"/>
        <w:rPr/>
      </w:pPr>
      <w:r>
        <w:rPr>
          <w:rFonts w:eastAsia="Arial" w:cs="Arial"/>
          <w:b/>
          <w:bCs/>
          <w:sz w:val="22"/>
          <w:szCs w:val="22"/>
        </w:rPr>
        <w:t xml:space="preserve">c.  </w:t>
      </w:r>
      <w:r>
        <w:rPr>
          <w:rFonts w:eastAsia="Arial" w:cs="Arial"/>
          <w:sz w:val="22"/>
          <w:szCs w:val="22"/>
        </w:rPr>
        <w:t>The individual shall sign the Individual Rights Acknowledgment Form (Appendix D). A copy is filed in the individual's permanent record.</w:t>
      </w:r>
    </w:p>
    <w:p>
      <w:pPr>
        <w:pStyle w:val="Normal"/>
        <w:spacing w:before="30" w:after="30"/>
        <w:ind w:hanging="360" w:start="720"/>
        <w:rPr/>
      </w:pPr>
      <w:r>
        <w:rPr>
          <w:rFonts w:eastAsia="Arial" w:cs="Arial"/>
          <w:b/>
          <w:bCs/>
          <w:sz w:val="22"/>
          <w:szCs w:val="22"/>
        </w:rPr>
        <w:t xml:space="preserve">d.  </w:t>
      </w:r>
      <w:r>
        <w:rPr>
          <w:rFonts w:eastAsia="Arial" w:cs="Arial"/>
          <w:sz w:val="22"/>
          <w:szCs w:val="22"/>
        </w:rPr>
        <w:t>Rights information shall be posted in a prominent location in the home.</w:t>
      </w:r>
    </w:p>
    <w:p>
      <w:pPr>
        <w:pStyle w:val="Normal"/>
        <w:spacing w:before="140" w:after="60"/>
        <w:rPr/>
      </w:pPr>
      <w:r>
        <w:rPr>
          <w:rFonts w:eastAsia="Arial" w:cs="Arial"/>
          <w:b/>
          <w:bCs/>
          <w:sz w:val="22"/>
          <w:szCs w:val="22"/>
          <w:u w:val="single"/>
        </w:rPr>
        <w:t>Step 2 — Annual Rights Review</w:t>
      </w:r>
    </w:p>
    <w:p>
      <w:pPr>
        <w:pStyle w:val="Normal"/>
        <w:spacing w:before="30" w:after="30"/>
        <w:ind w:hanging="360" w:start="720"/>
        <w:rPr/>
      </w:pPr>
      <w:r>
        <w:rPr>
          <w:rFonts w:eastAsia="Arial" w:cs="Arial"/>
          <w:b/>
          <w:bCs/>
          <w:sz w:val="22"/>
          <w:szCs w:val="22"/>
        </w:rPr>
        <w:t xml:space="preserve">a.  </w:t>
      </w:r>
      <w:r>
        <w:rPr>
          <w:rFonts w:eastAsia="Arial" w:cs="Arial"/>
          <w:sz w:val="22"/>
          <w:szCs w:val="22"/>
        </w:rPr>
        <w:t>Rights shall be reviewed at each annual IPC/IP review meeting and whenever a modification is proposed.</w:t>
      </w:r>
    </w:p>
    <w:p>
      <w:pPr>
        <w:pStyle w:val="Normal"/>
        <w:spacing w:before="30" w:after="30"/>
        <w:ind w:hanging="360" w:start="720"/>
        <w:rPr/>
      </w:pPr>
      <w:r>
        <w:rPr>
          <w:rFonts w:eastAsia="Arial" w:cs="Arial"/>
          <w:b/>
          <w:bCs/>
          <w:sz w:val="22"/>
          <w:szCs w:val="22"/>
        </w:rPr>
        <w:t xml:space="preserve">b.  </w:t>
      </w:r>
      <w:r>
        <w:rPr>
          <w:rFonts w:eastAsia="Arial" w:cs="Arial"/>
          <w:sz w:val="22"/>
          <w:szCs w:val="22"/>
        </w:rPr>
        <w:t>Documentation of the annual review shall be signed by all IDT members and filed.</w:t>
      </w:r>
    </w:p>
    <w:p>
      <w:pPr>
        <w:pStyle w:val="Normal"/>
        <w:spacing w:before="140" w:after="60"/>
        <w:rPr/>
      </w:pPr>
      <w:r>
        <w:rPr>
          <w:rFonts w:eastAsia="Arial" w:cs="Arial"/>
          <w:b/>
          <w:bCs/>
          <w:sz w:val="22"/>
          <w:szCs w:val="22"/>
          <w:u w:val="single"/>
        </w:rPr>
        <w:t>Step 3 — Rights Modification Request</w:t>
      </w:r>
    </w:p>
    <w:p>
      <w:pPr>
        <w:pStyle w:val="Normal"/>
        <w:spacing w:before="30" w:after="30"/>
        <w:ind w:hanging="360" w:start="720"/>
        <w:rPr/>
      </w:pPr>
      <w:r>
        <w:rPr>
          <w:rFonts w:eastAsia="Arial" w:cs="Arial"/>
          <w:b/>
          <w:bCs/>
          <w:sz w:val="22"/>
          <w:szCs w:val="22"/>
        </w:rPr>
        <w:t xml:space="preserve">a.  </w:t>
      </w:r>
      <w:r>
        <w:rPr>
          <w:rFonts w:eastAsia="Arial" w:cs="Arial"/>
          <w:sz w:val="22"/>
          <w:szCs w:val="22"/>
        </w:rPr>
        <w:t>The HH/CC Provider or IDT identifies a need for modification and documents the specific assessed need.</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Program Provider and Service Coordinator are notified and an IDT meeting is scheduled.</w:t>
      </w:r>
    </w:p>
    <w:p>
      <w:pPr>
        <w:pStyle w:val="Normal"/>
        <w:spacing w:before="30" w:after="30"/>
        <w:ind w:hanging="360" w:start="720"/>
        <w:rPr/>
      </w:pPr>
      <w:r>
        <w:rPr>
          <w:rFonts w:eastAsia="Arial" w:cs="Arial"/>
          <w:b/>
          <w:bCs/>
          <w:sz w:val="22"/>
          <w:szCs w:val="22"/>
        </w:rPr>
        <w:t xml:space="preserve">c.  </w:t>
      </w:r>
      <w:r>
        <w:rPr>
          <w:rFonts w:eastAsia="Arial" w:cs="Arial"/>
          <w:sz w:val="22"/>
          <w:szCs w:val="22"/>
        </w:rPr>
        <w:t>Written informed consent is obtained from the individual and/or LAR before any modification is implemented.</w:t>
      </w:r>
    </w:p>
    <w:p>
      <w:pPr>
        <w:pStyle w:val="Normal"/>
        <w:spacing w:before="30" w:after="30"/>
        <w:ind w:hanging="360" w:start="720"/>
        <w:rPr/>
      </w:pPr>
      <w:r>
        <w:rPr>
          <w:rFonts w:eastAsia="Arial" w:cs="Arial"/>
          <w:b/>
          <w:bCs/>
          <w:sz w:val="22"/>
          <w:szCs w:val="22"/>
        </w:rPr>
        <w:t xml:space="preserve">d.  </w:t>
      </w:r>
      <w:r>
        <w:rPr>
          <w:rFonts w:eastAsia="Arial" w:cs="Arial"/>
          <w:sz w:val="22"/>
          <w:szCs w:val="22"/>
        </w:rPr>
        <w:t>The modification is reviewed at least quarterly at IDT meetings.</w:t>
      </w:r>
    </w:p>
    <w:p>
      <w:pPr>
        <w:pStyle w:val="Normal"/>
        <w:spacing w:before="140" w:after="60"/>
        <w:rPr/>
      </w:pPr>
      <w:r>
        <w:rPr>
          <w:rFonts w:eastAsia="Arial" w:cs="Arial"/>
          <w:b/>
          <w:bCs/>
          <w:sz w:val="22"/>
          <w:szCs w:val="22"/>
          <w:u w:val="single"/>
        </w:rPr>
        <w:t>Step 4 — External Complaint Options</w:t>
      </w:r>
    </w:p>
    <w:p>
      <w:pPr>
        <w:pStyle w:val="Normal"/>
        <w:spacing w:before="40" w:after="60"/>
        <w:rPr/>
      </w:pPr>
      <w:r>
        <w:rPr>
          <w:rFonts w:eastAsia="Arial" w:cs="Arial"/>
          <w:sz w:val="22"/>
          <w:szCs w:val="22"/>
        </w:rPr>
        <w:t>Individuals have the right to contact external agencies at any time:</w:t>
      </w:r>
    </w:p>
    <w:p>
      <w:pPr>
        <w:pStyle w:val="ListParagraph"/>
        <w:numPr>
          <w:ilvl w:val="0"/>
          <w:numId w:val="1"/>
        </w:numPr>
        <w:spacing w:before="30" w:after="30"/>
        <w:rPr/>
      </w:pPr>
      <w:r>
        <w:rPr>
          <w:rFonts w:eastAsia="Arial" w:cs="Arial"/>
          <w:sz w:val="22"/>
          <w:szCs w:val="22"/>
        </w:rPr>
        <w:t>HHSC IDD Ombudsman: 1-877-787-8999</w:t>
      </w:r>
    </w:p>
    <w:p>
      <w:pPr>
        <w:pStyle w:val="ListParagraph"/>
        <w:numPr>
          <w:ilvl w:val="0"/>
          <w:numId w:val="1"/>
        </w:numPr>
        <w:spacing w:before="30" w:after="30"/>
        <w:rPr/>
      </w:pPr>
      <w:r>
        <w:rPr>
          <w:rFonts w:eastAsia="Arial" w:cs="Arial"/>
          <w:sz w:val="22"/>
          <w:szCs w:val="22"/>
        </w:rPr>
        <w:t>Texas DFPS Adult Protective Services: 1-800-458-9858 (24-hour)</w:t>
      </w:r>
    </w:p>
    <w:p>
      <w:pPr>
        <w:pStyle w:val="ListParagraph"/>
        <w:numPr>
          <w:ilvl w:val="0"/>
          <w:numId w:val="1"/>
        </w:numPr>
        <w:spacing w:before="30" w:after="30"/>
        <w:rPr/>
      </w:pPr>
      <w:r>
        <w:rPr>
          <w:rFonts w:eastAsia="Arial" w:cs="Arial"/>
          <w:sz w:val="22"/>
          <w:szCs w:val="22"/>
        </w:rPr>
        <w:t>HHSC Long-Term Care Ombudsman: 1-800-252-2412</w:t>
      </w:r>
    </w:p>
    <w:p>
      <w:pPr>
        <w:pStyle w:val="ListParagraph"/>
        <w:numPr>
          <w:ilvl w:val="0"/>
          <w:numId w:val="1"/>
        </w:numPr>
        <w:spacing w:before="30" w:after="30"/>
        <w:rPr/>
      </w:pPr>
      <w:r>
        <w:rPr>
          <w:rFonts w:eastAsia="Arial" w:cs="Arial"/>
          <w:sz w:val="22"/>
          <w:szCs w:val="22"/>
        </w:rPr>
        <w:t>Disability Rights Texas: 1-800-252-9108 | disabilityrightstx.org</w:t>
      </w:r>
    </w:p>
    <w:p>
      <w:pPr>
        <w:pStyle w:val="ListParagraph"/>
        <w:numPr>
          <w:ilvl w:val="0"/>
          <w:numId w:val="1"/>
        </w:numPr>
        <w:spacing w:before="30" w:after="30"/>
        <w:rPr/>
      </w:pPr>
      <w:r>
        <w:rPr>
          <w:rFonts w:eastAsia="Arial" w:cs="Arial"/>
          <w:sz w:val="22"/>
          <w:szCs w:val="22"/>
        </w:rPr>
        <w:t>HHSC Civil Rights Office: (512) 438-4313</w:t>
      </w:r>
    </w:p>
    <w:p>
      <w:pPr>
        <w:pStyle w:val="ListParagraph"/>
        <w:numPr>
          <w:ilvl w:val="0"/>
          <w:numId w:val="1"/>
        </w:numPr>
        <w:spacing w:before="30" w:after="30"/>
        <w:rPr/>
      </w:pPr>
      <w:r>
        <w:rPr>
          <w:rFonts w:eastAsia="Arial" w:cs="Arial"/>
          <w:sz w:val="22"/>
          <w:szCs w:val="22"/>
        </w:rPr>
        <w:t>Texas DFPS Abuse/Neglect Hotline: 1-800-252-5400</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Individual Rights Acknowledgment Form (Appendix D)</w:t>
      </w:r>
    </w:p>
    <w:p>
      <w:pPr>
        <w:pStyle w:val="ListParagraph"/>
        <w:numPr>
          <w:ilvl w:val="0"/>
          <w:numId w:val="1"/>
        </w:numPr>
        <w:spacing w:before="30" w:after="30"/>
        <w:rPr/>
      </w:pPr>
      <w:r>
        <w:rPr>
          <w:rFonts w:eastAsia="Arial" w:cs="Arial"/>
          <w:sz w:val="22"/>
          <w:szCs w:val="22"/>
        </w:rPr>
        <w:t>Rights Modification Documentation (per HHSC/Program Provider requirements)</w:t>
      </w:r>
    </w:p>
    <w:p>
      <w:pPr>
        <w:pStyle w:val="ListParagraph"/>
        <w:numPr>
          <w:ilvl w:val="0"/>
          <w:numId w:val="1"/>
        </w:numPr>
        <w:spacing w:before="30" w:after="30"/>
        <w:rPr/>
      </w:pPr>
      <w:r>
        <w:rPr>
          <w:rFonts w:eastAsia="Arial" w:cs="Arial"/>
          <w:sz w:val="22"/>
          <w:szCs w:val="22"/>
        </w:rPr>
        <w:t>Grievance &amp; Complaint Form (Policy 1.03)</w:t>
      </w:r>
    </w:p>
    <w:p>
      <w:pPr>
        <w:pStyle w:val="ListParagraph"/>
        <w:numPr>
          <w:ilvl w:val="0"/>
          <w:numId w:val="1"/>
        </w:numPr>
        <w:spacing w:before="30" w:after="30"/>
        <w:rPr/>
      </w:pPr>
      <w:r>
        <w:rPr>
          <w:rFonts w:eastAsia="Arial" w:cs="Arial"/>
          <w:sz w:val="22"/>
          <w:szCs w:val="22"/>
        </w:rPr>
        <w:t>IPC / Implementation Plan — maintained by LIDDA Service Coordinator</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[HH/CC Provider / Administrator]</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[HH/CC Provider / Administrator]</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[HH/CC Provider / Administrator]</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#1.01: Confidentiality &amp; Health Information Management (HIPAA)</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Administration</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1.01</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HIPAA (45 CFR Parts 160 &amp; 164); Texas H&amp;S Code §181.001 et seq. (Texas Medical Records Privacy Act); 26 TAC §263.301; HCS Program Handbook</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[HH/CC Provider /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establish requirements for the confidential handling, storage, access, and release of protected health information (PHI) and all personal records pertaining to individuals served through this HH/CC setting, in compliance with HIPAA, the Texas Medical Records Privacy Act, and HCS Program requirements.</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This HH/CC Provider shall protect the confidentiality of all individually identifiable health information at all times. Records shall be maintained securely and released only upon proper authorization, legal requirement, or as permitted by applicable law. Violations are subject to disciplinary action up to and including termination of the provider relationship.</w:t>
      </w:r>
    </w:p>
    <w:p>
      <w:pPr>
        <w:pStyle w:val="Normal"/>
        <w:spacing w:before="120" w:after="40"/>
        <w:rPr/>
      </w:pPr>
      <w:r>
        <w:rPr>
          <w:rFonts w:eastAsia="Arial" w:cs="Arial"/>
          <w:b/>
          <w:bCs/>
          <w:color w:val="2E5DA8"/>
          <w:sz w:val="22"/>
          <w:szCs w:val="22"/>
        </w:rPr>
        <w:t>REQUIRED RECORDS</w:t>
      </w:r>
    </w:p>
    <w:p>
      <w:pPr>
        <w:pStyle w:val="Normal"/>
        <w:spacing w:before="40" w:after="60"/>
        <w:rPr/>
      </w:pPr>
      <w:r>
        <w:rPr>
          <w:rFonts w:eastAsia="Arial" w:cs="Arial"/>
          <w:sz w:val="22"/>
          <w:szCs w:val="22"/>
        </w:rPr>
        <w:t>Each individual's record shall contain at minimum:</w:t>
      </w:r>
    </w:p>
    <w:p>
      <w:pPr>
        <w:pStyle w:val="Normal"/>
        <w:spacing w:before="30" w:after="30"/>
        <w:ind w:hanging="360" w:start="720"/>
        <w:rPr/>
      </w:pPr>
      <w:r>
        <w:rPr>
          <w:rFonts w:eastAsia="Arial" w:cs="Arial"/>
          <w:b/>
          <w:bCs/>
          <w:sz w:val="22"/>
          <w:szCs w:val="22"/>
        </w:rPr>
        <w:t xml:space="preserve">a.  </w:t>
      </w:r>
      <w:r>
        <w:rPr>
          <w:rFonts w:eastAsia="Arial" w:cs="Arial"/>
          <w:sz w:val="22"/>
          <w:szCs w:val="22"/>
        </w:rPr>
        <w:t>Face sheet — demographics, emergency contacts, Medicaid ID, HHSC/HCS waiver information</w:t>
      </w:r>
    </w:p>
    <w:p>
      <w:pPr>
        <w:pStyle w:val="Normal"/>
        <w:spacing w:before="30" w:after="30"/>
        <w:ind w:hanging="360" w:start="720"/>
        <w:rPr/>
      </w:pPr>
      <w:r>
        <w:rPr>
          <w:rFonts w:eastAsia="Arial" w:cs="Arial"/>
          <w:b/>
          <w:bCs/>
          <w:sz w:val="22"/>
          <w:szCs w:val="22"/>
        </w:rPr>
        <w:t xml:space="preserve">b.  </w:t>
      </w:r>
      <w:r>
        <w:rPr>
          <w:rFonts w:eastAsia="Arial" w:cs="Arial"/>
          <w:sz w:val="22"/>
          <w:szCs w:val="22"/>
        </w:rPr>
        <w:t>Current IPC and Implementation Plan (IP) and all revisions</w:t>
      </w:r>
    </w:p>
    <w:p>
      <w:pPr>
        <w:pStyle w:val="Normal"/>
        <w:spacing w:before="30" w:after="30"/>
        <w:ind w:hanging="360" w:start="720"/>
        <w:rPr/>
      </w:pPr>
      <w:r>
        <w:rPr>
          <w:rFonts w:eastAsia="Arial" w:cs="Arial"/>
          <w:b/>
          <w:bCs/>
          <w:sz w:val="22"/>
          <w:szCs w:val="22"/>
        </w:rPr>
        <w:t xml:space="preserve">c.  </w:t>
      </w:r>
      <w:r>
        <w:rPr>
          <w:rFonts w:eastAsia="Arial" w:cs="Arial"/>
          <w:sz w:val="22"/>
          <w:szCs w:val="22"/>
        </w:rPr>
        <w:t>Physician / practitioner orders — active standing orders and PRN orders</w:t>
      </w:r>
    </w:p>
    <w:p>
      <w:pPr>
        <w:pStyle w:val="Normal"/>
        <w:spacing w:before="30" w:after="30"/>
        <w:ind w:hanging="360" w:start="720"/>
        <w:rPr/>
      </w:pPr>
      <w:r>
        <w:rPr>
          <w:rFonts w:eastAsia="Arial" w:cs="Arial"/>
          <w:b/>
          <w:bCs/>
          <w:sz w:val="22"/>
          <w:szCs w:val="22"/>
        </w:rPr>
        <w:t xml:space="preserve">d.  </w:t>
      </w:r>
      <w:r>
        <w:rPr>
          <w:rFonts w:eastAsia="Arial" w:cs="Arial"/>
          <w:sz w:val="22"/>
          <w:szCs w:val="22"/>
        </w:rPr>
        <w:t>Advance Directive / Directive to Physicians or Medical Power of Attorney (if applicable)</w:t>
      </w:r>
    </w:p>
    <w:p>
      <w:pPr>
        <w:pStyle w:val="Normal"/>
        <w:spacing w:before="30" w:after="30"/>
        <w:ind w:hanging="360" w:start="720"/>
        <w:rPr/>
      </w:pPr>
      <w:r>
        <w:rPr>
          <w:rFonts w:eastAsia="Arial" w:cs="Arial"/>
          <w:b/>
          <w:bCs/>
          <w:sz w:val="22"/>
          <w:szCs w:val="22"/>
        </w:rPr>
        <w:t xml:space="preserve">e.  </w:t>
      </w:r>
      <w:r>
        <w:rPr>
          <w:rFonts w:eastAsia="Arial" w:cs="Arial"/>
          <w:sz w:val="22"/>
          <w:szCs w:val="22"/>
        </w:rPr>
        <w:t>Progress notes — dated, signed entries per shift or significant event</w:t>
      </w:r>
    </w:p>
    <w:p>
      <w:pPr>
        <w:pStyle w:val="Normal"/>
        <w:spacing w:before="30" w:after="30"/>
        <w:ind w:hanging="360" w:start="720"/>
        <w:rPr/>
      </w:pPr>
      <w:r>
        <w:rPr>
          <w:rFonts w:eastAsia="Arial" w:cs="Arial"/>
          <w:b/>
          <w:bCs/>
          <w:sz w:val="22"/>
          <w:szCs w:val="22"/>
        </w:rPr>
        <w:t xml:space="preserve">f.  </w:t>
      </w:r>
      <w:r>
        <w:rPr>
          <w:rFonts w:eastAsia="Arial" w:cs="Arial"/>
          <w:sz w:val="22"/>
          <w:szCs w:val="22"/>
        </w:rPr>
        <w:t>Medication Administration Record (MAR) — current and prior cycles</w:t>
      </w:r>
    </w:p>
    <w:p>
      <w:pPr>
        <w:pStyle w:val="Normal"/>
        <w:spacing w:before="30" w:after="30"/>
        <w:ind w:hanging="360" w:start="720"/>
        <w:rPr/>
      </w:pPr>
      <w:r>
        <w:rPr>
          <w:rFonts w:eastAsia="Arial" w:cs="Arial"/>
          <w:b/>
          <w:bCs/>
          <w:sz w:val="22"/>
          <w:szCs w:val="22"/>
        </w:rPr>
        <w:t xml:space="preserve">g.  </w:t>
      </w:r>
      <w:r>
        <w:rPr>
          <w:rFonts w:eastAsia="Arial" w:cs="Arial"/>
          <w:sz w:val="22"/>
          <w:szCs w:val="22"/>
        </w:rPr>
        <w:t>Incident reports and any HHSC or Program Provider investigation documentation</w:t>
      </w:r>
    </w:p>
    <w:p>
      <w:pPr>
        <w:pStyle w:val="Normal"/>
        <w:spacing w:before="30" w:after="30"/>
        <w:ind w:hanging="360" w:start="720"/>
        <w:rPr/>
      </w:pPr>
      <w:r>
        <w:rPr>
          <w:rFonts w:eastAsia="Arial" w:cs="Arial"/>
          <w:b/>
          <w:bCs/>
          <w:sz w:val="22"/>
          <w:szCs w:val="22"/>
        </w:rPr>
        <w:t xml:space="preserve">h.  </w:t>
      </w:r>
      <w:r>
        <w:rPr>
          <w:rFonts w:eastAsia="Arial" w:cs="Arial"/>
          <w:sz w:val="22"/>
          <w:szCs w:val="22"/>
        </w:rPr>
        <w:t>Health assessments and annual physicals</w:t>
      </w:r>
    </w:p>
    <w:p>
      <w:pPr>
        <w:pStyle w:val="Normal"/>
        <w:spacing w:before="30" w:after="30"/>
        <w:ind w:hanging="360" w:start="720"/>
        <w:rPr/>
      </w:pPr>
      <w:r>
        <w:rPr>
          <w:rFonts w:eastAsia="Arial" w:cs="Arial"/>
          <w:b/>
          <w:bCs/>
          <w:sz w:val="22"/>
          <w:szCs w:val="22"/>
        </w:rPr>
        <w:t xml:space="preserve">i.  </w:t>
      </w:r>
      <w:r>
        <w:rPr>
          <w:rFonts w:eastAsia="Arial" w:cs="Arial"/>
          <w:sz w:val="22"/>
          <w:szCs w:val="22"/>
        </w:rPr>
        <w:t>Individual Rights Acknowledgment and any rights modification documentation</w:t>
      </w:r>
    </w:p>
    <w:p>
      <w:pPr>
        <w:pStyle w:val="Normal"/>
        <w:spacing w:before="30" w:after="30"/>
        <w:ind w:hanging="360" w:start="720"/>
        <w:rPr/>
      </w:pPr>
      <w:r>
        <w:rPr>
          <w:rFonts w:eastAsia="Arial" w:cs="Arial"/>
          <w:b/>
          <w:bCs/>
          <w:sz w:val="22"/>
          <w:szCs w:val="22"/>
        </w:rPr>
        <w:t xml:space="preserve">j.  </w:t>
      </w:r>
      <w:r>
        <w:rPr>
          <w:rFonts w:eastAsia="Arial" w:cs="Arial"/>
          <w:sz w:val="22"/>
          <w:szCs w:val="22"/>
        </w:rPr>
        <w:t>Signed Consent to Services</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Record Storage</w:t>
      </w:r>
    </w:p>
    <w:p>
      <w:pPr>
        <w:pStyle w:val="Normal"/>
        <w:spacing w:before="30" w:after="30"/>
        <w:ind w:hanging="360" w:start="720"/>
        <w:rPr/>
      </w:pPr>
      <w:r>
        <w:rPr>
          <w:rFonts w:eastAsia="Arial" w:cs="Arial"/>
          <w:b/>
          <w:bCs/>
          <w:sz w:val="22"/>
          <w:szCs w:val="22"/>
        </w:rPr>
        <w:t xml:space="preserve">a.  </w:t>
      </w:r>
      <w:r>
        <w:rPr>
          <w:rFonts w:eastAsia="Arial" w:cs="Arial"/>
          <w:sz w:val="22"/>
          <w:szCs w:val="22"/>
        </w:rPr>
        <w:t>Paper records shall be stored in locked binders or cabinets accessible only to the HH/CC Provider and authorized IDT members.</w:t>
      </w:r>
    </w:p>
    <w:p>
      <w:pPr>
        <w:pStyle w:val="Normal"/>
        <w:spacing w:before="30" w:after="30"/>
        <w:ind w:hanging="360" w:start="720"/>
        <w:rPr/>
      </w:pPr>
      <w:r>
        <w:rPr>
          <w:rFonts w:eastAsia="Arial" w:cs="Arial"/>
          <w:b/>
          <w:bCs/>
          <w:sz w:val="22"/>
          <w:szCs w:val="22"/>
        </w:rPr>
        <w:t xml:space="preserve">b.  </w:t>
      </w:r>
      <w:r>
        <w:rPr>
          <w:rFonts w:eastAsia="Arial" w:cs="Arial"/>
          <w:sz w:val="22"/>
          <w:szCs w:val="22"/>
        </w:rPr>
        <w:t>Electronic records shall be on password-protected, access-controlled systems. Credentials shall not be shared.</w:t>
      </w:r>
    </w:p>
    <w:p>
      <w:pPr>
        <w:pStyle w:val="Normal"/>
        <w:spacing w:before="140" w:after="60"/>
        <w:rPr/>
      </w:pPr>
      <w:r>
        <w:rPr>
          <w:rFonts w:eastAsia="Arial" w:cs="Arial"/>
          <w:b/>
          <w:bCs/>
          <w:sz w:val="22"/>
          <w:szCs w:val="22"/>
          <w:u w:val="single"/>
        </w:rPr>
        <w:t>B. Access</w:t>
      </w:r>
    </w:p>
    <w:p>
      <w:pPr>
        <w:pStyle w:val="Normal"/>
        <w:spacing w:before="30" w:after="30"/>
        <w:ind w:hanging="360" w:start="720"/>
        <w:rPr/>
      </w:pPr>
      <w:r>
        <w:rPr>
          <w:rFonts w:eastAsia="Arial" w:cs="Arial"/>
          <w:b/>
          <w:bCs/>
          <w:sz w:val="22"/>
          <w:szCs w:val="22"/>
        </w:rPr>
        <w:t xml:space="preserve">a.  </w:t>
      </w:r>
      <w:r>
        <w:rPr>
          <w:rFonts w:eastAsia="Arial" w:cs="Arial"/>
          <w:sz w:val="22"/>
          <w:szCs w:val="22"/>
        </w:rPr>
        <w:t>Access is restricted to: the individual, their LAR, the Service Coordinator, the Program Provider, the individual's healthcare providers, and HHSC/DFPS as required by law.</w:t>
      </w:r>
    </w:p>
    <w:p>
      <w:pPr>
        <w:pStyle w:val="Normal"/>
        <w:spacing w:before="30" w:after="30"/>
        <w:ind w:hanging="360" w:start="720"/>
        <w:rPr/>
      </w:pPr>
      <w:r>
        <w:rPr>
          <w:rFonts w:eastAsia="Arial" w:cs="Arial"/>
          <w:b/>
          <w:bCs/>
          <w:sz w:val="22"/>
          <w:szCs w:val="22"/>
        </w:rPr>
        <w:t xml:space="preserve">b.  </w:t>
      </w:r>
      <w:r>
        <w:rPr>
          <w:rFonts w:eastAsia="Arial" w:cs="Arial"/>
          <w:sz w:val="22"/>
          <w:szCs w:val="22"/>
        </w:rPr>
        <w:t>Requests from outside parties require signed Authorization to Release Information unless otherwise required by law.</w:t>
      </w:r>
    </w:p>
    <w:p>
      <w:pPr>
        <w:pStyle w:val="Normal"/>
        <w:spacing w:before="140" w:after="60"/>
        <w:rPr/>
      </w:pPr>
      <w:r>
        <w:rPr>
          <w:rFonts w:eastAsia="Arial" w:cs="Arial"/>
          <w:b/>
          <w:bCs/>
          <w:sz w:val="22"/>
          <w:szCs w:val="22"/>
          <w:u w:val="single"/>
        </w:rPr>
        <w:t>C. Release of Records</w:t>
      </w:r>
    </w:p>
    <w:p>
      <w:pPr>
        <w:pStyle w:val="Normal"/>
        <w:spacing w:before="30" w:after="30"/>
        <w:ind w:hanging="360" w:start="720"/>
        <w:rPr/>
      </w:pPr>
      <w:r>
        <w:rPr>
          <w:rFonts w:eastAsia="Arial" w:cs="Arial"/>
          <w:b/>
          <w:bCs/>
          <w:sz w:val="22"/>
          <w:szCs w:val="22"/>
        </w:rPr>
        <w:t xml:space="preserve">a.  </w:t>
      </w:r>
      <w:r>
        <w:rPr>
          <w:rFonts w:eastAsia="Arial" w:cs="Arial"/>
          <w:sz w:val="22"/>
          <w:szCs w:val="22"/>
        </w:rPr>
        <w:t>No PHI shall be released without valid written authorization except as required by law (HHSC audit, DFPS investigation, mandatory reporting, court order).</w:t>
      </w:r>
    </w:p>
    <w:p>
      <w:pPr>
        <w:pStyle w:val="Normal"/>
        <w:spacing w:before="30" w:after="30"/>
        <w:ind w:hanging="360" w:start="720"/>
        <w:rPr/>
      </w:pPr>
      <w:r>
        <w:rPr>
          <w:rFonts w:eastAsia="Arial" w:cs="Arial"/>
          <w:b/>
          <w:bCs/>
          <w:sz w:val="22"/>
          <w:szCs w:val="22"/>
        </w:rPr>
        <w:t xml:space="preserve">b.  </w:t>
      </w:r>
      <w:r>
        <w:rPr>
          <w:rFonts w:eastAsia="Arial" w:cs="Arial"/>
          <w:sz w:val="22"/>
          <w:szCs w:val="22"/>
        </w:rPr>
        <w:t>Record requests shall be fulfilled within five (5) business days of valid written authorization.</w:t>
      </w:r>
    </w:p>
    <w:p>
      <w:pPr>
        <w:pStyle w:val="Normal"/>
        <w:spacing w:before="140" w:after="60"/>
        <w:rPr/>
      </w:pPr>
      <w:r>
        <w:rPr>
          <w:rFonts w:eastAsia="Arial" w:cs="Arial"/>
          <w:b/>
          <w:bCs/>
          <w:sz w:val="22"/>
          <w:szCs w:val="22"/>
          <w:u w:val="single"/>
        </w:rPr>
        <w:t>D. Breach Notification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Any suspected or confirmed PHI breach shall be reported to the Program Provider and HHSC immediately, with required notifications per HIPAA and Texas law.</w:t>
      </w:r>
    </w:p>
    <w:p>
      <w:pPr>
        <w:pStyle w:val="Normal"/>
        <w:spacing w:before="140" w:after="60"/>
        <w:rPr/>
      </w:pPr>
      <w:r>
        <w:rPr>
          <w:rFonts w:eastAsia="Arial" w:cs="Arial"/>
          <w:b/>
          <w:bCs/>
          <w:sz w:val="22"/>
          <w:szCs w:val="22"/>
          <w:u w:val="single"/>
        </w:rPr>
        <w:t>E. Record Retention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Individual records shall be retained for a minimum of seven (7) years following discharge or death. Records shall be destroyed in a HIPAA-compliant manner after the retention period.</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Authorization to Release Information Form</w:t>
      </w:r>
    </w:p>
    <w:p>
      <w:pPr>
        <w:pStyle w:val="ListParagraph"/>
        <w:numPr>
          <w:ilvl w:val="0"/>
          <w:numId w:val="1"/>
        </w:numPr>
        <w:spacing w:before="30" w:after="30"/>
        <w:rPr/>
      </w:pPr>
      <w:r>
        <w:rPr>
          <w:rFonts w:eastAsia="Arial" w:cs="Arial"/>
          <w:sz w:val="22"/>
          <w:szCs w:val="22"/>
        </w:rPr>
        <w:t>Incident Report Form (Policy 5.00)</w:t>
      </w:r>
    </w:p>
    <w:p>
      <w:pPr>
        <w:pStyle w:val="ListParagraph"/>
        <w:numPr>
          <w:ilvl w:val="0"/>
          <w:numId w:val="1"/>
        </w:numPr>
        <w:spacing w:before="30" w:after="30"/>
        <w:rPr/>
      </w:pPr>
      <w:r>
        <w:rPr>
          <w:rFonts w:eastAsia="Arial" w:cs="Arial"/>
          <w:sz w:val="22"/>
          <w:szCs w:val="22"/>
        </w:rPr>
        <w:t>Quality Management Log (Policy 6.00)</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[HH/CC Provider / Administrator]</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[HH/CC Provider / Administrator]</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[HH/CC Provider / Administrator]</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#1.02: Non-Discrimination &amp; Accessibility</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Administration</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1.02</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Americans with Disabilities Act 42 U.S.C. §12101; Title VI 42 U.S.C. §2000d; Texas Human Resources Code §121.003; Section 504 Rehabilitation Act; Texas Labor Code §21.051</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[HH/CC Provider /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ensure that this HH/CC setting provides services without discrimination and that access is equitable regardless of race, color, national origin, sex, disability, age, sexual orientation, gender identity, religion, or any other characteristic protected by Texas or federal law.</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This HH/CC Provider does not discriminate in admission, service delivery, or operations. Reasonable accommodations shall be provided upon request to ensure meaningful access for individuals with disabilities or limited English proficiency.</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Accessibility</w:t>
      </w:r>
    </w:p>
    <w:p>
      <w:pPr>
        <w:pStyle w:val="Normal"/>
        <w:spacing w:before="30" w:after="30"/>
        <w:ind w:hanging="360" w:start="720"/>
        <w:rPr/>
      </w:pPr>
      <w:r>
        <w:rPr>
          <w:rFonts w:eastAsia="Arial" w:cs="Arial"/>
          <w:b/>
          <w:bCs/>
          <w:sz w:val="22"/>
          <w:szCs w:val="22"/>
        </w:rPr>
        <w:t xml:space="preserve">a.  </w:t>
      </w:r>
      <w:r>
        <w:rPr>
          <w:rFonts w:eastAsia="Arial" w:cs="Arial"/>
          <w:sz w:val="22"/>
          <w:szCs w:val="22"/>
        </w:rPr>
        <w:t>All communications shall be available in alternate formats upon request and at no cost.</w:t>
      </w:r>
    </w:p>
    <w:p>
      <w:pPr>
        <w:pStyle w:val="Normal"/>
        <w:spacing w:before="30" w:after="30"/>
        <w:ind w:hanging="360" w:start="720"/>
        <w:rPr/>
      </w:pPr>
      <w:r>
        <w:rPr>
          <w:rFonts w:eastAsia="Arial" w:cs="Arial"/>
          <w:b/>
          <w:bCs/>
          <w:sz w:val="22"/>
          <w:szCs w:val="22"/>
        </w:rPr>
        <w:t xml:space="preserve">b.  </w:t>
      </w:r>
      <w:r>
        <w:rPr>
          <w:rFonts w:eastAsia="Arial" w:cs="Arial"/>
          <w:sz w:val="22"/>
          <w:szCs w:val="22"/>
        </w:rPr>
        <w:t>Interpreter services shall be arranged for individuals with limited English proficiency at no cost.</w:t>
      </w:r>
    </w:p>
    <w:p>
      <w:pPr>
        <w:pStyle w:val="Normal"/>
        <w:spacing w:before="30" w:after="30"/>
        <w:ind w:hanging="360" w:start="720"/>
        <w:rPr/>
      </w:pPr>
      <w:r>
        <w:rPr>
          <w:rFonts w:eastAsia="Arial" w:cs="Arial"/>
          <w:b/>
          <w:bCs/>
          <w:sz w:val="22"/>
          <w:szCs w:val="22"/>
        </w:rPr>
        <w:t xml:space="preserve">c.  </w:t>
      </w:r>
      <w:r>
        <w:rPr>
          <w:rFonts w:eastAsia="Arial" w:cs="Arial"/>
          <w:sz w:val="22"/>
          <w:szCs w:val="22"/>
        </w:rPr>
        <w:t>The physical environment shall be assessed for accessibility barriers annually.</w:t>
      </w:r>
    </w:p>
    <w:p>
      <w:pPr>
        <w:pStyle w:val="Normal"/>
        <w:spacing w:before="140" w:after="60"/>
        <w:rPr/>
      </w:pPr>
      <w:r>
        <w:rPr>
          <w:rFonts w:eastAsia="Arial" w:cs="Arial"/>
          <w:b/>
          <w:bCs/>
          <w:sz w:val="22"/>
          <w:szCs w:val="22"/>
          <w:u w:val="single"/>
        </w:rPr>
        <w:t>B. Complaint Process</w:t>
      </w:r>
    </w:p>
    <w:p>
      <w:pPr>
        <w:pStyle w:val="Normal"/>
        <w:spacing w:before="40" w:after="60"/>
        <w:rPr/>
      </w:pPr>
      <w:r>
        <w:rPr>
          <w:rFonts w:eastAsia="Arial" w:cs="Arial"/>
          <w:sz w:val="22"/>
          <w:szCs w:val="22"/>
        </w:rPr>
        <w:t>Any individual who believes they have experienced discrimination may:</w:t>
      </w:r>
    </w:p>
    <w:p>
      <w:pPr>
        <w:pStyle w:val="ListParagraph"/>
        <w:numPr>
          <w:ilvl w:val="0"/>
          <w:numId w:val="1"/>
        </w:numPr>
        <w:spacing w:before="30" w:after="30"/>
        <w:rPr/>
      </w:pPr>
      <w:r>
        <w:rPr>
          <w:rFonts w:eastAsia="Arial" w:cs="Arial"/>
          <w:sz w:val="22"/>
          <w:szCs w:val="22"/>
        </w:rPr>
        <w:t>File a complaint with the HH/CC Provider or Program Provider verbally or in writing</w:t>
      </w:r>
    </w:p>
    <w:p>
      <w:pPr>
        <w:pStyle w:val="ListParagraph"/>
        <w:numPr>
          <w:ilvl w:val="0"/>
          <w:numId w:val="1"/>
        </w:numPr>
        <w:spacing w:before="30" w:after="30"/>
        <w:rPr/>
      </w:pPr>
      <w:r>
        <w:rPr>
          <w:rFonts w:eastAsia="Arial" w:cs="Arial"/>
          <w:sz w:val="22"/>
          <w:szCs w:val="22"/>
        </w:rPr>
        <w:t>File a complaint with HHSC Civil Rights: (512) 438-4313</w:t>
      </w:r>
    </w:p>
    <w:p>
      <w:pPr>
        <w:pStyle w:val="ListParagraph"/>
        <w:numPr>
          <w:ilvl w:val="0"/>
          <w:numId w:val="1"/>
        </w:numPr>
        <w:spacing w:before="30" w:after="30"/>
        <w:rPr/>
      </w:pPr>
      <w:r>
        <w:rPr>
          <w:rFonts w:eastAsia="Arial" w:cs="Arial"/>
          <w:sz w:val="22"/>
          <w:szCs w:val="22"/>
        </w:rPr>
        <w:t>File a complaint with the Texas Workforce Commission Civil Rights Division: (512) 463-2642</w:t>
      </w:r>
    </w:p>
    <w:p>
      <w:pPr>
        <w:pStyle w:val="ListParagraph"/>
        <w:numPr>
          <w:ilvl w:val="0"/>
          <w:numId w:val="1"/>
        </w:numPr>
        <w:spacing w:before="30" w:after="30"/>
        <w:rPr/>
      </w:pPr>
      <w:r>
        <w:rPr>
          <w:rFonts w:eastAsia="Arial" w:cs="Arial"/>
          <w:sz w:val="22"/>
          <w:szCs w:val="22"/>
        </w:rPr>
        <w:t>File a complaint with HHS Office for Civil Rights: 1-800-368-1019</w:t>
      </w:r>
    </w:p>
    <w:p>
      <w:pPr>
        <w:pStyle w:val="Normal"/>
        <w:spacing w:before="140" w:after="60"/>
        <w:rPr/>
      </w:pPr>
      <w:r>
        <w:rPr>
          <w:rFonts w:eastAsia="Arial" w:cs="Arial"/>
          <w:b/>
          <w:bCs/>
          <w:sz w:val="22"/>
          <w:szCs w:val="22"/>
          <w:u w:val="single"/>
        </w:rPr>
        <w:t>C. Documentation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All discrimination complaints shall be logged, investigated within five (5) business days, and resolved within thirty (30) days whenever possible.</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Grievance &amp; Complaint Form (Policy 1.03)</w:t>
      </w:r>
    </w:p>
    <w:p>
      <w:pPr>
        <w:pStyle w:val="ListParagraph"/>
        <w:numPr>
          <w:ilvl w:val="0"/>
          <w:numId w:val="1"/>
        </w:numPr>
        <w:spacing w:before="30" w:after="30"/>
        <w:rPr/>
      </w:pPr>
      <w:r>
        <w:rPr>
          <w:rFonts w:eastAsia="Arial" w:cs="Arial"/>
          <w:sz w:val="22"/>
          <w:szCs w:val="22"/>
        </w:rPr>
        <w:t>Quality Management Log (Policy 6.00)</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[HH/CC Provider / Administrator]</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[HH/CC Provider / Administrator]</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[HH/CC Provider / Administrator]</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#1.03: Feedback, Grievance &amp; Complaint Procedure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Administration / Quality Management</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1.03</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26 TAC §263.301 (Individual Rights); HCS Program Handbook — Grievance Requirements; 42 CFR 441.301; Texas H&amp;S Code §534.101</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[HH/CC Provider /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ensure that individuals, families, LARs, and IDT members have a clear, accessible, and confidential mechanism to provide feedback and file grievances or complaints, without fear of retaliation, and that all complaints are addressed in a timely and documented manner.</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This HH/CC Provider and the Program Provider value feedback as essential to quality improvement. All grievances shall be taken seriously, investigated promptly, and resolved equitably. No individual, family member, LAR, or team member shall face retaliation for filing a good-faith complaint.</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Informal Feedback</w:t>
      </w:r>
    </w:p>
    <w:p>
      <w:pPr>
        <w:pStyle w:val="Normal"/>
        <w:spacing w:before="30" w:after="30"/>
        <w:ind w:hanging="360" w:start="720"/>
        <w:rPr/>
      </w:pPr>
      <w:r>
        <w:rPr>
          <w:rFonts w:eastAsia="Arial" w:cs="Arial"/>
          <w:b/>
          <w:bCs/>
          <w:sz w:val="22"/>
          <w:szCs w:val="22"/>
        </w:rPr>
        <w:t xml:space="preserve">a.  </w:t>
      </w:r>
      <w:r>
        <w:rPr>
          <w:rFonts w:eastAsia="Arial" w:cs="Arial"/>
          <w:sz w:val="22"/>
          <w:szCs w:val="22"/>
        </w:rPr>
        <w:t>Individuals and families are encouraged to share concerns verbally with the HH/CC Provider or Program Provider at any time.</w:t>
      </w:r>
    </w:p>
    <w:p>
      <w:pPr>
        <w:pStyle w:val="Normal"/>
        <w:spacing w:before="30" w:after="30"/>
        <w:ind w:hanging="360" w:start="720"/>
        <w:rPr/>
      </w:pPr>
      <w:r>
        <w:rPr>
          <w:rFonts w:eastAsia="Arial" w:cs="Arial"/>
          <w:b/>
          <w:bCs/>
          <w:sz w:val="22"/>
          <w:szCs w:val="22"/>
        </w:rPr>
        <w:t xml:space="preserve">b.  </w:t>
      </w:r>
      <w:r>
        <w:rPr>
          <w:rFonts w:eastAsia="Arial" w:cs="Arial"/>
          <w:sz w:val="22"/>
          <w:szCs w:val="22"/>
        </w:rPr>
        <w:t>Informal feedback shall be communicated to the Program Provider within twenty-four (24) hours.</w:t>
      </w:r>
    </w:p>
    <w:p>
      <w:pPr>
        <w:pStyle w:val="Normal"/>
        <w:spacing w:before="30" w:after="30"/>
        <w:ind w:hanging="360" w:start="720"/>
        <w:rPr/>
      </w:pPr>
      <w:r>
        <w:rPr>
          <w:rFonts w:eastAsia="Arial" w:cs="Arial"/>
          <w:b/>
          <w:bCs/>
          <w:sz w:val="22"/>
          <w:szCs w:val="22"/>
        </w:rPr>
        <w:t xml:space="preserve">c.  </w:t>
      </w:r>
      <w:r>
        <w:rPr>
          <w:rFonts w:eastAsia="Arial" w:cs="Arial"/>
          <w:sz w:val="22"/>
          <w:szCs w:val="22"/>
        </w:rPr>
        <w:t>A response shall be provided within five (5) business days.</w:t>
      </w:r>
    </w:p>
    <w:p>
      <w:pPr>
        <w:pStyle w:val="Normal"/>
        <w:spacing w:before="140" w:after="60"/>
        <w:rPr/>
      </w:pPr>
      <w:r>
        <w:rPr>
          <w:rFonts w:eastAsia="Arial" w:cs="Arial"/>
          <w:b/>
          <w:bCs/>
          <w:sz w:val="22"/>
          <w:szCs w:val="22"/>
          <w:u w:val="single"/>
        </w:rPr>
        <w:t>B. Formal Grievance Process</w:t>
      </w:r>
    </w:p>
    <w:p>
      <w:pPr>
        <w:pStyle w:val="Normal"/>
        <w:spacing w:before="30" w:after="30"/>
        <w:ind w:hanging="360" w:start="720"/>
        <w:rPr/>
      </w:pPr>
      <w:r>
        <w:rPr>
          <w:rFonts w:eastAsia="Arial" w:cs="Arial"/>
          <w:b/>
          <w:bCs/>
          <w:sz w:val="22"/>
          <w:szCs w:val="22"/>
        </w:rPr>
        <w:t xml:space="preserve">a.  </w:t>
      </w:r>
      <w:r>
        <w:rPr>
          <w:rFonts w:eastAsia="Arial" w:cs="Arial"/>
          <w:sz w:val="22"/>
          <w:szCs w:val="22"/>
        </w:rPr>
        <w:t>The individual or their representative completes a Grievance &amp; Complaint Form and submits it to the HH/CC Provider or Program Provider.</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Program Provider acknowledges receipt within two (2) business days and initiates an investigation.</w:t>
      </w:r>
    </w:p>
    <w:p>
      <w:pPr>
        <w:pStyle w:val="Normal"/>
        <w:spacing w:before="30" w:after="30"/>
        <w:ind w:hanging="360" w:start="720"/>
        <w:rPr/>
      </w:pPr>
      <w:r>
        <w:rPr>
          <w:rFonts w:eastAsia="Arial" w:cs="Arial"/>
          <w:b/>
          <w:bCs/>
          <w:sz w:val="22"/>
          <w:szCs w:val="22"/>
        </w:rPr>
        <w:t xml:space="preserve">c.  </w:t>
      </w:r>
      <w:r>
        <w:rPr>
          <w:rFonts w:eastAsia="Arial" w:cs="Arial"/>
          <w:sz w:val="22"/>
          <w:szCs w:val="22"/>
        </w:rPr>
        <w:t>Investigation is completed within ten (10) business days with a written response.</w:t>
      </w:r>
    </w:p>
    <w:p>
      <w:pPr>
        <w:pStyle w:val="Normal"/>
        <w:spacing w:before="30" w:after="30"/>
        <w:ind w:hanging="360" w:start="720"/>
        <w:rPr/>
      </w:pPr>
      <w:r>
        <w:rPr>
          <w:rFonts w:eastAsia="Arial" w:cs="Arial"/>
          <w:b/>
          <w:bCs/>
          <w:sz w:val="22"/>
          <w:szCs w:val="22"/>
        </w:rPr>
        <w:t xml:space="preserve">d.  </w:t>
      </w:r>
      <w:r>
        <w:rPr>
          <w:rFonts w:eastAsia="Arial" w:cs="Arial"/>
          <w:sz w:val="22"/>
          <w:szCs w:val="22"/>
        </w:rPr>
        <w:t>If not resolved satisfactorily, the matter is escalated to the LIDDA Service Coordinator within five (5) business days.</w:t>
      </w:r>
    </w:p>
    <w:p>
      <w:pPr>
        <w:pStyle w:val="Normal"/>
        <w:spacing w:before="30" w:after="30"/>
        <w:ind w:hanging="360" w:start="720"/>
        <w:rPr/>
      </w:pPr>
      <w:r>
        <w:rPr>
          <w:rFonts w:eastAsia="Arial" w:cs="Arial"/>
          <w:b/>
          <w:bCs/>
          <w:sz w:val="22"/>
          <w:szCs w:val="22"/>
        </w:rPr>
        <w:t xml:space="preserve">e.  </w:t>
      </w:r>
      <w:r>
        <w:rPr>
          <w:rFonts w:eastAsia="Arial" w:cs="Arial"/>
          <w:sz w:val="22"/>
          <w:szCs w:val="22"/>
        </w:rPr>
        <w:t>All grievances and outcomes shall be logged and reviewed at the quarterly Quality Management meeting.</w:t>
      </w:r>
    </w:p>
    <w:p>
      <w:pPr>
        <w:pStyle w:val="Normal"/>
        <w:spacing w:before="140" w:after="60"/>
        <w:rPr/>
      </w:pPr>
      <w:r>
        <w:rPr>
          <w:rFonts w:eastAsia="Arial" w:cs="Arial"/>
          <w:b/>
          <w:bCs/>
          <w:sz w:val="22"/>
          <w:szCs w:val="22"/>
          <w:u w:val="single"/>
        </w:rPr>
        <w:t>C. External Complaint Options</w:t>
      </w:r>
    </w:p>
    <w:p>
      <w:pPr>
        <w:pStyle w:val="Normal"/>
        <w:spacing w:before="40" w:after="60"/>
        <w:rPr/>
      </w:pPr>
      <w:r>
        <w:rPr>
          <w:rFonts w:eastAsia="Arial" w:cs="Arial"/>
          <w:sz w:val="22"/>
          <w:szCs w:val="22"/>
        </w:rPr>
        <w:t>Individuals have the right to contact any of the following at any time:</w:t>
      </w:r>
    </w:p>
    <w:p>
      <w:pPr>
        <w:pStyle w:val="ListParagraph"/>
        <w:numPr>
          <w:ilvl w:val="0"/>
          <w:numId w:val="1"/>
        </w:numPr>
        <w:spacing w:before="30" w:after="30"/>
        <w:rPr/>
      </w:pPr>
      <w:r>
        <w:rPr>
          <w:rFonts w:eastAsia="Arial" w:cs="Arial"/>
          <w:sz w:val="22"/>
          <w:szCs w:val="22"/>
        </w:rPr>
        <w:t>HHSC IDD Ombudsman: 1-877-787-8999 | hhs.texas.gov</w:t>
      </w:r>
    </w:p>
    <w:p>
      <w:pPr>
        <w:pStyle w:val="ListParagraph"/>
        <w:numPr>
          <w:ilvl w:val="0"/>
          <w:numId w:val="1"/>
        </w:numPr>
        <w:spacing w:before="30" w:after="30"/>
        <w:rPr/>
      </w:pPr>
      <w:r>
        <w:rPr>
          <w:rFonts w:eastAsia="Arial" w:cs="Arial"/>
          <w:sz w:val="22"/>
          <w:szCs w:val="22"/>
        </w:rPr>
        <w:t>Texas DFPS Adult Protective Services: 1-800-458-9858 (24-hour)</w:t>
      </w:r>
    </w:p>
    <w:p>
      <w:pPr>
        <w:pStyle w:val="ListParagraph"/>
        <w:numPr>
          <w:ilvl w:val="0"/>
          <w:numId w:val="1"/>
        </w:numPr>
        <w:spacing w:before="30" w:after="30"/>
        <w:rPr/>
      </w:pPr>
      <w:r>
        <w:rPr>
          <w:rFonts w:eastAsia="Arial" w:cs="Arial"/>
          <w:sz w:val="22"/>
          <w:szCs w:val="22"/>
        </w:rPr>
        <w:t>Texas DFPS Abuse/Neglect Hotline: 1-800-252-5400</w:t>
      </w:r>
    </w:p>
    <w:p>
      <w:pPr>
        <w:pStyle w:val="ListParagraph"/>
        <w:numPr>
          <w:ilvl w:val="0"/>
          <w:numId w:val="1"/>
        </w:numPr>
        <w:spacing w:before="30" w:after="30"/>
        <w:rPr/>
      </w:pPr>
      <w:r>
        <w:rPr>
          <w:rFonts w:eastAsia="Arial" w:cs="Arial"/>
          <w:sz w:val="22"/>
          <w:szCs w:val="22"/>
        </w:rPr>
        <w:t>HHSC Long-Term Care Ombudsman: 1-800-252-2412</w:t>
      </w:r>
    </w:p>
    <w:p>
      <w:pPr>
        <w:pStyle w:val="ListParagraph"/>
        <w:numPr>
          <w:ilvl w:val="0"/>
          <w:numId w:val="1"/>
        </w:numPr>
        <w:spacing w:before="30" w:after="30"/>
        <w:rPr/>
      </w:pPr>
      <w:r>
        <w:rPr>
          <w:rFonts w:eastAsia="Arial" w:cs="Arial"/>
          <w:sz w:val="22"/>
          <w:szCs w:val="22"/>
        </w:rPr>
        <w:t>Disability Rights Texas: 1-800-252-9108 | disabilityrightstx.org</w:t>
      </w:r>
    </w:p>
    <w:p>
      <w:pPr>
        <w:pStyle w:val="ListParagraph"/>
        <w:numPr>
          <w:ilvl w:val="0"/>
          <w:numId w:val="1"/>
        </w:numPr>
        <w:spacing w:before="30" w:after="30"/>
        <w:rPr/>
      </w:pPr>
      <w:r>
        <w:rPr>
          <w:rFonts w:eastAsia="Arial" w:cs="Arial"/>
          <w:sz w:val="22"/>
          <w:szCs w:val="22"/>
        </w:rPr>
        <w:t>HHSC Civil Rights: (512) 438-4313</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Grievance &amp; Complaint Form</w:t>
      </w:r>
    </w:p>
    <w:p>
      <w:pPr>
        <w:pStyle w:val="ListParagraph"/>
        <w:numPr>
          <w:ilvl w:val="0"/>
          <w:numId w:val="1"/>
        </w:numPr>
        <w:spacing w:before="30" w:after="30"/>
        <w:rPr/>
      </w:pPr>
      <w:r>
        <w:rPr>
          <w:rFonts w:eastAsia="Arial" w:cs="Arial"/>
          <w:sz w:val="22"/>
          <w:szCs w:val="22"/>
        </w:rPr>
        <w:t>Quality Management Log (Policy 6.00)</w:t>
      </w:r>
    </w:p>
    <w:p>
      <w:pPr>
        <w:pStyle w:val="ListParagraph"/>
        <w:numPr>
          <w:ilvl w:val="0"/>
          <w:numId w:val="1"/>
        </w:numPr>
        <w:spacing w:before="30" w:after="30"/>
        <w:rPr/>
      </w:pPr>
      <w:r>
        <w:rPr>
          <w:rFonts w:eastAsia="Arial" w:cs="Arial"/>
          <w:sz w:val="22"/>
          <w:szCs w:val="22"/>
        </w:rPr>
        <w:t>Individual Rights Acknowledgment Form (Appendix D)</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[HH/CC Provider / Administrator]</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[HH/CC Provider / Administrator]</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[HH/CC Provider / Administrator]</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#1.04: Relief Coverage, Planned Absences &amp; Emergency Coverage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Operations / Provider Support</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1.04</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26 TAC Ch. 263 (HCS Program Rules); 26 TAC Ch. 565; HCBS Settings Final Rule 42 CFR 441.301; Program Provider Agreement</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[HH/CC Provider Name]</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define how [HH/CC Provider Name] (the Host Home/Companion Care Provider) arranges qualified, pre-approved coverage for the individual(s) in care during planned and emergency absences, ensuring the health, safety, and continuity of support are never compromised.</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As a Texas HCS Host Home/Companion Care provider, [HH/CC Provider Name] resides in the home and serves as the primary caregiver. There are no rotating shift staff. When [HH/CC Provider Name] must be temporarily away — whether planned or emergency — an approved Substitute Caregiver must provide coverage. The individual shall never be left without adequate, pre-approved support.</w:t>
      </w:r>
    </w:p>
    <w:p>
      <w:pPr>
        <w:pStyle w:val="Normal"/>
        <w:spacing w:before="120" w:after="40"/>
        <w:rPr/>
      </w:pPr>
      <w:r>
        <w:rPr>
          <w:rFonts w:eastAsia="Arial" w:cs="Arial"/>
          <w:b/>
          <w:bCs/>
          <w:color w:val="2E5DA8"/>
          <w:sz w:val="22"/>
          <w:szCs w:val="22"/>
        </w:rPr>
        <w:t>DEFINITIONS</w:t>
      </w:r>
    </w:p>
    <w:p>
      <w:pPr>
        <w:pStyle w:val="ListParagraph"/>
        <w:numPr>
          <w:ilvl w:val="0"/>
          <w:numId w:val="1"/>
        </w:numPr>
        <w:spacing w:before="30" w:after="30"/>
        <w:rPr/>
      </w:pPr>
      <w:r>
        <w:rPr>
          <w:rFonts w:eastAsia="Arial" w:cs="Arial"/>
          <w:sz w:val="22"/>
          <w:szCs w:val="22"/>
        </w:rPr>
        <w:t>Substitute Caregiver: A person who has cleared all required Texas background checks (DPS criminal history, EMR, NAR), been approved by the Program Provider, and trained to provide temporary coverage in the HH/CC home when the primary provider is absent.</w:t>
      </w:r>
    </w:p>
    <w:p>
      <w:pPr>
        <w:pStyle w:val="ListParagraph"/>
        <w:numPr>
          <w:ilvl w:val="0"/>
          <w:numId w:val="1"/>
        </w:numPr>
        <w:spacing w:before="30" w:after="30"/>
        <w:rPr/>
      </w:pPr>
      <w:r>
        <w:rPr>
          <w:rFonts w:eastAsia="Arial" w:cs="Arial"/>
          <w:sz w:val="22"/>
          <w:szCs w:val="22"/>
        </w:rPr>
        <w:t>Planned Absence: Any known, scheduled period during which [HH/CC Provider Name] will not be in the home.</w:t>
      </w:r>
    </w:p>
    <w:p>
      <w:pPr>
        <w:pStyle w:val="ListParagraph"/>
        <w:numPr>
          <w:ilvl w:val="0"/>
          <w:numId w:val="1"/>
        </w:numPr>
        <w:spacing w:before="30" w:after="30"/>
        <w:rPr/>
      </w:pPr>
      <w:r>
        <w:rPr>
          <w:rFonts w:eastAsia="Arial" w:cs="Arial"/>
          <w:sz w:val="22"/>
          <w:szCs w:val="22"/>
        </w:rPr>
        <w:t>Emergency Absence: An unplanned, sudden absence due to illness, injury, or other unforeseen circumstances.</w:t>
      </w:r>
    </w:p>
    <w:p>
      <w:pPr>
        <w:pStyle w:val="ListParagraph"/>
        <w:numPr>
          <w:ilvl w:val="0"/>
          <w:numId w:val="1"/>
        </w:numPr>
        <w:spacing w:before="30" w:after="30"/>
        <w:rPr/>
      </w:pPr>
      <w:r>
        <w:rPr>
          <w:rFonts w:eastAsia="Arial" w:cs="Arial"/>
          <w:sz w:val="22"/>
          <w:szCs w:val="22"/>
        </w:rPr>
        <w:t>Program Provider: [Program Provider Name] — the HHSC-contracted HCS Program Provider responsible for oversight of this HH/CC setting. Contact: [Phone].</w:t>
      </w:r>
    </w:p>
    <w:p>
      <w:pPr>
        <w:pStyle w:val="ListParagraph"/>
        <w:numPr>
          <w:ilvl w:val="0"/>
          <w:numId w:val="1"/>
        </w:numPr>
        <w:spacing w:before="30" w:after="30"/>
        <w:rPr/>
      </w:pPr>
      <w:r>
        <w:rPr>
          <w:rFonts w:eastAsia="Arial" w:cs="Arial"/>
          <w:sz w:val="22"/>
          <w:szCs w:val="22"/>
        </w:rPr>
        <w:t>Service Coordinator: [Service Coordinator Name], LIDDA — [LIDDA Name]. Contact: [Phone].</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Identifying and Approving Substitute Caregivers</w:t>
      </w:r>
    </w:p>
    <w:p>
      <w:pPr>
        <w:pStyle w:val="Normal"/>
        <w:spacing w:before="30" w:after="30"/>
        <w:ind w:hanging="360" w:start="720"/>
        <w:rPr/>
      </w:pPr>
      <w:r>
        <w:rPr>
          <w:rFonts w:eastAsia="Arial" w:cs="Arial"/>
          <w:b/>
          <w:bCs/>
          <w:sz w:val="22"/>
          <w:szCs w:val="22"/>
        </w:rPr>
        <w:t xml:space="preserve">a.  </w:t>
      </w:r>
      <w:r>
        <w:rPr>
          <w:rFonts w:eastAsia="Arial" w:cs="Arial"/>
          <w:sz w:val="22"/>
          <w:szCs w:val="22"/>
        </w:rPr>
        <w:t>[HH/CC Provider Name] is responsible for identifying Substitute Caregivers in advance of any planned absence.</w:t>
      </w:r>
    </w:p>
    <w:p>
      <w:pPr>
        <w:pStyle w:val="Normal"/>
        <w:spacing w:before="30" w:after="30"/>
        <w:ind w:hanging="360" w:start="720"/>
        <w:rPr/>
      </w:pPr>
      <w:r>
        <w:rPr>
          <w:rFonts w:eastAsia="Arial" w:cs="Arial"/>
          <w:b/>
          <w:bCs/>
          <w:sz w:val="22"/>
          <w:szCs w:val="22"/>
        </w:rPr>
        <w:t xml:space="preserve">b.  </w:t>
      </w:r>
      <w:r>
        <w:rPr>
          <w:rFonts w:eastAsia="Arial" w:cs="Arial"/>
          <w:sz w:val="22"/>
          <w:szCs w:val="22"/>
        </w:rPr>
        <w:t>All Substitute Caregivers must be approved by the Program Provider BEFORE providing care. Approval requires: completion of a Texas DPS criminal history background check through TULIP, search of the Employee Misconduct Registry (EMR) through TULIP, search of the Texas Nurse Aide Registry (NAR) through TULIP, and clearance of all three checks with no disqualifying findings.</w:t>
      </w:r>
    </w:p>
    <w:p>
      <w:pPr>
        <w:pStyle w:val="Normal"/>
        <w:spacing w:before="30" w:after="30"/>
        <w:ind w:hanging="360" w:start="720"/>
        <w:rPr/>
      </w:pPr>
      <w:r>
        <w:rPr>
          <w:rFonts w:eastAsia="Arial" w:cs="Arial"/>
          <w:b/>
          <w:bCs/>
          <w:sz w:val="22"/>
          <w:szCs w:val="22"/>
        </w:rPr>
        <w:t xml:space="preserve">c.  </w:t>
      </w:r>
      <w:r>
        <w:rPr>
          <w:rFonts w:eastAsia="Arial" w:cs="Arial"/>
          <w:sz w:val="22"/>
          <w:szCs w:val="22"/>
        </w:rPr>
        <w:t>Approved Substitute Caregivers must complete orientation to the individual's current IPC, Implementation Plan, daily routine, medication regimen, behavioral support strategies, and emergency procedures before providing unsupervised care.</w:t>
      </w:r>
    </w:p>
    <w:p>
      <w:pPr>
        <w:pStyle w:val="Normal"/>
        <w:spacing w:before="30" w:after="30"/>
        <w:ind w:hanging="360" w:start="720"/>
        <w:rPr/>
      </w:pPr>
      <w:r>
        <w:rPr>
          <w:rFonts w:eastAsia="Arial" w:cs="Arial"/>
          <w:b/>
          <w:bCs/>
          <w:sz w:val="22"/>
          <w:szCs w:val="22"/>
        </w:rPr>
        <w:t xml:space="preserve">d.  </w:t>
      </w:r>
      <w:r>
        <w:rPr>
          <w:rFonts w:eastAsia="Arial" w:cs="Arial"/>
          <w:sz w:val="22"/>
          <w:szCs w:val="22"/>
        </w:rPr>
        <w:t>[HH/CC Provider Name] shall maintain a current list of approved Substitute Caregivers and share it with the Program Provider. The list shall include: full name, contact number, TULIP clearance confirmation, and Program Provider approval date.</w:t>
      </w:r>
    </w:p>
    <w:p>
      <w:pPr>
        <w:pStyle w:val="Normal"/>
        <w:spacing w:before="30" w:after="30"/>
        <w:ind w:hanging="360" w:start="720"/>
        <w:rPr/>
      </w:pPr>
      <w:r>
        <w:rPr>
          <w:rFonts w:eastAsia="Arial" w:cs="Arial"/>
          <w:b/>
          <w:bCs/>
          <w:sz w:val="22"/>
          <w:szCs w:val="22"/>
        </w:rPr>
        <w:t xml:space="preserve">e.  </w:t>
      </w:r>
      <w:r>
        <w:rPr>
          <w:rFonts w:eastAsia="Arial" w:cs="Arial"/>
          <w:sz w:val="22"/>
          <w:szCs w:val="22"/>
        </w:rPr>
        <w:t>Substitute Caregivers who will administer medications must hold a current HHSC-approved medication administration training certificate (Policy 2.02).</w:t>
      </w:r>
    </w:p>
    <w:p>
      <w:pPr>
        <w:pStyle w:val="Normal"/>
        <w:spacing w:before="140" w:after="60"/>
        <w:rPr/>
      </w:pPr>
      <w:r>
        <w:rPr>
          <w:rFonts w:eastAsia="Arial" w:cs="Arial"/>
          <w:b/>
          <w:bCs/>
          <w:sz w:val="22"/>
          <w:szCs w:val="22"/>
          <w:u w:val="single"/>
        </w:rPr>
        <w:t>B. Planned Absences — Notification and Coordination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For any planned absence of more than four (4) hours, [HH/CC Provider Name] shall notify the Program Provider at least seven (7) days in advance whenever possible and confirm the approved Substitute Caregiver.</w:t>
      </w:r>
    </w:p>
    <w:p>
      <w:pPr>
        <w:pStyle w:val="Normal"/>
        <w:spacing w:before="30" w:after="30"/>
        <w:ind w:hanging="360" w:start="720"/>
        <w:rPr/>
      </w:pPr>
      <w:r>
        <w:rPr>
          <w:rFonts w:eastAsia="Arial" w:cs="Arial"/>
          <w:b/>
          <w:bCs/>
          <w:sz w:val="22"/>
          <w:szCs w:val="22"/>
        </w:rPr>
        <w:t xml:space="preserve">b.  </w:t>
      </w:r>
      <w:r>
        <w:rPr>
          <w:rFonts w:eastAsia="Arial" w:cs="Arial"/>
          <w:sz w:val="22"/>
          <w:szCs w:val="22"/>
        </w:rPr>
        <w:t>For planned absences exceeding seventy-two (72) hours, [HH/CC Provider Name] shall notify the Service Coordinator (LIDDA) in writing.</w:t>
      </w:r>
    </w:p>
    <w:p>
      <w:pPr>
        <w:pStyle w:val="Normal"/>
        <w:spacing w:before="30" w:after="30"/>
        <w:ind w:hanging="360" w:start="720"/>
        <w:rPr/>
      </w:pPr>
      <w:r>
        <w:rPr>
          <w:rFonts w:eastAsia="Arial" w:cs="Arial"/>
          <w:b/>
          <w:bCs/>
          <w:sz w:val="22"/>
          <w:szCs w:val="22"/>
        </w:rPr>
        <w:t xml:space="preserve">c.  </w:t>
      </w:r>
      <w:r>
        <w:rPr>
          <w:rFonts w:eastAsia="Arial" w:cs="Arial"/>
          <w:sz w:val="22"/>
          <w:szCs w:val="22"/>
        </w:rPr>
        <w:t>[HH/CC Provider Name] shall ensure the Substitute Caregiver has access to: the individual's IPC/IP, emergency contacts, medications and MAR, emergency information, and all home access credentials.</w:t>
      </w:r>
    </w:p>
    <w:p>
      <w:pPr>
        <w:pStyle w:val="Normal"/>
        <w:spacing w:before="140" w:after="60"/>
        <w:rPr/>
      </w:pPr>
      <w:r>
        <w:rPr>
          <w:rFonts w:eastAsia="Arial" w:cs="Arial"/>
          <w:b/>
          <w:bCs/>
          <w:sz w:val="22"/>
          <w:szCs w:val="22"/>
          <w:u w:val="single"/>
        </w:rPr>
        <w:t>C. Emergency Absences — Immediate Response</w:t>
      </w:r>
    </w:p>
    <w:p>
      <w:pPr>
        <w:pStyle w:val="Normal"/>
        <w:spacing w:before="30" w:after="30"/>
        <w:ind w:hanging="360" w:start="720"/>
        <w:rPr/>
      </w:pPr>
      <w:r>
        <w:rPr>
          <w:rFonts w:eastAsia="Arial" w:cs="Arial"/>
          <w:b/>
          <w:bCs/>
          <w:sz w:val="22"/>
          <w:szCs w:val="22"/>
        </w:rPr>
        <w:t xml:space="preserve">a.  </w:t>
      </w:r>
      <w:r>
        <w:rPr>
          <w:rFonts w:eastAsia="Arial" w:cs="Arial"/>
          <w:sz w:val="22"/>
          <w:szCs w:val="22"/>
        </w:rPr>
        <w:t>If [HH/CC Provider Name] must leave unexpectedly, they shall contact the Program Provider within one (1) hour of departure.</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Program Provider shall assist in arranging emergency coverage if no approved Substitute Caregiver is immediately available.</w:t>
      </w:r>
    </w:p>
    <w:p>
      <w:pPr>
        <w:pStyle w:val="Normal"/>
        <w:spacing w:before="30" w:after="30"/>
        <w:ind w:hanging="360" w:start="720"/>
        <w:rPr/>
      </w:pPr>
      <w:r>
        <w:rPr>
          <w:rFonts w:eastAsia="Arial" w:cs="Arial"/>
          <w:b/>
          <w:bCs/>
          <w:sz w:val="22"/>
          <w:szCs w:val="22"/>
        </w:rPr>
        <w:t xml:space="preserve">c.  </w:t>
      </w:r>
      <w:r>
        <w:rPr>
          <w:rFonts w:eastAsia="Arial" w:cs="Arial"/>
          <w:sz w:val="22"/>
          <w:szCs w:val="22"/>
        </w:rPr>
        <w:t>The individual must never be left without approved coverage.</w:t>
      </w:r>
    </w:p>
    <w:p>
      <w:pPr>
        <w:pStyle w:val="Normal"/>
        <w:spacing w:before="30" w:after="30"/>
        <w:ind w:hanging="360" w:start="720"/>
        <w:rPr/>
      </w:pPr>
      <w:r>
        <w:rPr>
          <w:rFonts w:eastAsia="Arial" w:cs="Arial"/>
          <w:b/>
          <w:bCs/>
          <w:sz w:val="22"/>
          <w:szCs w:val="22"/>
        </w:rPr>
        <w:t xml:space="preserve">d.  </w:t>
      </w:r>
      <w:r>
        <w:rPr>
          <w:rFonts w:eastAsia="Arial" w:cs="Arial"/>
          <w:sz w:val="22"/>
          <w:szCs w:val="22"/>
        </w:rPr>
        <w:t>All emergency absences shall be documented and reported to the Program Provider within twenty-four (24) hours.</w:t>
      </w:r>
    </w:p>
    <w:p>
      <w:pPr>
        <w:pStyle w:val="Normal"/>
        <w:spacing w:before="140" w:after="60"/>
        <w:rPr/>
      </w:pPr>
      <w:r>
        <w:rPr>
          <w:rFonts w:eastAsia="Arial" w:cs="Arial"/>
          <w:b/>
          <w:bCs/>
          <w:sz w:val="22"/>
          <w:szCs w:val="22"/>
          <w:u w:val="single"/>
        </w:rPr>
        <w:t>D. Duration and Extended Absences</w:t>
      </w:r>
    </w:p>
    <w:p>
      <w:pPr>
        <w:pStyle w:val="Normal"/>
        <w:spacing w:before="30" w:after="30"/>
        <w:ind w:hanging="360" w:start="720"/>
        <w:rPr/>
      </w:pPr>
      <w:r>
        <w:rPr>
          <w:rFonts w:eastAsia="Arial" w:cs="Arial"/>
          <w:b/>
          <w:bCs/>
          <w:sz w:val="22"/>
          <w:szCs w:val="22"/>
        </w:rPr>
        <w:t xml:space="preserve">a.  </w:t>
      </w:r>
      <w:r>
        <w:rPr>
          <w:rFonts w:eastAsia="Arial" w:cs="Arial"/>
          <w:sz w:val="22"/>
          <w:szCs w:val="22"/>
        </w:rPr>
        <w:t>Substitute Caregivers may provide coverage for up to thirty (30) consecutive days. Absences exceeding thirty (30) days require Program Provider and HHSC review and may trigger an IPC change or alternative placement.</w:t>
      </w:r>
    </w:p>
    <w:p>
      <w:pPr>
        <w:pStyle w:val="Normal"/>
        <w:spacing w:before="140" w:after="60"/>
        <w:rPr/>
      </w:pPr>
      <w:r>
        <w:rPr>
          <w:rFonts w:eastAsia="Arial" w:cs="Arial"/>
          <w:b/>
          <w:bCs/>
          <w:sz w:val="22"/>
          <w:szCs w:val="22"/>
          <w:u w:val="single"/>
        </w:rPr>
        <w:t>E. Documentation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[HH/CC Provider Name] shall document all Substitute Caregiver coverage in the Home Communication Log, including caregiver name, dates/hours, and any significant events.</w:t>
      </w:r>
    </w:p>
    <w:p>
      <w:pPr>
        <w:pStyle w:val="Normal"/>
        <w:spacing w:before="30" w:after="30"/>
        <w:ind w:hanging="360" w:start="720"/>
        <w:rPr/>
      </w:pPr>
      <w:r>
        <w:rPr>
          <w:rFonts w:eastAsia="Arial" w:cs="Arial"/>
          <w:b/>
          <w:bCs/>
          <w:sz w:val="22"/>
          <w:szCs w:val="22"/>
        </w:rPr>
        <w:t xml:space="preserve">b.  </w:t>
      </w:r>
      <w:r>
        <w:rPr>
          <w:rFonts w:eastAsia="Arial" w:cs="Arial"/>
          <w:sz w:val="22"/>
          <w:szCs w:val="22"/>
        </w:rPr>
        <w:t>Any incident during Substitute Caregiver coverage shall be reported per Policy 5.00.</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Approved Substitute Caregiver List</w:t>
      </w:r>
    </w:p>
    <w:p>
      <w:pPr>
        <w:pStyle w:val="ListParagraph"/>
        <w:numPr>
          <w:ilvl w:val="0"/>
          <w:numId w:val="1"/>
        </w:numPr>
        <w:spacing w:before="30" w:after="30"/>
        <w:rPr/>
      </w:pPr>
      <w:r>
        <w:rPr>
          <w:rFonts w:eastAsia="Arial" w:cs="Arial"/>
          <w:sz w:val="22"/>
          <w:szCs w:val="22"/>
        </w:rPr>
        <w:t>TULIP Background Check Clearance Confirmation</w:t>
      </w:r>
    </w:p>
    <w:p>
      <w:pPr>
        <w:pStyle w:val="ListParagraph"/>
        <w:numPr>
          <w:ilvl w:val="0"/>
          <w:numId w:val="1"/>
        </w:numPr>
        <w:spacing w:before="30" w:after="30"/>
        <w:rPr/>
      </w:pPr>
      <w:r>
        <w:rPr>
          <w:rFonts w:eastAsia="Arial" w:cs="Arial"/>
          <w:sz w:val="22"/>
          <w:szCs w:val="22"/>
        </w:rPr>
        <w:t>Program Provider Contact: [Name] — [Phone]</w:t>
      </w:r>
    </w:p>
    <w:p>
      <w:pPr>
        <w:pStyle w:val="ListParagraph"/>
        <w:numPr>
          <w:ilvl w:val="0"/>
          <w:numId w:val="1"/>
        </w:numPr>
        <w:spacing w:before="30" w:after="30"/>
        <w:rPr/>
      </w:pPr>
      <w:r>
        <w:rPr>
          <w:rFonts w:eastAsia="Arial" w:cs="Arial"/>
          <w:sz w:val="22"/>
          <w:szCs w:val="22"/>
        </w:rPr>
        <w:t>Service Coordinator (LIDDA): [Name] — [Phone]</w:t>
      </w:r>
    </w:p>
    <w:p>
      <w:pPr>
        <w:pStyle w:val="ListParagraph"/>
        <w:numPr>
          <w:ilvl w:val="0"/>
          <w:numId w:val="1"/>
        </w:numPr>
        <w:spacing w:before="30" w:after="30"/>
        <w:rPr/>
      </w:pPr>
      <w:r>
        <w:rPr>
          <w:rFonts w:eastAsia="Arial" w:cs="Arial"/>
          <w:sz w:val="22"/>
          <w:szCs w:val="22"/>
        </w:rPr>
        <w:t>Home Communication Log</w:t>
      </w:r>
    </w:p>
    <w:p>
      <w:pPr>
        <w:pStyle w:val="ListParagraph"/>
        <w:numPr>
          <w:ilvl w:val="0"/>
          <w:numId w:val="1"/>
        </w:numPr>
        <w:spacing w:before="30" w:after="30"/>
        <w:rPr/>
      </w:pPr>
      <w:r>
        <w:rPr>
          <w:rFonts w:eastAsia="Arial" w:cs="Arial"/>
          <w:sz w:val="22"/>
          <w:szCs w:val="22"/>
        </w:rPr>
        <w:t>Incident Report Form (Policy 5.00)</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[HH/CC Provider / Administrator]</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[HH/CC Provider / Administrator]</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[HH/CC Provider / Administrator]</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#1.05: Supervision &amp; Communication with Your Program Provider and LIDDA</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Administration / Provider Relations</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1.05</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26 TAC Ch. 263 (HCS Program Rules); 26 TAC Ch. 565; HCS Program Handbook; Program Provider Agreement</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[HH/CC Provider Name]</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define the ongoing working relationship between [HH/CC Provider Name] and [Program Provider Name] (Program Provider), including required communications, monitoring visits, documentation submission, and after-hours support.</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[HH/CC Provider Name] operates under a provider agreement with [Program Provider Name], which holds the HHSC HCS Program contract. The Program Provider is responsible for oversight, training support, and backup coordination, and serves as the primary liaison with HHSC and the individual's LIDDA Service Coordinator. [HH/CC Provider Name] is responsible for maintaining open, timely communication with the Program Provider.</w:t>
      </w:r>
    </w:p>
    <w:p>
      <w:pPr>
        <w:pStyle w:val="Normal"/>
        <w:spacing w:before="120" w:after="40"/>
        <w:rPr/>
      </w:pPr>
      <w:r>
        <w:rPr>
          <w:rFonts w:eastAsia="Arial" w:cs="Arial"/>
          <w:b/>
          <w:bCs/>
          <w:color w:val="2E5DA8"/>
          <w:sz w:val="22"/>
          <w:szCs w:val="22"/>
        </w:rPr>
        <w:t>DEFINITIONS</w:t>
      </w:r>
    </w:p>
    <w:p>
      <w:pPr>
        <w:pStyle w:val="ListParagraph"/>
        <w:numPr>
          <w:ilvl w:val="0"/>
          <w:numId w:val="1"/>
        </w:numPr>
        <w:spacing w:before="30" w:after="30"/>
        <w:rPr/>
      </w:pPr>
      <w:r>
        <w:rPr>
          <w:rFonts w:eastAsia="Arial" w:cs="Arial"/>
          <w:sz w:val="22"/>
          <w:szCs w:val="22"/>
        </w:rPr>
        <w:t>Program Provider: [Program Provider Name] — the HHSC-contracted agency that holds the HCS Program contract and is responsible for oversight of this HH/CC setting. Contact: [Name, Phone, Email].</w:t>
      </w:r>
    </w:p>
    <w:p>
      <w:pPr>
        <w:pStyle w:val="ListParagraph"/>
        <w:numPr>
          <w:ilvl w:val="0"/>
          <w:numId w:val="1"/>
        </w:numPr>
        <w:spacing w:before="30" w:after="30"/>
        <w:rPr/>
      </w:pPr>
      <w:r>
        <w:rPr>
          <w:rFonts w:eastAsia="Arial" w:cs="Arial"/>
          <w:sz w:val="22"/>
          <w:szCs w:val="22"/>
        </w:rPr>
        <w:t>Service Coordinator: The LIDDA staff member assigned to coordinate the individual's services and IPC. Contact: [Name, Phone].</w:t>
      </w:r>
    </w:p>
    <w:p>
      <w:pPr>
        <w:pStyle w:val="ListParagraph"/>
        <w:numPr>
          <w:ilvl w:val="0"/>
          <w:numId w:val="1"/>
        </w:numPr>
        <w:spacing w:before="30" w:after="30"/>
        <w:rPr/>
      </w:pPr>
      <w:r>
        <w:rPr>
          <w:rFonts w:eastAsia="Arial" w:cs="Arial"/>
          <w:sz w:val="22"/>
          <w:szCs w:val="22"/>
        </w:rPr>
        <w:t>LIDDA: Local Intellectual and Developmental Disability Authority — [LIDDA Name]. Contact: [Phone].</w:t>
      </w:r>
    </w:p>
    <w:p>
      <w:pPr>
        <w:pStyle w:val="Normal"/>
        <w:spacing w:before="120" w:after="40"/>
        <w:rPr/>
      </w:pPr>
      <w:r>
        <w:rPr>
          <w:rFonts w:eastAsia="Arial" w:cs="Arial"/>
          <w:b/>
          <w:bCs/>
          <w:color w:val="2E5DA8"/>
          <w:sz w:val="22"/>
          <w:szCs w:val="22"/>
        </w:rPr>
        <w:t>REQUIRED COMMUNICATIONS — NOTIFY PROGRAM PROVIDER IMMEDIATELY FOR</w:t>
      </w:r>
    </w:p>
    <w:p>
      <w:pPr>
        <w:pStyle w:val="ListParagraph"/>
        <w:numPr>
          <w:ilvl w:val="0"/>
          <w:numId w:val="1"/>
        </w:numPr>
        <w:spacing w:before="30" w:after="30"/>
        <w:rPr/>
      </w:pPr>
      <w:r>
        <w:rPr>
          <w:rFonts w:eastAsia="Arial" w:cs="Arial"/>
          <w:sz w:val="22"/>
          <w:szCs w:val="22"/>
        </w:rPr>
        <w:t>Any injury to or significant change in the health status of the individual</w:t>
      </w:r>
    </w:p>
    <w:p>
      <w:pPr>
        <w:pStyle w:val="ListParagraph"/>
        <w:numPr>
          <w:ilvl w:val="0"/>
          <w:numId w:val="1"/>
        </w:numPr>
        <w:spacing w:before="30" w:after="30"/>
        <w:rPr/>
      </w:pPr>
      <w:r>
        <w:rPr>
          <w:rFonts w:eastAsia="Arial" w:cs="Arial"/>
          <w:sz w:val="22"/>
          <w:szCs w:val="22"/>
        </w:rPr>
        <w:t>Any incident requiring 911 or emergency medical evaluation</w:t>
      </w:r>
    </w:p>
    <w:p>
      <w:pPr>
        <w:pStyle w:val="ListParagraph"/>
        <w:numPr>
          <w:ilvl w:val="0"/>
          <w:numId w:val="1"/>
        </w:numPr>
        <w:spacing w:before="30" w:after="30"/>
        <w:rPr/>
      </w:pPr>
      <w:r>
        <w:rPr>
          <w:rFonts w:eastAsia="Arial" w:cs="Arial"/>
          <w:sz w:val="22"/>
          <w:szCs w:val="22"/>
        </w:rPr>
        <w:t>Any suspected or known abuse, neglect, or exploitation (call DFPS APS first: 1-800-458-9858, then notify Program Provider)</w:t>
      </w:r>
    </w:p>
    <w:p>
      <w:pPr>
        <w:pStyle w:val="ListParagraph"/>
        <w:numPr>
          <w:ilvl w:val="0"/>
          <w:numId w:val="1"/>
        </w:numPr>
        <w:spacing w:before="30" w:after="30"/>
        <w:rPr/>
      </w:pPr>
      <w:r>
        <w:rPr>
          <w:rFonts w:eastAsia="Arial" w:cs="Arial"/>
          <w:sz w:val="22"/>
          <w:szCs w:val="22"/>
        </w:rPr>
        <w:t>Any medication error</w:t>
      </w:r>
    </w:p>
    <w:p>
      <w:pPr>
        <w:pStyle w:val="ListParagraph"/>
        <w:numPr>
          <w:ilvl w:val="0"/>
          <w:numId w:val="1"/>
        </w:numPr>
        <w:spacing w:before="30" w:after="30"/>
        <w:rPr/>
      </w:pPr>
      <w:r>
        <w:rPr>
          <w:rFonts w:eastAsia="Arial" w:cs="Arial"/>
          <w:sz w:val="22"/>
          <w:szCs w:val="22"/>
        </w:rPr>
        <w:t>The individual is missing or cannot be accounted for</w:t>
      </w:r>
    </w:p>
    <w:p>
      <w:pPr>
        <w:pStyle w:val="ListParagraph"/>
        <w:numPr>
          <w:ilvl w:val="0"/>
          <w:numId w:val="1"/>
        </w:numPr>
        <w:spacing w:before="30" w:after="30"/>
        <w:rPr/>
      </w:pPr>
      <w:r>
        <w:rPr>
          <w:rFonts w:eastAsia="Arial" w:cs="Arial"/>
          <w:sz w:val="22"/>
          <w:szCs w:val="22"/>
        </w:rPr>
        <w:t>Any law enforcement contact at the HH/CC home</w:t>
      </w:r>
    </w:p>
    <w:p>
      <w:pPr>
        <w:pStyle w:val="ListParagraph"/>
        <w:numPr>
          <w:ilvl w:val="0"/>
          <w:numId w:val="1"/>
        </w:numPr>
        <w:spacing w:before="30" w:after="30"/>
        <w:rPr/>
      </w:pPr>
      <w:r>
        <w:rPr>
          <w:rFonts w:eastAsia="Arial" w:cs="Arial"/>
          <w:sz w:val="22"/>
          <w:szCs w:val="22"/>
        </w:rPr>
        <w:t>Any unplanned absence by [HH/CC Provider Name] (see Policy 1.04)</w:t>
      </w:r>
    </w:p>
    <w:p>
      <w:pPr>
        <w:pStyle w:val="ListParagraph"/>
        <w:numPr>
          <w:ilvl w:val="0"/>
          <w:numId w:val="1"/>
        </w:numPr>
        <w:spacing w:before="30" w:after="30"/>
        <w:rPr/>
      </w:pPr>
      <w:r>
        <w:rPr>
          <w:rFonts w:eastAsia="Arial" w:cs="Arial"/>
          <w:sz w:val="22"/>
          <w:szCs w:val="22"/>
        </w:rPr>
        <w:t>Any significant conflict between the individual and the HH/CC Provider or household members</w:t>
      </w:r>
    </w:p>
    <w:p>
      <w:pPr>
        <w:pStyle w:val="ListParagraph"/>
        <w:numPr>
          <w:ilvl w:val="0"/>
          <w:numId w:val="1"/>
        </w:numPr>
        <w:spacing w:before="30" w:after="30"/>
        <w:rPr/>
      </w:pPr>
      <w:r>
        <w:rPr>
          <w:rFonts w:eastAsia="Arial" w:cs="Arial"/>
          <w:sz w:val="22"/>
          <w:szCs w:val="22"/>
        </w:rPr>
        <w:t>Death of the individual</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Monitoring Visits</w:t>
      </w:r>
    </w:p>
    <w:p>
      <w:pPr>
        <w:pStyle w:val="Normal"/>
        <w:spacing w:before="30" w:after="30"/>
        <w:ind w:hanging="360" w:start="720"/>
        <w:rPr/>
      </w:pPr>
      <w:r>
        <w:rPr>
          <w:rFonts w:eastAsia="Arial" w:cs="Arial"/>
          <w:b/>
          <w:bCs/>
          <w:sz w:val="22"/>
          <w:szCs w:val="22"/>
        </w:rPr>
        <w:t xml:space="preserve">a.  </w:t>
      </w:r>
      <w:r>
        <w:rPr>
          <w:rFonts w:eastAsia="Arial" w:cs="Arial"/>
          <w:sz w:val="22"/>
          <w:szCs w:val="22"/>
        </w:rPr>
        <w:t>The Program Provider shall conduct monitoring visits of the HH/CC setting at the frequency required by HHSC HCS Program rules and the Program Provider agreement.</w:t>
      </w:r>
    </w:p>
    <w:p>
      <w:pPr>
        <w:pStyle w:val="Normal"/>
        <w:spacing w:before="30" w:after="30"/>
        <w:ind w:hanging="360" w:start="720"/>
        <w:rPr/>
      </w:pPr>
      <w:r>
        <w:rPr>
          <w:rFonts w:eastAsia="Arial" w:cs="Arial"/>
          <w:b/>
          <w:bCs/>
          <w:sz w:val="22"/>
          <w:szCs w:val="22"/>
        </w:rPr>
        <w:t xml:space="preserve">b.  </w:t>
      </w:r>
      <w:r>
        <w:rPr>
          <w:rFonts w:eastAsia="Arial" w:cs="Arial"/>
          <w:sz w:val="22"/>
          <w:szCs w:val="22"/>
        </w:rPr>
        <w:t>[HH/CC Provider Name] shall cooperate fully with all Program Provider monitoring visits and with any HHSC survey or DFPS investigation.</w:t>
      </w:r>
    </w:p>
    <w:p>
      <w:pPr>
        <w:pStyle w:val="Normal"/>
        <w:spacing w:before="30" w:after="30"/>
        <w:ind w:hanging="360" w:start="720"/>
        <w:rPr/>
      </w:pPr>
      <w:r>
        <w:rPr>
          <w:rFonts w:eastAsia="Arial" w:cs="Arial"/>
          <w:b/>
          <w:bCs/>
          <w:sz w:val="22"/>
          <w:szCs w:val="22"/>
        </w:rPr>
        <w:t xml:space="preserve">c.  </w:t>
      </w:r>
      <w:r>
        <w:rPr>
          <w:rFonts w:eastAsia="Arial" w:cs="Arial"/>
          <w:sz w:val="22"/>
          <w:szCs w:val="22"/>
        </w:rPr>
        <w:t>Monitoring visit findings shall be shared with [HH/CC Provider Name] within five (5) business days.</w:t>
      </w:r>
    </w:p>
    <w:p>
      <w:pPr>
        <w:pStyle w:val="Normal"/>
        <w:spacing w:before="140" w:after="60"/>
        <w:rPr/>
      </w:pPr>
      <w:r>
        <w:rPr>
          <w:rFonts w:eastAsia="Arial" w:cs="Arial"/>
          <w:b/>
          <w:bCs/>
          <w:sz w:val="22"/>
          <w:szCs w:val="22"/>
          <w:u w:val="single"/>
        </w:rPr>
        <w:t>B. Documentation Submission</w:t>
      </w:r>
    </w:p>
    <w:p>
      <w:pPr>
        <w:pStyle w:val="Normal"/>
        <w:spacing w:before="30" w:after="30"/>
        <w:ind w:hanging="360" w:start="720"/>
        <w:rPr/>
      </w:pPr>
      <w:r>
        <w:rPr>
          <w:rFonts w:eastAsia="Arial" w:cs="Arial"/>
          <w:b/>
          <w:bCs/>
          <w:sz w:val="22"/>
          <w:szCs w:val="22"/>
        </w:rPr>
        <w:t xml:space="preserve">a.  </w:t>
      </w:r>
      <w:r>
        <w:rPr>
          <w:rFonts w:eastAsia="Arial" w:cs="Arial"/>
          <w:sz w:val="22"/>
          <w:szCs w:val="22"/>
        </w:rPr>
        <w:t>[HH/CC Provider Name] shall submit required documentation to the Program Provider on the schedule specified in the provider agreement, including: monthly progress notes, MAR, and incident reports.</w:t>
      </w:r>
    </w:p>
    <w:p>
      <w:pPr>
        <w:pStyle w:val="Normal"/>
        <w:spacing w:before="30" w:after="30"/>
        <w:ind w:hanging="360" w:start="720"/>
        <w:rPr/>
      </w:pPr>
      <w:r>
        <w:rPr>
          <w:rFonts w:eastAsia="Arial" w:cs="Arial"/>
          <w:b/>
          <w:bCs/>
          <w:sz w:val="22"/>
          <w:szCs w:val="22"/>
        </w:rPr>
        <w:t xml:space="preserve">b.  </w:t>
      </w:r>
      <w:r>
        <w:rPr>
          <w:rFonts w:eastAsia="Arial" w:cs="Arial"/>
          <w:sz w:val="22"/>
          <w:szCs w:val="22"/>
        </w:rPr>
        <w:t>[HH/CC Provider Name] shall participate in IDT meetings including the annual IPC review meeting and any interim IDT meetings called by HHSC, the LIDDA, or the Program Provider.</w:t>
      </w:r>
    </w:p>
    <w:p>
      <w:pPr>
        <w:pStyle w:val="Normal"/>
        <w:spacing w:before="140" w:after="60"/>
        <w:rPr/>
      </w:pPr>
      <w:r>
        <w:rPr>
          <w:rFonts w:eastAsia="Arial" w:cs="Arial"/>
          <w:b/>
          <w:bCs/>
          <w:sz w:val="22"/>
          <w:szCs w:val="22"/>
          <w:u w:val="single"/>
        </w:rPr>
        <w:t>C. IPC and Implementation Plan Updates</w:t>
      </w:r>
    </w:p>
    <w:p>
      <w:pPr>
        <w:pStyle w:val="Normal"/>
        <w:spacing w:before="30" w:after="30"/>
        <w:ind w:hanging="360" w:start="720"/>
        <w:rPr/>
      </w:pPr>
      <w:r>
        <w:rPr>
          <w:rFonts w:eastAsia="Arial" w:cs="Arial"/>
          <w:b/>
          <w:bCs/>
          <w:sz w:val="22"/>
          <w:szCs w:val="22"/>
        </w:rPr>
        <w:t xml:space="preserve">a.  </w:t>
      </w:r>
      <w:r>
        <w:rPr>
          <w:rFonts w:eastAsia="Arial" w:cs="Arial"/>
          <w:sz w:val="22"/>
          <w:szCs w:val="22"/>
        </w:rPr>
        <w:t>All IPC or IP updates shall be communicated to [HH/CC Provider Name] and implemented within forty-eight (48) hours of receipt.</w:t>
      </w:r>
    </w:p>
    <w:p>
      <w:pPr>
        <w:pStyle w:val="Normal"/>
        <w:spacing w:before="30" w:after="30"/>
        <w:ind w:hanging="360" w:start="720"/>
        <w:rPr/>
      </w:pPr>
      <w:r>
        <w:rPr>
          <w:rFonts w:eastAsia="Arial" w:cs="Arial"/>
          <w:b/>
          <w:bCs/>
          <w:sz w:val="22"/>
          <w:szCs w:val="22"/>
        </w:rPr>
        <w:t xml:space="preserve">b.  </w:t>
      </w:r>
      <w:r>
        <w:rPr>
          <w:rFonts w:eastAsia="Arial" w:cs="Arial"/>
          <w:sz w:val="22"/>
          <w:szCs w:val="22"/>
        </w:rPr>
        <w:t>If the current IPC/IP is not meeting the individual's needs, [HH/CC Provider Name] shall notify the Program Provider and Service Coordinator immediately.</w:t>
      </w:r>
    </w:p>
    <w:p>
      <w:pPr>
        <w:pStyle w:val="Normal"/>
        <w:spacing w:before="140" w:after="60"/>
        <w:rPr/>
      </w:pPr>
      <w:r>
        <w:rPr>
          <w:rFonts w:eastAsia="Arial" w:cs="Arial"/>
          <w:b/>
          <w:bCs/>
          <w:sz w:val="22"/>
          <w:szCs w:val="22"/>
          <w:u w:val="single"/>
        </w:rPr>
        <w:t>D. Annual Provider Agreement Renewal</w:t>
      </w:r>
    </w:p>
    <w:p>
      <w:pPr>
        <w:pStyle w:val="Normal"/>
        <w:spacing w:before="30" w:after="30"/>
        <w:ind w:hanging="360" w:start="720"/>
        <w:rPr/>
      </w:pPr>
      <w:r>
        <w:rPr>
          <w:rFonts w:eastAsia="Arial" w:cs="Arial"/>
          <w:b/>
          <w:bCs/>
          <w:sz w:val="22"/>
          <w:szCs w:val="22"/>
        </w:rPr>
        <w:t xml:space="preserve">a.  </w:t>
      </w:r>
      <w:r>
        <w:rPr>
          <w:rFonts w:eastAsia="Arial" w:cs="Arial"/>
          <w:sz w:val="22"/>
          <w:szCs w:val="22"/>
        </w:rPr>
        <w:t>The provider agreement between [HH/CC Provider Name] and [Program Provider Name] shall be reviewed and renewed annually.</w:t>
      </w:r>
    </w:p>
    <w:p>
      <w:pPr>
        <w:pStyle w:val="Normal"/>
        <w:spacing w:before="30" w:after="30"/>
        <w:ind w:hanging="360" w:start="720"/>
        <w:rPr/>
      </w:pPr>
      <w:r>
        <w:rPr>
          <w:rFonts w:eastAsia="Arial" w:cs="Arial"/>
          <w:b/>
          <w:bCs/>
          <w:sz w:val="22"/>
          <w:szCs w:val="22"/>
        </w:rPr>
        <w:t xml:space="preserve">b.  </w:t>
      </w:r>
      <w:r>
        <w:rPr>
          <w:rFonts w:eastAsia="Arial" w:cs="Arial"/>
          <w:sz w:val="22"/>
          <w:szCs w:val="22"/>
        </w:rPr>
        <w:t>Any change in the HH/CC home address, household composition (adult members), or significant change in the provider's circumstances shall be reported to the Program Provider within thirty (30) days.</w:t>
      </w:r>
    </w:p>
    <w:p>
      <w:pPr>
        <w:pStyle w:val="Normal"/>
        <w:spacing w:before="140" w:after="60"/>
        <w:rPr/>
      </w:pPr>
      <w:r>
        <w:rPr>
          <w:rFonts w:eastAsia="Arial" w:cs="Arial"/>
          <w:b/>
          <w:bCs/>
          <w:sz w:val="22"/>
          <w:szCs w:val="22"/>
          <w:u w:val="single"/>
        </w:rPr>
        <w:t>E. After-Hours Support</w:t>
      </w:r>
    </w:p>
    <w:p>
      <w:pPr>
        <w:pStyle w:val="Normal"/>
        <w:spacing w:before="30" w:after="30"/>
        <w:ind w:hanging="360" w:start="720"/>
        <w:rPr/>
      </w:pPr>
      <w:r>
        <w:rPr>
          <w:rFonts w:eastAsia="Arial" w:cs="Arial"/>
          <w:b/>
          <w:bCs/>
          <w:sz w:val="22"/>
          <w:szCs w:val="22"/>
        </w:rPr>
        <w:t xml:space="preserve">a.  </w:t>
      </w:r>
      <w:r>
        <w:rPr>
          <w:rFonts w:eastAsia="Arial" w:cs="Arial"/>
          <w:sz w:val="22"/>
          <w:szCs w:val="22"/>
        </w:rPr>
        <w:t>The Program Provider provides an after-hours on-call contact: [After-Hours Phone Number].</w:t>
      </w:r>
    </w:p>
    <w:p>
      <w:pPr>
        <w:pStyle w:val="Normal"/>
        <w:spacing w:before="30" w:after="30"/>
        <w:ind w:hanging="360" w:start="720"/>
        <w:rPr/>
      </w:pPr>
      <w:r>
        <w:rPr>
          <w:rFonts w:eastAsia="Arial" w:cs="Arial"/>
          <w:b/>
          <w:bCs/>
          <w:sz w:val="22"/>
          <w:szCs w:val="22"/>
        </w:rPr>
        <w:t xml:space="preserve">b.  </w:t>
      </w:r>
      <w:r>
        <w:rPr>
          <w:rFonts w:eastAsia="Arial" w:cs="Arial"/>
          <w:sz w:val="22"/>
          <w:szCs w:val="22"/>
        </w:rPr>
        <w:t>For life-threatening emergencies, call 911 first. Notify the Program Provider as soon as safely possible after.</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Program Provider Agreement — signed copy on file</w:t>
      </w:r>
    </w:p>
    <w:p>
      <w:pPr>
        <w:pStyle w:val="ListParagraph"/>
        <w:numPr>
          <w:ilvl w:val="0"/>
          <w:numId w:val="1"/>
        </w:numPr>
        <w:spacing w:before="30" w:after="30"/>
        <w:rPr/>
      </w:pPr>
      <w:r>
        <w:rPr>
          <w:rFonts w:eastAsia="Arial" w:cs="Arial"/>
          <w:sz w:val="22"/>
          <w:szCs w:val="22"/>
        </w:rPr>
        <w:t>Program Provider Contact List</w:t>
      </w:r>
    </w:p>
    <w:p>
      <w:pPr>
        <w:pStyle w:val="ListParagraph"/>
        <w:numPr>
          <w:ilvl w:val="0"/>
          <w:numId w:val="1"/>
        </w:numPr>
        <w:spacing w:before="30" w:after="30"/>
        <w:rPr/>
      </w:pPr>
      <w:r>
        <w:rPr>
          <w:rFonts w:eastAsia="Arial" w:cs="Arial"/>
          <w:sz w:val="22"/>
          <w:szCs w:val="22"/>
        </w:rPr>
        <w:t>LIDDA / Service Coordinator Contact</w:t>
      </w:r>
    </w:p>
    <w:p>
      <w:pPr>
        <w:pStyle w:val="ListParagraph"/>
        <w:numPr>
          <w:ilvl w:val="0"/>
          <w:numId w:val="1"/>
        </w:numPr>
        <w:spacing w:before="30" w:after="30"/>
        <w:rPr/>
      </w:pPr>
      <w:r>
        <w:rPr>
          <w:rFonts w:eastAsia="Arial" w:cs="Arial"/>
          <w:sz w:val="22"/>
          <w:szCs w:val="22"/>
        </w:rPr>
        <w:t>Monthly Documentation Packet (progress notes, MAR, incident reports)</w:t>
      </w:r>
    </w:p>
    <w:p>
      <w:pPr>
        <w:pStyle w:val="ListParagraph"/>
        <w:numPr>
          <w:ilvl w:val="0"/>
          <w:numId w:val="1"/>
        </w:numPr>
        <w:spacing w:before="30" w:after="30"/>
        <w:rPr/>
      </w:pPr>
      <w:r>
        <w:rPr>
          <w:rFonts w:eastAsia="Arial" w:cs="Arial"/>
          <w:sz w:val="22"/>
          <w:szCs w:val="22"/>
        </w:rPr>
        <w:t>Incident Report Form (Policy 5.00)</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[HH/CC Provider / Administrator]</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[HH/CC Provider / Administrator]</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[HH/CC Provider / Administrator]</w:t>
            </w:r>
          </w:p>
        </w:tc>
      </w:tr>
    </w:tbl>
    <w:p>
      <w:pPr>
        <w:pStyle w:val="Normal"/>
        <w:rPr/>
      </w:pPr>
      <w:r>
        <w:rPr/>
        <w:br/>
      </w:r>
    </w:p>
    <w:p>
      <w:pPr>
        <w:pStyle w:val="Normal"/>
        <w:shd w:val="clear" w:fill="1F3864"/>
        <w:spacing w:before="0" w:after="0"/>
        <w:jc w:val="center"/>
        <w:rPr/>
      </w:pPr>
      <w:r>
        <w:rPr>
          <w:rFonts w:eastAsia="Arial" w:cs="Arial"/>
          <w:b/>
          <w:bCs/>
          <w:color w:val="FFFFFF"/>
          <w:sz w:val="32"/>
          <w:szCs w:val="32"/>
        </w:rPr>
        <w:t>SECTION B: HH/CC PROVIDER QUALIFICATIONS, BACKGROUND CLEARANCES &amp; SUBSTITUTE CAREGIVERS</w:t>
      </w:r>
    </w:p>
    <w:p>
      <w:pPr>
        <w:pStyle w:val="Normal"/>
        <w:spacing w:before="0" w:after="200"/>
        <w:rPr/>
      </w:pPr>
      <w:r>
        <w:rP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#2.00: HH/CC Provider Qualifications &amp; Texas Background Clearance Requirements</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Provider Qualifications</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2.00</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26 TAC Ch. 263 &amp; 565 (HCS Program Rules); 26 TAC Ch. 561 (Background Checks); Texas H&amp;S Code Ch. 250 (NAR); Texas H&amp;S Code Ch. 253 (EMR); Texas H&amp;S Code Ch. 411 (DPS Criminal History)</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[HH/CC Provider Name]</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document the qualifications and three-part Texas background clearance requirements that [HH/CC Provider Name] must meet and maintain as a Texas HCS Host Home/Companion Care provider, and to ensure that all adults in the household also meet required clearance standards.</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[HH/CC Provider Name] understands that qualification to serve as an HCS HH/CC provider is granted through the Program Provider agreement and is contingent on maintaining all required clearances. Any disqualifying finding or lapse in clearance shall be reported to the Program Provider immediately and shall result in suspension of HH/CC services pending resolution.</w:t>
      </w:r>
    </w:p>
    <w:p>
      <w:pPr>
        <w:pStyle w:val="Normal"/>
        <w:spacing w:before="120" w:after="40"/>
        <w:rPr/>
      </w:pPr>
      <w:r>
        <w:rPr>
          <w:rFonts w:eastAsia="Arial" w:cs="Arial"/>
          <w:b/>
          <w:bCs/>
          <w:color w:val="2E5DA8"/>
          <w:sz w:val="22"/>
          <w:szCs w:val="22"/>
        </w:rPr>
        <w:t>TEXAS THREE-PART BACKGROUND CLEARANCE SYSTEM</w:t>
      </w:r>
    </w:p>
    <w:p>
      <w:pPr>
        <w:pStyle w:val="Normal"/>
        <w:spacing w:before="40" w:after="60"/>
        <w:rPr/>
      </w:pPr>
      <w:r>
        <w:rPr>
          <w:rFonts w:eastAsia="Arial" w:cs="Arial"/>
          <w:sz w:val="22"/>
          <w:szCs w:val="22"/>
        </w:rPr>
        <w:t>Texas HCS Program rules require clearance through three separate checks, all conducted through TULIP (Texas Unified Licensure Information Portal):</w:t>
      </w:r>
    </w:p>
    <w:p>
      <w:pPr>
        <w:pStyle w:val="Normal"/>
        <w:spacing w:before="30" w:after="30"/>
        <w:ind w:hanging="360" w:start="720"/>
        <w:rPr/>
      </w:pPr>
      <w:r>
        <w:rPr>
          <w:rFonts w:eastAsia="Arial" w:cs="Arial"/>
          <w:b/>
          <w:bCs/>
          <w:sz w:val="22"/>
          <w:szCs w:val="22"/>
        </w:rPr>
        <w:t xml:space="preserve">a.  </w:t>
      </w:r>
      <w:r>
        <w:rPr>
          <w:rFonts w:eastAsia="Arial" w:cs="Arial"/>
          <w:sz w:val="22"/>
          <w:szCs w:val="22"/>
        </w:rPr>
        <w:t>Texas DPS Criminal History Background Check — FBI-based fingerprint criminal history check through Texas Department of Public Safety; required before first placement and repeated as required by HHSC rules and Program Provider agreement</w:t>
      </w:r>
    </w:p>
    <w:p>
      <w:pPr>
        <w:pStyle w:val="Normal"/>
        <w:spacing w:before="30" w:after="30"/>
        <w:ind w:hanging="360" w:start="720"/>
        <w:rPr/>
      </w:pPr>
      <w:r>
        <w:rPr>
          <w:rFonts w:eastAsia="Arial" w:cs="Arial"/>
          <w:b/>
          <w:bCs/>
          <w:sz w:val="22"/>
          <w:szCs w:val="22"/>
        </w:rPr>
        <w:t xml:space="preserve">b.  </w:t>
      </w:r>
      <w:r>
        <w:rPr>
          <w:rFonts w:eastAsia="Arial" w:cs="Arial"/>
          <w:sz w:val="22"/>
          <w:szCs w:val="22"/>
        </w:rPr>
        <w:t>Employee Misconduct Registry (EMR) Search — Texas H&amp;S Code Ch. 253; HHSC registry of individuals found to have committed abuse, neglect, exploitation, misappropriation, or misconduct against individuals in HHSC-regulated settings; required before placement and annually thereafter</w:t>
      </w:r>
    </w:p>
    <w:p>
      <w:pPr>
        <w:pStyle w:val="Normal"/>
        <w:spacing w:before="30" w:after="30"/>
        <w:ind w:hanging="360" w:start="720"/>
        <w:rPr/>
      </w:pPr>
      <w:r>
        <w:rPr>
          <w:rFonts w:eastAsia="Arial" w:cs="Arial"/>
          <w:b/>
          <w:bCs/>
          <w:sz w:val="22"/>
          <w:szCs w:val="22"/>
        </w:rPr>
        <w:t xml:space="preserve">c.  </w:t>
      </w:r>
      <w:r>
        <w:rPr>
          <w:rFonts w:eastAsia="Arial" w:cs="Arial"/>
          <w:sz w:val="22"/>
          <w:szCs w:val="22"/>
        </w:rPr>
        <w:t>Texas Nurse Aide Registry (NAR) Search — Texas H&amp;S Code Ch. 250; required before placement and annually thereafter</w:t>
      </w:r>
    </w:p>
    <w:p>
      <w:pPr>
        <w:pStyle w:val="Normal"/>
        <w:spacing w:before="40" w:after="60"/>
        <w:rPr/>
      </w:pPr>
      <w:r>
        <w:rPr>
          <w:rFonts w:eastAsia="Arial" w:cs="Arial"/>
          <w:sz w:val="22"/>
          <w:szCs w:val="22"/>
        </w:rPr>
        <w:t>All three searches are conducted through TULIP. No person who appears on the EMR or NAR as unemployable, or whose DPS criminal history reveals a disqualifying offense, may serve as an HH/CC provider or Substitute Caregiver.</w:t>
      </w:r>
    </w:p>
    <w:p>
      <w:pPr>
        <w:pStyle w:val="Normal"/>
        <w:spacing w:before="30" w:after="30"/>
        <w:ind w:hanging="360" w:start="720"/>
        <w:rPr/>
      </w:pPr>
      <w:r>
        <w:rPr>
          <w:rFonts w:eastAsia="Arial" w:cs="Arial"/>
          <w:b/>
          <w:bCs/>
          <w:sz w:val="22"/>
          <w:szCs w:val="22"/>
        </w:rPr>
        <w:t xml:space="preserve">d.  </w:t>
      </w:r>
      <w:r>
        <w:rPr>
          <w:rFonts w:eastAsia="Arial" w:cs="Arial"/>
          <w:sz w:val="22"/>
          <w:szCs w:val="22"/>
        </w:rPr>
        <w:t>Annual re-verification: EMR and NAR searches must be repeated annually for all active HH/CC providers and approved Substitute Caregivers per 26 TAC Ch. 561.</w:t>
      </w:r>
    </w:p>
    <w:p>
      <w:pPr>
        <w:pStyle w:val="Normal"/>
        <w:spacing w:before="30" w:after="30"/>
        <w:ind w:hanging="360" w:start="720"/>
        <w:rPr/>
      </w:pPr>
      <w:r>
        <w:rPr>
          <w:rFonts w:eastAsia="Arial" w:cs="Arial"/>
          <w:b/>
          <w:bCs/>
          <w:sz w:val="22"/>
          <w:szCs w:val="22"/>
        </w:rPr>
        <w:t xml:space="preserve">e.  </w:t>
      </w:r>
      <w:r>
        <w:rPr>
          <w:rFonts w:eastAsia="Arial" w:cs="Arial"/>
          <w:sz w:val="22"/>
          <w:szCs w:val="22"/>
        </w:rPr>
        <w:t>Background clearances required for ALL adults (age 18+) residing in the HH/CC home — not only the provider.</w:t>
      </w:r>
    </w:p>
    <w:p>
      <w:pPr>
        <w:pStyle w:val="Normal"/>
        <w:spacing w:before="120" w:after="40"/>
        <w:rPr/>
      </w:pPr>
      <w:r>
        <w:rPr>
          <w:rFonts w:eastAsia="Arial" w:cs="Arial"/>
          <w:b/>
          <w:bCs/>
          <w:color w:val="2E5DA8"/>
          <w:sz w:val="22"/>
          <w:szCs w:val="22"/>
        </w:rPr>
        <w:t>MINIMUM QUALIFICATIONS — HH/CC PROVIDER</w:t>
      </w:r>
    </w:p>
    <w:p>
      <w:pPr>
        <w:pStyle w:val="ListParagraph"/>
        <w:numPr>
          <w:ilvl w:val="0"/>
          <w:numId w:val="1"/>
        </w:numPr>
        <w:spacing w:before="30" w:after="30"/>
        <w:rPr/>
      </w:pPr>
      <w:r>
        <w:rPr>
          <w:rFonts w:eastAsia="Arial" w:cs="Arial"/>
          <w:sz w:val="22"/>
          <w:szCs w:val="22"/>
        </w:rPr>
        <w:t>Minimum eighteen (18) years of age — HH/CC Provider and all adults residing in the home</w:t>
      </w:r>
    </w:p>
    <w:p>
      <w:pPr>
        <w:pStyle w:val="ListParagraph"/>
        <w:numPr>
          <w:ilvl w:val="0"/>
          <w:numId w:val="1"/>
        </w:numPr>
        <w:spacing w:before="30" w:after="30"/>
        <w:rPr/>
      </w:pPr>
      <w:r>
        <w:rPr>
          <w:rFonts w:eastAsia="Arial" w:cs="Arial"/>
          <w:sz w:val="22"/>
          <w:szCs w:val="22"/>
        </w:rPr>
        <w:t>Cleared of all three required background checks with no disqualifying findings</w:t>
      </w:r>
    </w:p>
    <w:p>
      <w:pPr>
        <w:pStyle w:val="ListParagraph"/>
        <w:numPr>
          <w:ilvl w:val="0"/>
          <w:numId w:val="1"/>
        </w:numPr>
        <w:spacing w:before="30" w:after="30"/>
        <w:rPr/>
      </w:pPr>
      <w:r>
        <w:rPr>
          <w:rFonts w:eastAsia="Arial" w:cs="Arial"/>
          <w:sz w:val="22"/>
          <w:szCs w:val="22"/>
        </w:rPr>
        <w:t>Physical health sufficient to provide required personal care and support, and to assist with emergency evacuation</w:t>
      </w:r>
    </w:p>
    <w:p>
      <w:pPr>
        <w:pStyle w:val="ListParagraph"/>
        <w:numPr>
          <w:ilvl w:val="0"/>
          <w:numId w:val="1"/>
        </w:numPr>
        <w:spacing w:before="30" w:after="30"/>
        <w:rPr/>
      </w:pPr>
      <w:r>
        <w:rPr>
          <w:rFonts w:eastAsia="Arial" w:cs="Arial"/>
          <w:sz w:val="22"/>
          <w:szCs w:val="22"/>
        </w:rPr>
        <w:t>Ability to read, write, and communicate in English (or the individual's primary language)</w:t>
      </w:r>
    </w:p>
    <w:p>
      <w:pPr>
        <w:pStyle w:val="ListParagraph"/>
        <w:numPr>
          <w:ilvl w:val="0"/>
          <w:numId w:val="1"/>
        </w:numPr>
        <w:spacing w:before="30" w:after="30"/>
        <w:rPr/>
      </w:pPr>
      <w:r>
        <w:rPr>
          <w:rFonts w:eastAsia="Arial" w:cs="Arial"/>
          <w:sz w:val="22"/>
          <w:szCs w:val="22"/>
        </w:rPr>
        <w:t>Financial stability to maintain the home independently, without reliance on the individual's personal funds for household expenses</w:t>
      </w:r>
    </w:p>
    <w:p>
      <w:pPr>
        <w:pStyle w:val="Normal"/>
        <w:spacing w:before="120" w:after="40"/>
        <w:rPr/>
      </w:pPr>
      <w:r>
        <w:rPr>
          <w:rFonts w:eastAsia="Arial" w:cs="Arial"/>
          <w:b/>
          <w:bCs/>
          <w:color w:val="2E5DA8"/>
          <w:sz w:val="22"/>
          <w:szCs w:val="22"/>
        </w:rPr>
        <w:t>HOME CERTIFICATION REQUIREMENTS</w:t>
      </w:r>
    </w:p>
    <w:p>
      <w:pPr>
        <w:pStyle w:val="Normal"/>
        <w:spacing w:before="40" w:after="60"/>
        <w:rPr/>
      </w:pPr>
      <w:r>
        <w:rPr>
          <w:rFonts w:eastAsia="Arial" w:cs="Arial"/>
          <w:sz w:val="22"/>
          <w:szCs w:val="22"/>
        </w:rPr>
        <w:t>The HH/CC home must meet the physical standards required by the Program Provider and HHSC HCS rules, verified by home inspection prior to first placement and periodically thereafter:</w:t>
      </w:r>
    </w:p>
    <w:p>
      <w:pPr>
        <w:pStyle w:val="Normal"/>
        <w:spacing w:before="30" w:after="30"/>
        <w:ind w:hanging="360" w:start="720"/>
        <w:rPr/>
      </w:pPr>
      <w:r>
        <w:rPr>
          <w:rFonts w:eastAsia="Arial" w:cs="Arial"/>
          <w:b/>
          <w:bCs/>
          <w:sz w:val="22"/>
          <w:szCs w:val="22"/>
        </w:rPr>
        <w:t xml:space="preserve">a.  </w:t>
      </w:r>
      <w:r>
        <w:rPr>
          <w:rFonts w:eastAsia="Arial" w:cs="Arial"/>
          <w:sz w:val="22"/>
          <w:szCs w:val="22"/>
        </w:rPr>
        <w:t>Private, furnished bedroom for the individual with a door and right to lock (per HCBS Settings Final Rule 42 CFR 441.301)</w:t>
      </w:r>
    </w:p>
    <w:p>
      <w:pPr>
        <w:pStyle w:val="Normal"/>
        <w:spacing w:before="30" w:after="30"/>
        <w:ind w:hanging="360" w:start="720"/>
        <w:rPr/>
      </w:pPr>
      <w:r>
        <w:rPr>
          <w:rFonts w:eastAsia="Arial" w:cs="Arial"/>
          <w:b/>
          <w:bCs/>
          <w:sz w:val="22"/>
          <w:szCs w:val="22"/>
        </w:rPr>
        <w:t xml:space="preserve">b.  </w:t>
      </w:r>
      <w:r>
        <w:rPr>
          <w:rFonts w:eastAsia="Arial" w:cs="Arial"/>
          <w:sz w:val="22"/>
          <w:szCs w:val="22"/>
        </w:rPr>
        <w:t>Individual has a key or code to enter the home at any time</w:t>
      </w:r>
    </w:p>
    <w:p>
      <w:pPr>
        <w:pStyle w:val="Normal"/>
        <w:spacing w:before="30" w:after="30"/>
        <w:ind w:hanging="360" w:start="720"/>
        <w:rPr/>
      </w:pPr>
      <w:r>
        <w:rPr>
          <w:rFonts w:eastAsia="Arial" w:cs="Arial"/>
          <w:b/>
          <w:bCs/>
          <w:sz w:val="22"/>
          <w:szCs w:val="22"/>
        </w:rPr>
        <w:t xml:space="preserve">c.  </w:t>
      </w:r>
      <w:r>
        <w:rPr>
          <w:rFonts w:eastAsia="Arial" w:cs="Arial"/>
          <w:sz w:val="22"/>
          <w:szCs w:val="22"/>
        </w:rPr>
        <w:t>Accessible bathroom or accommodations appropriate to the individual's mobility and personal care needs</w:t>
      </w:r>
    </w:p>
    <w:p>
      <w:pPr>
        <w:pStyle w:val="Normal"/>
        <w:spacing w:before="30" w:after="30"/>
        <w:ind w:hanging="360" w:start="720"/>
        <w:rPr/>
      </w:pPr>
      <w:r>
        <w:rPr>
          <w:rFonts w:eastAsia="Arial" w:cs="Arial"/>
          <w:b/>
          <w:bCs/>
          <w:sz w:val="22"/>
          <w:szCs w:val="22"/>
        </w:rPr>
        <w:t xml:space="preserve">d.  </w:t>
      </w:r>
      <w:r>
        <w:rPr>
          <w:rFonts w:eastAsia="Arial" w:cs="Arial"/>
          <w:sz w:val="22"/>
          <w:szCs w:val="22"/>
        </w:rPr>
        <w:t>All utilities (heat, electricity, water) operational and reliably maintained</w:t>
      </w:r>
    </w:p>
    <w:p>
      <w:pPr>
        <w:pStyle w:val="Normal"/>
        <w:spacing w:before="30" w:after="30"/>
        <w:ind w:hanging="360" w:start="720"/>
        <w:rPr/>
      </w:pPr>
      <w:r>
        <w:rPr>
          <w:rFonts w:eastAsia="Arial" w:cs="Arial"/>
          <w:b/>
          <w:bCs/>
          <w:sz w:val="22"/>
          <w:szCs w:val="22"/>
        </w:rPr>
        <w:t xml:space="preserve">e.  </w:t>
      </w:r>
      <w:r>
        <w:rPr>
          <w:rFonts w:eastAsia="Arial" w:cs="Arial"/>
          <w:sz w:val="22"/>
          <w:szCs w:val="22"/>
        </w:rPr>
        <w:t>Working smoke detectors on every occupied level, carbon monoxide detectors near sleeping areas, fire extinguisher on each occupied floor</w:t>
      </w:r>
    </w:p>
    <w:p>
      <w:pPr>
        <w:pStyle w:val="Normal"/>
        <w:spacing w:before="30" w:after="30"/>
        <w:ind w:hanging="360" w:start="720"/>
        <w:rPr/>
      </w:pPr>
      <w:r>
        <w:rPr>
          <w:rFonts w:eastAsia="Arial" w:cs="Arial"/>
          <w:b/>
          <w:bCs/>
          <w:sz w:val="22"/>
          <w:szCs w:val="22"/>
        </w:rPr>
        <w:t xml:space="preserve">f.  </w:t>
      </w:r>
      <w:r>
        <w:rPr>
          <w:rFonts w:eastAsia="Arial" w:cs="Arial"/>
          <w:sz w:val="22"/>
          <w:szCs w:val="22"/>
        </w:rPr>
        <w:t>All exits clear and easily accessible from inside</w:t>
      </w:r>
    </w:p>
    <w:p>
      <w:pPr>
        <w:pStyle w:val="Normal"/>
        <w:spacing w:before="30" w:after="30"/>
        <w:ind w:hanging="360" w:start="720"/>
        <w:rPr/>
      </w:pPr>
      <w:r>
        <w:rPr>
          <w:rFonts w:eastAsia="Arial" w:cs="Arial"/>
          <w:b/>
          <w:bCs/>
          <w:sz w:val="22"/>
          <w:szCs w:val="22"/>
        </w:rPr>
        <w:t xml:space="preserve">g.  </w:t>
      </w:r>
      <w:r>
        <w:rPr>
          <w:rFonts w:eastAsia="Arial" w:cs="Arial"/>
          <w:sz w:val="22"/>
          <w:szCs w:val="22"/>
        </w:rPr>
        <w:t>All medications in locked storage (Policy 4.00)</w:t>
      </w:r>
    </w:p>
    <w:p>
      <w:pPr>
        <w:pStyle w:val="Normal"/>
        <w:spacing w:before="30" w:after="30"/>
        <w:ind w:hanging="360" w:start="720"/>
        <w:rPr/>
      </w:pPr>
      <w:r>
        <w:rPr>
          <w:rFonts w:eastAsia="Arial" w:cs="Arial"/>
          <w:b/>
          <w:bCs/>
          <w:sz w:val="22"/>
          <w:szCs w:val="22"/>
        </w:rPr>
        <w:t xml:space="preserve">h.  </w:t>
      </w:r>
      <w:r>
        <w:rPr>
          <w:rFonts w:eastAsia="Arial" w:cs="Arial"/>
          <w:sz w:val="22"/>
          <w:szCs w:val="22"/>
        </w:rPr>
        <w:t>All cleaning chemicals, pesticides, and hazardous materials locked and inaccessible to the individual</w:t>
      </w:r>
    </w:p>
    <w:p>
      <w:pPr>
        <w:pStyle w:val="Normal"/>
        <w:spacing w:before="30" w:after="30"/>
        <w:ind w:hanging="360" w:start="720"/>
        <w:rPr/>
      </w:pPr>
      <w:r>
        <w:rPr>
          <w:rFonts w:eastAsia="Arial" w:cs="Arial"/>
          <w:b/>
          <w:bCs/>
          <w:sz w:val="22"/>
          <w:szCs w:val="22"/>
        </w:rPr>
        <w:t xml:space="preserve">i.  </w:t>
      </w:r>
      <w:r>
        <w:rPr>
          <w:rFonts w:eastAsia="Arial" w:cs="Arial"/>
          <w:sz w:val="22"/>
          <w:szCs w:val="22"/>
        </w:rPr>
        <w:t>No unsecured firearms or weapons in the home</w:t>
      </w:r>
    </w:p>
    <w:p>
      <w:pPr>
        <w:pStyle w:val="Normal"/>
        <w:spacing w:before="30" w:after="30"/>
        <w:ind w:hanging="360" w:start="720"/>
        <w:rPr/>
      </w:pPr>
      <w:r>
        <w:rPr>
          <w:rFonts w:eastAsia="Arial" w:cs="Arial"/>
          <w:b/>
          <w:bCs/>
          <w:sz w:val="22"/>
          <w:szCs w:val="22"/>
        </w:rPr>
        <w:t xml:space="preserve">j.  </w:t>
      </w:r>
      <w:r>
        <w:rPr>
          <w:rFonts w:eastAsia="Arial" w:cs="Arial"/>
          <w:sz w:val="22"/>
          <w:szCs w:val="22"/>
        </w:rPr>
        <w:t>Adequate transportation access for the individual's community participation needs</w:t>
      </w:r>
    </w:p>
    <w:p>
      <w:pPr>
        <w:pStyle w:val="Normal"/>
        <w:spacing w:before="120" w:after="40"/>
        <w:rPr/>
      </w:pPr>
      <w:r>
        <w:rPr>
          <w:rFonts w:eastAsia="Arial" w:cs="Arial"/>
          <w:b/>
          <w:bCs/>
          <w:color w:val="2E5DA8"/>
          <w:sz w:val="22"/>
          <w:szCs w:val="22"/>
        </w:rPr>
        <w:t>ANNUAL RENEWAL</w:t>
      </w:r>
    </w:p>
    <w:p>
      <w:pPr>
        <w:pStyle w:val="ListParagraph"/>
        <w:numPr>
          <w:ilvl w:val="0"/>
          <w:numId w:val="1"/>
        </w:numPr>
        <w:spacing w:before="30" w:after="30"/>
        <w:rPr/>
      </w:pPr>
      <w:r>
        <w:rPr>
          <w:rFonts w:eastAsia="Arial" w:cs="Arial"/>
          <w:sz w:val="22"/>
          <w:szCs w:val="22"/>
        </w:rPr>
        <w:t>Background clearances (EMR and NAR) shall be renewed annually through TULIP. DPS criminal history renewal per HHSC and Program Provider requirements.</w:t>
      </w:r>
    </w:p>
    <w:p>
      <w:pPr>
        <w:pStyle w:val="ListParagraph"/>
        <w:numPr>
          <w:ilvl w:val="0"/>
          <w:numId w:val="1"/>
        </w:numPr>
        <w:spacing w:before="30" w:after="30"/>
        <w:rPr/>
      </w:pPr>
      <w:r>
        <w:rPr>
          <w:rFonts w:eastAsia="Arial" w:cs="Arial"/>
          <w:sz w:val="22"/>
          <w:szCs w:val="22"/>
        </w:rPr>
        <w:t>Any change in household composition (new adult residents), change of address, or material change in the provider's circumstances shall be reported to the Program Provider within thirty (30) days.</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TULIP Background Clearance Confirmation — DPS, EMR, NAR (on file)</w:t>
      </w:r>
    </w:p>
    <w:p>
      <w:pPr>
        <w:pStyle w:val="ListParagraph"/>
        <w:numPr>
          <w:ilvl w:val="0"/>
          <w:numId w:val="1"/>
        </w:numPr>
        <w:spacing w:before="30" w:after="30"/>
        <w:rPr/>
      </w:pPr>
      <w:r>
        <w:rPr>
          <w:rFonts w:eastAsia="Arial" w:cs="Arial"/>
          <w:sz w:val="22"/>
          <w:szCs w:val="22"/>
        </w:rPr>
        <w:t>Annual EMR/NAR Renewal Confirmation</w:t>
      </w:r>
    </w:p>
    <w:p>
      <w:pPr>
        <w:pStyle w:val="ListParagraph"/>
        <w:numPr>
          <w:ilvl w:val="0"/>
          <w:numId w:val="1"/>
        </w:numPr>
        <w:spacing w:before="30" w:after="30"/>
        <w:rPr/>
      </w:pPr>
      <w:r>
        <w:rPr>
          <w:rFonts w:eastAsia="Arial" w:cs="Arial"/>
          <w:sz w:val="22"/>
          <w:szCs w:val="22"/>
        </w:rPr>
        <w:t>Home Inspection Approval (Program Provider form)</w:t>
      </w:r>
    </w:p>
    <w:p>
      <w:pPr>
        <w:pStyle w:val="ListParagraph"/>
        <w:numPr>
          <w:ilvl w:val="0"/>
          <w:numId w:val="1"/>
        </w:numPr>
        <w:spacing w:before="30" w:after="30"/>
        <w:rPr/>
      </w:pPr>
      <w:r>
        <w:rPr>
          <w:rFonts w:eastAsia="Arial" w:cs="Arial"/>
          <w:sz w:val="22"/>
          <w:szCs w:val="22"/>
        </w:rPr>
        <w:t>Program Provider Agreement — [Program Provider Name]</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[HH/CC Provider / Administrator]</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[HH/CC Provider / Administrator]</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[HH/CC Provider / Administrator]</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#2.01: HH/CC Provider Training, Orientation &amp; Competency Assessment Program</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Training / Provider Development</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2.01</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26 TAC Ch. 263 &amp; 565 (HCS Program Rules); HCS Program Handbook — Training Requirements; HR.01-HR.02 (JC Human Resources); PI.01 (JC Performance Improvement)</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[HH/CC Provider Name]</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define training and orientation requirements that must be met before services begin and maintained on an ongoing annual basis; and to establish a formal competency assessment program that verifies — through direct observation and skills demonstration — that staff and providers are not only trained but capable of safe, effective, person-centered practice. This policy distinguishes between training (the act of receiving instruction) and competency (the demonstrated ability to perform a skill or function safely and correctly).</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No staff member or provider shall provide unsupervised direct services until all required orientation topics have been completed and competency has been assessed and verified. Annual training and competency re-verification are required to maintain active service status. Training records and competency assessment results shall be maintained in each personnel or provider file.</w:t>
      </w:r>
    </w:p>
    <w:p>
      <w:pPr>
        <w:pStyle w:val="Normal"/>
        <w:spacing w:before="120" w:after="40"/>
        <w:rPr/>
      </w:pPr>
      <w:r>
        <w:rPr>
          <w:rFonts w:eastAsia="Arial" w:cs="Arial"/>
          <w:b/>
          <w:bCs/>
          <w:color w:val="2E5DA8"/>
          <w:sz w:val="22"/>
          <w:szCs w:val="22"/>
        </w:rPr>
        <w:t>PART I — REQUIRED TRAINING</w:t>
      </w:r>
    </w:p>
    <w:p>
      <w:pPr>
        <w:pStyle w:val="Normal"/>
        <w:spacing w:before="140" w:after="60"/>
        <w:rPr/>
      </w:pPr>
      <w:r>
        <w:rPr>
          <w:rFonts w:eastAsia="Arial" w:cs="Arial"/>
          <w:b/>
          <w:bCs/>
          <w:sz w:val="22"/>
          <w:szCs w:val="22"/>
          <w:u w:val="single"/>
        </w:rPr>
        <w:t>A. Core Training — All Staff and Providers (Before Independent Service)</w:t>
      </w:r>
    </w:p>
    <w:p>
      <w:pPr>
        <w:pStyle w:val="ListParagraph"/>
        <w:numPr>
          <w:ilvl w:val="0"/>
          <w:numId w:val="1"/>
        </w:numPr>
        <w:spacing w:before="30" w:after="30"/>
        <w:rPr/>
      </w:pPr>
      <w:r>
        <w:rPr>
          <w:rFonts w:eastAsia="Arial" w:cs="Arial"/>
          <w:sz w:val="22"/>
          <w:szCs w:val="22"/>
        </w:rPr>
        <w:t>Individual rights and HCBS Settings Final Rule compliance</w:t>
      </w:r>
    </w:p>
    <w:p>
      <w:pPr>
        <w:pStyle w:val="ListParagraph"/>
        <w:numPr>
          <w:ilvl w:val="0"/>
          <w:numId w:val="1"/>
        </w:numPr>
        <w:spacing w:before="30" w:after="30"/>
        <w:rPr/>
      </w:pPr>
      <w:r>
        <w:rPr>
          <w:rFonts w:eastAsia="Arial" w:cs="Arial"/>
          <w:sz w:val="22"/>
          <w:szCs w:val="22"/>
        </w:rPr>
        <w:t>Abuse, neglect, and exploitation — recognition, prevention, and mandatory reporting obligations under Texas law</w:t>
      </w:r>
    </w:p>
    <w:p>
      <w:pPr>
        <w:pStyle w:val="ListParagraph"/>
        <w:numPr>
          <w:ilvl w:val="0"/>
          <w:numId w:val="1"/>
        </w:numPr>
        <w:spacing w:before="30" w:after="30"/>
        <w:rPr/>
      </w:pPr>
      <w:r>
        <w:rPr>
          <w:rFonts w:eastAsia="Arial" w:cs="Arial"/>
          <w:sz w:val="22"/>
          <w:szCs w:val="22"/>
        </w:rPr>
        <w:t>Emergency procedures — fire, medical emergency, missing individual, natural disaster, shelter-in-place</w:t>
      </w:r>
    </w:p>
    <w:p>
      <w:pPr>
        <w:pStyle w:val="ListParagraph"/>
        <w:numPr>
          <w:ilvl w:val="0"/>
          <w:numId w:val="1"/>
        </w:numPr>
        <w:spacing w:before="30" w:after="30"/>
        <w:rPr/>
      </w:pPr>
      <w:r>
        <w:rPr>
          <w:rFonts w:eastAsia="Arial" w:cs="Arial"/>
          <w:sz w:val="22"/>
          <w:szCs w:val="22"/>
        </w:rPr>
        <w:t>Incident reporting — what constitutes a reportable incident, who to notify, required documentation, and timeframes</w:t>
      </w:r>
    </w:p>
    <w:p>
      <w:pPr>
        <w:pStyle w:val="ListParagraph"/>
        <w:numPr>
          <w:ilvl w:val="0"/>
          <w:numId w:val="1"/>
        </w:numPr>
        <w:spacing w:before="30" w:after="30"/>
        <w:rPr/>
      </w:pPr>
      <w:r>
        <w:rPr>
          <w:rFonts w:eastAsia="Arial" w:cs="Arial"/>
          <w:sz w:val="22"/>
          <w:szCs w:val="22"/>
        </w:rPr>
        <w:t>Confidentiality and HIPAA privacy requirements</w:t>
      </w:r>
    </w:p>
    <w:p>
      <w:pPr>
        <w:pStyle w:val="ListParagraph"/>
        <w:numPr>
          <w:ilvl w:val="0"/>
          <w:numId w:val="1"/>
        </w:numPr>
        <w:spacing w:before="30" w:after="30"/>
        <w:rPr/>
      </w:pPr>
      <w:r>
        <w:rPr>
          <w:rFonts w:eastAsia="Arial" w:cs="Arial"/>
          <w:sz w:val="22"/>
          <w:szCs w:val="22"/>
        </w:rPr>
        <w:t>Person-centered support philosophy and ISP/PCP/Support Plan implementation</w:t>
      </w:r>
    </w:p>
    <w:p>
      <w:pPr>
        <w:pStyle w:val="ListParagraph"/>
        <w:numPr>
          <w:ilvl w:val="0"/>
          <w:numId w:val="1"/>
        </w:numPr>
        <w:spacing w:before="30" w:after="30"/>
        <w:rPr/>
      </w:pPr>
      <w:r>
        <w:rPr>
          <w:rFonts w:eastAsia="Arial" w:cs="Arial"/>
          <w:sz w:val="22"/>
          <w:szCs w:val="22"/>
        </w:rPr>
        <w:t>Medication administration overview (HHSC-approved medication administration training certification required before administering medications — see Policy 2.02)</w:t>
      </w:r>
    </w:p>
    <w:p>
      <w:pPr>
        <w:pStyle w:val="ListParagraph"/>
        <w:numPr>
          <w:ilvl w:val="0"/>
          <w:numId w:val="1"/>
        </w:numPr>
        <w:spacing w:before="30" w:after="30"/>
        <w:rPr/>
      </w:pPr>
      <w:r>
        <w:rPr>
          <w:rFonts w:eastAsia="Arial" w:cs="Arial"/>
          <w:sz w:val="22"/>
          <w:szCs w:val="22"/>
        </w:rPr>
        <w:t>Infection control and standard precautions, including proper hand hygiene and PPE use</w:t>
      </w:r>
    </w:p>
    <w:p>
      <w:pPr>
        <w:pStyle w:val="ListParagraph"/>
        <w:numPr>
          <w:ilvl w:val="0"/>
          <w:numId w:val="1"/>
        </w:numPr>
        <w:spacing w:before="30" w:after="30"/>
        <w:rPr/>
      </w:pPr>
      <w:r>
        <w:rPr>
          <w:rFonts w:eastAsia="Arial" w:cs="Arial"/>
          <w:sz w:val="22"/>
          <w:szCs w:val="22"/>
        </w:rPr>
        <w:t>Behavioral support — positive behavior strategies, de-escalation as the primary response, and HHSC behavioral support requirements and positive behavior support practices (for those supporting individuals with behavioral support plans)</w:t>
      </w:r>
    </w:p>
    <w:p>
      <w:pPr>
        <w:pStyle w:val="ListParagraph"/>
        <w:numPr>
          <w:ilvl w:val="0"/>
          <w:numId w:val="1"/>
        </w:numPr>
        <w:spacing w:before="30" w:after="30"/>
        <w:rPr/>
      </w:pPr>
      <w:r>
        <w:rPr>
          <w:rFonts w:eastAsia="Arial" w:cs="Arial"/>
          <w:sz w:val="22"/>
          <w:szCs w:val="22"/>
        </w:rPr>
        <w:t>Cultural competency and trauma-informed support practices</w:t>
      </w:r>
    </w:p>
    <w:p>
      <w:pPr>
        <w:pStyle w:val="ListParagraph"/>
        <w:numPr>
          <w:ilvl w:val="0"/>
          <w:numId w:val="1"/>
        </w:numPr>
        <w:spacing w:before="30" w:after="30"/>
        <w:rPr/>
      </w:pPr>
      <w:r>
        <w:rPr>
          <w:rFonts w:eastAsia="Arial" w:cs="Arial"/>
          <w:sz w:val="22"/>
          <w:szCs w:val="22"/>
        </w:rPr>
        <w:t>Documentation standards — progress notes, shift logs, MAR, and incident reports</w:t>
      </w:r>
    </w:p>
    <w:p>
      <w:pPr>
        <w:pStyle w:val="ListParagraph"/>
        <w:numPr>
          <w:ilvl w:val="0"/>
          <w:numId w:val="1"/>
        </w:numPr>
        <w:spacing w:before="30" w:after="30"/>
        <w:rPr/>
      </w:pPr>
      <w:r>
        <w:rPr>
          <w:rFonts w:eastAsia="Arial" w:cs="Arial"/>
          <w:sz w:val="22"/>
          <w:szCs w:val="22"/>
        </w:rPr>
        <w:t>Grievance and complaint procedures</w:t>
      </w:r>
    </w:p>
    <w:p>
      <w:pPr>
        <w:pStyle w:val="ListParagraph"/>
        <w:numPr>
          <w:ilvl w:val="0"/>
          <w:numId w:val="1"/>
        </w:numPr>
        <w:spacing w:before="30" w:after="30"/>
        <w:rPr/>
      </w:pPr>
      <w:r>
        <w:rPr>
          <w:rFonts w:eastAsia="Arial" w:cs="Arial"/>
          <w:sz w:val="22"/>
          <w:szCs w:val="22"/>
        </w:rPr>
        <w:t>The non-punitive reporting environment (Policy 6.00) and the staff member's role in quality improvement</w:t>
      </w:r>
    </w:p>
    <w:p>
      <w:pPr>
        <w:pStyle w:val="Normal"/>
        <w:spacing w:before="140" w:after="60"/>
        <w:rPr/>
      </w:pPr>
      <w:r>
        <w:rPr>
          <w:rFonts w:eastAsia="Arial" w:cs="Arial"/>
          <w:b/>
          <w:bCs/>
          <w:sz w:val="22"/>
          <w:szCs w:val="22"/>
          <w:u w:val="single"/>
        </w:rPr>
        <w:t>B. Person-Specific Orientation (Before Working Independently with a Specific Individual)</w:t>
      </w:r>
    </w:p>
    <w:p>
      <w:pPr>
        <w:pStyle w:val="Normal"/>
        <w:spacing w:before="40" w:after="60"/>
        <w:rPr/>
      </w:pPr>
      <w:r>
        <w:rPr>
          <w:rFonts w:eastAsia="Arial" w:cs="Arial"/>
          <w:sz w:val="22"/>
          <w:szCs w:val="22"/>
        </w:rPr>
        <w:t>Before providing unsupervised care to a specific individual, staff and providers shall receive and document orientation covering:</w:t>
      </w:r>
    </w:p>
    <w:p>
      <w:pPr>
        <w:pStyle w:val="ListParagraph"/>
        <w:numPr>
          <w:ilvl w:val="0"/>
          <w:numId w:val="1"/>
        </w:numPr>
        <w:spacing w:before="30" w:after="30"/>
        <w:rPr/>
      </w:pPr>
      <w:r>
        <w:rPr>
          <w:rFonts w:eastAsia="Arial" w:cs="Arial"/>
          <w:sz w:val="22"/>
          <w:szCs w:val="22"/>
        </w:rPr>
        <w:t>The individual's current ISP/PCP/Support Plan — their specific goals, strategies, and the staff member's role in supporting each goal</w:t>
      </w:r>
    </w:p>
    <w:p>
      <w:pPr>
        <w:pStyle w:val="ListParagraph"/>
        <w:numPr>
          <w:ilvl w:val="0"/>
          <w:numId w:val="1"/>
        </w:numPr>
        <w:spacing w:before="30" w:after="30"/>
        <w:rPr/>
      </w:pPr>
      <w:r>
        <w:rPr>
          <w:rFonts w:eastAsia="Arial" w:cs="Arial"/>
          <w:sz w:val="22"/>
          <w:szCs w:val="22"/>
        </w:rPr>
        <w:t>The individual's preferred communication style, daily routine, preferences, and dislikes</w:t>
      </w:r>
    </w:p>
    <w:p>
      <w:pPr>
        <w:pStyle w:val="ListParagraph"/>
        <w:numPr>
          <w:ilvl w:val="0"/>
          <w:numId w:val="1"/>
        </w:numPr>
        <w:spacing w:before="30" w:after="30"/>
        <w:rPr/>
      </w:pPr>
      <w:r>
        <w:rPr>
          <w:rFonts w:eastAsia="Arial" w:cs="Arial"/>
          <w:sz w:val="22"/>
          <w:szCs w:val="22"/>
        </w:rPr>
        <w:t>Any active Behavior Support Plan (BSP) — triggers, de-escalation strategies, restricted techniques if authorized</w:t>
      </w:r>
    </w:p>
    <w:p>
      <w:pPr>
        <w:pStyle w:val="ListParagraph"/>
        <w:numPr>
          <w:ilvl w:val="0"/>
          <w:numId w:val="1"/>
        </w:numPr>
        <w:spacing w:before="30" w:after="30"/>
        <w:rPr/>
      </w:pPr>
      <w:r>
        <w:rPr>
          <w:rFonts w:eastAsia="Arial" w:cs="Arial"/>
          <w:sz w:val="22"/>
          <w:szCs w:val="22"/>
        </w:rPr>
        <w:t>Current health conditions, medications, and special care procedures</w:t>
      </w:r>
    </w:p>
    <w:p>
      <w:pPr>
        <w:pStyle w:val="ListParagraph"/>
        <w:numPr>
          <w:ilvl w:val="0"/>
          <w:numId w:val="1"/>
        </w:numPr>
        <w:spacing w:before="30" w:after="30"/>
        <w:rPr/>
      </w:pPr>
      <w:r>
        <w:rPr>
          <w:rFonts w:eastAsia="Arial" w:cs="Arial"/>
          <w:sz w:val="22"/>
          <w:szCs w:val="22"/>
        </w:rPr>
        <w:t>Emergency contacts and advance directive status (if any)</w:t>
      </w:r>
    </w:p>
    <w:p>
      <w:pPr>
        <w:pStyle w:val="ListParagraph"/>
        <w:numPr>
          <w:ilvl w:val="0"/>
          <w:numId w:val="1"/>
        </w:numPr>
        <w:spacing w:before="30" w:after="30"/>
        <w:rPr/>
      </w:pPr>
      <w:r>
        <w:rPr>
          <w:rFonts w:eastAsia="Arial" w:cs="Arial"/>
          <w:sz w:val="22"/>
          <w:szCs w:val="22"/>
        </w:rPr>
        <w:t>Community participation preferences and transportation needs</w:t>
      </w:r>
    </w:p>
    <w:p>
      <w:pPr>
        <w:pStyle w:val="ListParagraph"/>
        <w:numPr>
          <w:ilvl w:val="0"/>
          <w:numId w:val="1"/>
        </w:numPr>
        <w:spacing w:before="30" w:after="30"/>
        <w:rPr/>
      </w:pPr>
      <w:r>
        <w:rPr>
          <w:rFonts w:eastAsia="Arial" w:cs="Arial"/>
          <w:sz w:val="22"/>
          <w:szCs w:val="22"/>
        </w:rPr>
        <w:t>Individual-specific safety considerations and any required environmental modifications</w:t>
      </w:r>
    </w:p>
    <w:p>
      <w:pPr>
        <w:pStyle w:val="Normal"/>
        <w:spacing w:before="140" w:after="60"/>
        <w:rPr/>
      </w:pPr>
      <w:r>
        <w:rPr>
          <w:rFonts w:eastAsia="Arial" w:cs="Arial"/>
          <w:b/>
          <w:bCs/>
          <w:sz w:val="22"/>
          <w:szCs w:val="22"/>
          <w:u w:val="single"/>
        </w:rPr>
        <w:t>C. Ongoing Annual Training Requirements</w:t>
      </w:r>
    </w:p>
    <w:p>
      <w:pPr>
        <w:pStyle w:val="ListParagraph"/>
        <w:numPr>
          <w:ilvl w:val="0"/>
          <w:numId w:val="1"/>
        </w:numPr>
        <w:spacing w:before="30" w:after="30"/>
        <w:rPr/>
      </w:pPr>
      <w:r>
        <w:rPr>
          <w:rFonts w:eastAsia="Arial" w:cs="Arial"/>
          <w:sz w:val="22"/>
          <w:szCs w:val="22"/>
        </w:rPr>
        <w:t>First Aid and CPR — renewal per certification schedule (required for all staff and providers)</w:t>
      </w:r>
    </w:p>
    <w:p>
      <w:pPr>
        <w:pStyle w:val="ListParagraph"/>
        <w:numPr>
          <w:ilvl w:val="0"/>
          <w:numId w:val="1"/>
        </w:numPr>
        <w:spacing w:before="30" w:after="30"/>
        <w:rPr/>
      </w:pPr>
      <w:r>
        <w:rPr>
          <w:rFonts w:eastAsia="Arial" w:cs="Arial"/>
          <w:sz w:val="22"/>
          <w:szCs w:val="22"/>
        </w:rPr>
        <w:t>HHSC-approved medication administration training renewal — per state certification schedule (required for all who administer medications)</w:t>
      </w:r>
    </w:p>
    <w:p>
      <w:pPr>
        <w:pStyle w:val="ListParagraph"/>
        <w:numPr>
          <w:ilvl w:val="0"/>
          <w:numId w:val="1"/>
        </w:numPr>
        <w:spacing w:before="30" w:after="30"/>
        <w:rPr/>
      </w:pPr>
      <w:r>
        <w:rPr>
          <w:rFonts w:eastAsia="Arial" w:cs="Arial"/>
          <w:sz w:val="22"/>
          <w:szCs w:val="22"/>
        </w:rPr>
        <w:t>Annual individual rights and HCBS Settings refresher</w:t>
      </w:r>
    </w:p>
    <w:p>
      <w:pPr>
        <w:pStyle w:val="ListParagraph"/>
        <w:numPr>
          <w:ilvl w:val="0"/>
          <w:numId w:val="1"/>
        </w:numPr>
        <w:spacing w:before="30" w:after="30"/>
        <w:rPr/>
      </w:pPr>
      <w:r>
        <w:rPr>
          <w:rFonts w:eastAsia="Arial" w:cs="Arial"/>
          <w:sz w:val="22"/>
          <w:szCs w:val="22"/>
        </w:rPr>
        <w:t>Annual abuse, neglect, and exploitation recognition and reporting refresher</w:t>
      </w:r>
    </w:p>
    <w:p>
      <w:pPr>
        <w:pStyle w:val="ListParagraph"/>
        <w:numPr>
          <w:ilvl w:val="0"/>
          <w:numId w:val="1"/>
        </w:numPr>
        <w:spacing w:before="30" w:after="30"/>
        <w:rPr/>
      </w:pPr>
      <w:r>
        <w:rPr>
          <w:rFonts w:eastAsia="Arial" w:cs="Arial"/>
          <w:sz w:val="22"/>
          <w:szCs w:val="22"/>
        </w:rPr>
        <w:t>Annual emergency preparedness review and drill participation</w:t>
      </w:r>
    </w:p>
    <w:p>
      <w:pPr>
        <w:pStyle w:val="ListParagraph"/>
        <w:numPr>
          <w:ilvl w:val="0"/>
          <w:numId w:val="1"/>
        </w:numPr>
        <w:spacing w:before="30" w:after="30"/>
        <w:rPr/>
      </w:pPr>
      <w:r>
        <w:rPr>
          <w:rFonts w:eastAsia="Arial" w:cs="Arial"/>
          <w:sz w:val="22"/>
          <w:szCs w:val="22"/>
        </w:rPr>
        <w:t>HHSC behavioral support requirements and positive behavior support practices renewal — as required by Texas regulations</w:t>
      </w:r>
    </w:p>
    <w:p>
      <w:pPr>
        <w:pStyle w:val="ListParagraph"/>
        <w:numPr>
          <w:ilvl w:val="0"/>
          <w:numId w:val="1"/>
        </w:numPr>
        <w:spacing w:before="30" w:after="30"/>
        <w:rPr/>
      </w:pPr>
      <w:r>
        <w:rPr>
          <w:rFonts w:eastAsia="Arial" w:cs="Arial"/>
          <w:sz w:val="22"/>
          <w:szCs w:val="22"/>
        </w:rPr>
        <w:t>Any additional topics identified through the Quality Management Program review or incident analysis</w:t>
      </w:r>
    </w:p>
    <w:p>
      <w:pPr>
        <w:pStyle w:val="Normal"/>
        <w:spacing w:before="120" w:after="40"/>
        <w:rPr/>
      </w:pPr>
      <w:r>
        <w:rPr>
          <w:rFonts w:eastAsia="Arial" w:cs="Arial"/>
          <w:b/>
          <w:bCs/>
          <w:color w:val="2E5DA8"/>
          <w:sz w:val="22"/>
          <w:szCs w:val="22"/>
        </w:rPr>
        <w:t>PART II — COMPETENCY ASSESSMENT PROGRAM</w:t>
      </w:r>
    </w:p>
    <w:p>
      <w:pPr>
        <w:pStyle w:val="Normal"/>
        <w:spacing w:before="40" w:after="60"/>
        <w:rPr/>
      </w:pPr>
      <w:r>
        <w:rPr>
          <w:rFonts w:eastAsia="Arial" w:cs="Arial"/>
          <w:sz w:val="22"/>
          <w:szCs w:val="22"/>
        </w:rPr>
        <w:t>The Joint Commission Behavioral Health Care standards require that organizations assess and verify the competency of staff — not merely their completion of training. Competency is the demonstrated ability to perform required functions safely, effectively, and in alignment with policy, not just knowledge that training occurred.</w:t>
      </w:r>
    </w:p>
    <w:p>
      <w:pPr>
        <w:pStyle w:val="Normal"/>
        <w:spacing w:before="140" w:after="60"/>
        <w:rPr/>
      </w:pPr>
      <w:r>
        <w:rPr>
          <w:rFonts w:eastAsia="Arial" w:cs="Arial"/>
          <w:b/>
          <w:bCs/>
          <w:sz w:val="22"/>
          <w:szCs w:val="22"/>
          <w:u w:val="single"/>
        </w:rPr>
        <w:t>D. Competency Assessment Framework</w:t>
      </w:r>
    </w:p>
    <w:p>
      <w:pPr>
        <w:pStyle w:val="Normal"/>
        <w:spacing w:before="40" w:after="60"/>
        <w:rPr/>
      </w:pPr>
      <w:r>
        <w:rPr>
          <w:rFonts w:eastAsia="Arial" w:cs="Arial"/>
          <w:sz w:val="22"/>
          <w:szCs w:val="22"/>
        </w:rPr>
        <w:t>Competency assessment at this Provider uses the following methods, selected based on the skill being assessed:</w:t>
      </w:r>
    </w:p>
    <w:p>
      <w:pPr>
        <w:pStyle w:val="Normal"/>
        <w:spacing w:before="30" w:after="30"/>
        <w:ind w:hanging="360" w:start="720"/>
        <w:rPr/>
      </w:pPr>
      <w:r>
        <w:rPr>
          <w:rFonts w:eastAsia="Arial" w:cs="Arial"/>
          <w:b/>
          <w:bCs/>
          <w:sz w:val="22"/>
          <w:szCs w:val="22"/>
        </w:rPr>
        <w:t xml:space="preserve">a.  </w:t>
      </w:r>
      <w:r>
        <w:rPr>
          <w:rFonts w:eastAsia="Arial" w:cs="Arial"/>
          <w:sz w:val="22"/>
          <w:szCs w:val="22"/>
        </w:rPr>
        <w:t>Direct Observation: The assessor directly observes the staff member or provider performing the skill with the actual individual (or in a simulated scenario for sensitive skills). This is the gold standard for competency assessment of hands-on clinical skills.</w:t>
      </w:r>
    </w:p>
    <w:p>
      <w:pPr>
        <w:pStyle w:val="Normal"/>
        <w:spacing w:before="30" w:after="30"/>
        <w:ind w:hanging="360" w:start="720"/>
        <w:rPr/>
      </w:pPr>
      <w:r>
        <w:rPr>
          <w:rFonts w:eastAsia="Arial" w:cs="Arial"/>
          <w:b/>
          <w:bCs/>
          <w:sz w:val="22"/>
          <w:szCs w:val="22"/>
        </w:rPr>
        <w:t xml:space="preserve">b.  </w:t>
      </w:r>
      <w:r>
        <w:rPr>
          <w:rFonts w:eastAsia="Arial" w:cs="Arial"/>
          <w:sz w:val="22"/>
          <w:szCs w:val="22"/>
        </w:rPr>
        <w:t>Return Demonstration: The staff member demonstrates a skill or procedure on request, without advance notice that the assessment is occurring.</w:t>
      </w:r>
    </w:p>
    <w:p>
      <w:pPr>
        <w:pStyle w:val="Normal"/>
        <w:spacing w:before="30" w:after="30"/>
        <w:ind w:hanging="360" w:start="720"/>
        <w:rPr/>
      </w:pPr>
      <w:r>
        <w:rPr>
          <w:rFonts w:eastAsia="Arial" w:cs="Arial"/>
          <w:b/>
          <w:bCs/>
          <w:sz w:val="22"/>
          <w:szCs w:val="22"/>
        </w:rPr>
        <w:t xml:space="preserve">c.  </w:t>
      </w:r>
      <w:r>
        <w:rPr>
          <w:rFonts w:eastAsia="Arial" w:cs="Arial"/>
          <w:sz w:val="22"/>
          <w:szCs w:val="22"/>
        </w:rPr>
        <w:t>Verbal or Written Questioning: Used to assess knowledge of policies, procedures, rights, reporting obligations, and theoretical understanding. Knowledge assessment alone is not sufficient for clinical or personal care skills.</w:t>
      </w:r>
    </w:p>
    <w:p>
      <w:pPr>
        <w:pStyle w:val="Normal"/>
        <w:spacing w:before="30" w:after="30"/>
        <w:ind w:hanging="360" w:start="720"/>
        <w:rPr/>
      </w:pPr>
      <w:r>
        <w:rPr>
          <w:rFonts w:eastAsia="Arial" w:cs="Arial"/>
          <w:b/>
          <w:bCs/>
          <w:sz w:val="22"/>
          <w:szCs w:val="22"/>
        </w:rPr>
        <w:t xml:space="preserve">d.  </w:t>
      </w:r>
      <w:r>
        <w:rPr>
          <w:rFonts w:eastAsia="Arial" w:cs="Arial"/>
          <w:sz w:val="22"/>
          <w:szCs w:val="22"/>
        </w:rPr>
        <w:t>Record Review: The assessor reviews documentation completed by the staff member to assess accuracy, timeliness, completeness, and compliance with standards.</w:t>
      </w:r>
    </w:p>
    <w:p>
      <w:pPr>
        <w:pStyle w:val="Normal"/>
        <w:spacing w:before="30" w:after="30"/>
        <w:ind w:hanging="360" w:start="720"/>
        <w:rPr/>
      </w:pPr>
      <w:r>
        <w:rPr>
          <w:rFonts w:eastAsia="Arial" w:cs="Arial"/>
          <w:b/>
          <w:bCs/>
          <w:sz w:val="22"/>
          <w:szCs w:val="22"/>
        </w:rPr>
        <w:t xml:space="preserve">e.  </w:t>
      </w:r>
      <w:r>
        <w:rPr>
          <w:rFonts w:eastAsia="Arial" w:cs="Arial"/>
          <w:sz w:val="22"/>
          <w:szCs w:val="22"/>
        </w:rPr>
        <w:t>Scenario-Based Assessment: The assessor presents a hypothetical situation and asks the staff member to describe or demonstrate their response. Used for emergency procedures, behavioral situations, and ethical dilemmas.</w:t>
      </w:r>
    </w:p>
    <w:p>
      <w:pPr>
        <w:pStyle w:val="Normal"/>
        <w:spacing w:before="140" w:after="60"/>
        <w:rPr/>
      </w:pPr>
      <w:r>
        <w:rPr>
          <w:rFonts w:eastAsia="Arial" w:cs="Arial"/>
          <w:b/>
          <w:bCs/>
          <w:sz w:val="22"/>
          <w:szCs w:val="22"/>
          <w:u w:val="single"/>
        </w:rPr>
        <w:t>E. Required Competency Areas and Assessment Schedule</w:t>
      </w:r>
    </w:p>
    <w:p>
      <w:pPr>
        <w:pStyle w:val="Normal"/>
        <w:spacing w:before="40" w:after="60"/>
        <w:rPr/>
      </w:pPr>
      <w:r>
        <w:rPr>
          <w:rFonts w:eastAsia="Arial" w:cs="Arial"/>
          <w:sz w:val="22"/>
          <w:szCs w:val="22"/>
        </w:rPr>
        <w:t>The following competencies shall be assessed for all applicable staff and providers:</w:t>
      </w:r>
    </w:p>
    <w:tbl>
      <w:tblPr>
        <w:tblW w:w="9360" w:type="dxa"/>
        <w:jc w:val="start"/>
        <w:tblInd w:w="0" w:type="dxa"/>
        <w:tblLayout w:type="fixed"/>
        <w:tblCellMar>
          <w:top w:w="60" w:type="dxa"/>
          <w:start w:w="80" w:type="dxa"/>
          <w:bottom w:w="60" w:type="dxa"/>
          <w:end w:w="80" w:type="dxa"/>
        </w:tblCellMar>
      </w:tblPr>
      <w:tblGrid>
        <w:gridCol w:w="3200"/>
        <w:gridCol w:w="2199"/>
        <w:gridCol w:w="2361"/>
        <w:gridCol w:w="1599"/>
      </w:tblGrid>
      <w:tr>
        <w:trPr/>
        <w:tc>
          <w:tcPr>
            <w:tcW w:w="3200" w:type="dxa"/>
            <w:tcBorders>
              <w:top w:val="single" w:sz="2" w:space="0" w:color="CCCCCC"/>
              <w:start w:val="single" w:sz="2" w:space="0" w:color="CCCCCC"/>
              <w:bottom w:val="single" w:sz="2" w:space="0" w:color="CCCCCC"/>
              <w:end w:val="single" w:sz="2" w:space="0" w:color="CCCCCC"/>
            </w:tcBorders>
            <w:shd w:fill="1F3864" w:val="clear"/>
          </w:tcPr>
          <w:p>
            <w:pPr>
              <w:pStyle w:val="Normal"/>
              <w:rPr/>
            </w:pPr>
            <w:r>
              <w:rPr>
                <w:rFonts w:eastAsia="Arial" w:cs="Arial"/>
                <w:b/>
                <w:bCs/>
                <w:color w:val="FFFFFF"/>
                <w:sz w:val="16"/>
                <w:szCs w:val="16"/>
              </w:rPr>
              <w:t>Competency Area</w:t>
            </w:r>
          </w:p>
        </w:tc>
        <w:tc>
          <w:tcPr>
            <w:tcW w:w="2199" w:type="dxa"/>
            <w:tcBorders>
              <w:top w:val="single" w:sz="2" w:space="0" w:color="CCCCCC"/>
              <w:start w:val="single" w:sz="2" w:space="0" w:color="CCCCCC"/>
              <w:bottom w:val="single" w:sz="2" w:space="0" w:color="CCCCCC"/>
              <w:end w:val="single" w:sz="2" w:space="0" w:color="CCCCCC"/>
            </w:tcBorders>
            <w:shd w:fill="1F3864" w:val="clear"/>
          </w:tcPr>
          <w:p>
            <w:pPr>
              <w:pStyle w:val="Normal"/>
              <w:rPr/>
            </w:pPr>
            <w:r>
              <w:rPr>
                <w:rFonts w:eastAsia="Arial" w:cs="Arial"/>
                <w:b/>
                <w:bCs/>
                <w:color w:val="FFFFFF"/>
                <w:sz w:val="16"/>
                <w:szCs w:val="16"/>
              </w:rPr>
              <w:t>Assessment Method</w:t>
            </w:r>
          </w:p>
        </w:tc>
        <w:tc>
          <w:tcPr>
            <w:tcW w:w="2361" w:type="dxa"/>
            <w:tcBorders>
              <w:top w:val="single" w:sz="2" w:space="0" w:color="CCCCCC"/>
              <w:start w:val="single" w:sz="2" w:space="0" w:color="CCCCCC"/>
              <w:bottom w:val="single" w:sz="2" w:space="0" w:color="CCCCCC"/>
              <w:end w:val="single" w:sz="2" w:space="0" w:color="CCCCCC"/>
            </w:tcBorders>
            <w:shd w:fill="1F3864" w:val="clear"/>
          </w:tcPr>
          <w:p>
            <w:pPr>
              <w:pStyle w:val="Normal"/>
              <w:rPr/>
            </w:pPr>
            <w:r>
              <w:rPr>
                <w:rFonts w:eastAsia="Arial" w:cs="Arial"/>
                <w:b/>
                <w:bCs/>
                <w:color w:val="FFFFFF"/>
                <w:sz w:val="16"/>
                <w:szCs w:val="16"/>
              </w:rPr>
              <w:t>Initial (Before Solo Service)</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rPr/>
            </w:pPr>
            <w:r>
              <w:rPr>
                <w:rFonts w:eastAsia="Arial" w:cs="Arial"/>
                <w:b/>
                <w:bCs/>
                <w:color w:val="FFFFFF"/>
                <w:sz w:val="16"/>
                <w:szCs w:val="16"/>
              </w:rPr>
              <w:t>Annual</w:t>
            </w:r>
          </w:p>
        </w:tc>
      </w:tr>
      <w:tr>
        <w:trPr/>
        <w:tc>
          <w:tcPr>
            <w:tcW w:w="3200"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Personal Care / ADL Assistance</w:t>
            </w:r>
          </w:p>
        </w:tc>
        <w:tc>
          <w:tcPr>
            <w:tcW w:w="2199"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Direct observation</w:t>
            </w:r>
          </w:p>
        </w:tc>
        <w:tc>
          <w:tcPr>
            <w:tcW w:w="2361"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Required</w:t>
            </w:r>
          </w:p>
        </w:tc>
        <w:tc>
          <w:tcPr>
            <w:tcW w:w="1599"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Required</w:t>
            </w:r>
          </w:p>
        </w:tc>
      </w:tr>
      <w:tr>
        <w:trPr/>
        <w:tc>
          <w:tcPr>
            <w:tcW w:w="3200"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Medication Administration (if applicable)</w:t>
            </w:r>
          </w:p>
        </w:tc>
        <w:tc>
          <w:tcPr>
            <w:tcW w:w="2199"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Direct observation + return demonstration</w:t>
            </w:r>
          </w:p>
        </w:tc>
        <w:tc>
          <w:tcPr>
            <w:tcW w:w="2361"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Required</w:t>
            </w:r>
          </w:p>
        </w:tc>
        <w:tc>
          <w:tcPr>
            <w:tcW w:w="1599"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Required</w:t>
            </w:r>
          </w:p>
        </w:tc>
      </w:tr>
      <w:tr>
        <w:trPr/>
        <w:tc>
          <w:tcPr>
            <w:tcW w:w="3200"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Hand Hygiene Technique</w:t>
            </w:r>
          </w:p>
        </w:tc>
        <w:tc>
          <w:tcPr>
            <w:tcW w:w="2199"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Direct observation</w:t>
            </w:r>
          </w:p>
        </w:tc>
        <w:tc>
          <w:tcPr>
            <w:tcW w:w="2361"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Required</w:t>
            </w:r>
          </w:p>
        </w:tc>
        <w:tc>
          <w:tcPr>
            <w:tcW w:w="1599"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Required</w:t>
            </w:r>
          </w:p>
        </w:tc>
      </w:tr>
      <w:tr>
        <w:trPr/>
        <w:tc>
          <w:tcPr>
            <w:tcW w:w="3200"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PPE Donning and Doffing</w:t>
            </w:r>
          </w:p>
        </w:tc>
        <w:tc>
          <w:tcPr>
            <w:tcW w:w="2199"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Return demonstration</w:t>
            </w:r>
          </w:p>
        </w:tc>
        <w:tc>
          <w:tcPr>
            <w:tcW w:w="2361"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Required</w:t>
            </w:r>
          </w:p>
        </w:tc>
        <w:tc>
          <w:tcPr>
            <w:tcW w:w="1599"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Required</w:t>
            </w:r>
          </w:p>
        </w:tc>
      </w:tr>
      <w:tr>
        <w:trPr/>
        <w:tc>
          <w:tcPr>
            <w:tcW w:w="3200"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Emergency Evacuation Procedure</w:t>
            </w:r>
          </w:p>
        </w:tc>
        <w:tc>
          <w:tcPr>
            <w:tcW w:w="2199"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Scenario + direct observation (drill)</w:t>
            </w:r>
          </w:p>
        </w:tc>
        <w:tc>
          <w:tcPr>
            <w:tcW w:w="2361"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Required</w:t>
            </w:r>
          </w:p>
        </w:tc>
        <w:tc>
          <w:tcPr>
            <w:tcW w:w="1599"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Required — via annual drill</w:t>
            </w:r>
          </w:p>
        </w:tc>
      </w:tr>
      <w:tr>
        <w:trPr/>
        <w:tc>
          <w:tcPr>
            <w:tcW w:w="3200"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Missing Individual Response</w:t>
            </w:r>
          </w:p>
        </w:tc>
        <w:tc>
          <w:tcPr>
            <w:tcW w:w="2199"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Scenario-based</w:t>
            </w:r>
          </w:p>
        </w:tc>
        <w:tc>
          <w:tcPr>
            <w:tcW w:w="2361"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Required</w:t>
            </w:r>
          </w:p>
        </w:tc>
        <w:tc>
          <w:tcPr>
            <w:tcW w:w="1599"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Required</w:t>
            </w:r>
          </w:p>
        </w:tc>
      </w:tr>
      <w:tr>
        <w:trPr/>
        <w:tc>
          <w:tcPr>
            <w:tcW w:w="3200"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Incident Identification and Reporting</w:t>
            </w:r>
          </w:p>
        </w:tc>
        <w:tc>
          <w:tcPr>
            <w:tcW w:w="2199"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Verbal/written + record review</w:t>
            </w:r>
          </w:p>
        </w:tc>
        <w:tc>
          <w:tcPr>
            <w:tcW w:w="2361"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Required</w:t>
            </w:r>
          </w:p>
        </w:tc>
        <w:tc>
          <w:tcPr>
            <w:tcW w:w="1599"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Required</w:t>
            </w:r>
          </w:p>
        </w:tc>
      </w:tr>
      <w:tr>
        <w:trPr/>
        <w:tc>
          <w:tcPr>
            <w:tcW w:w="3200"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Mandatory Reporting Obligations</w:t>
            </w:r>
          </w:p>
        </w:tc>
        <w:tc>
          <w:tcPr>
            <w:tcW w:w="2199"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Verbal/written questioning</w:t>
            </w:r>
          </w:p>
        </w:tc>
        <w:tc>
          <w:tcPr>
            <w:tcW w:w="2361"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Required</w:t>
            </w:r>
          </w:p>
        </w:tc>
        <w:tc>
          <w:tcPr>
            <w:tcW w:w="1599"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Required</w:t>
            </w:r>
          </w:p>
        </w:tc>
      </w:tr>
      <w:tr>
        <w:trPr/>
        <w:tc>
          <w:tcPr>
            <w:tcW w:w="3200"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Rights and HCBS Settings Compliance</w:t>
            </w:r>
          </w:p>
        </w:tc>
        <w:tc>
          <w:tcPr>
            <w:tcW w:w="2199"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Verbal/written + direct observation</w:t>
            </w:r>
          </w:p>
        </w:tc>
        <w:tc>
          <w:tcPr>
            <w:tcW w:w="2361"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Required</w:t>
            </w:r>
          </w:p>
        </w:tc>
        <w:tc>
          <w:tcPr>
            <w:tcW w:w="1599"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Required</w:t>
            </w:r>
          </w:p>
        </w:tc>
      </w:tr>
      <w:tr>
        <w:trPr/>
        <w:tc>
          <w:tcPr>
            <w:tcW w:w="3200"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De-escalation Techniques</w:t>
            </w:r>
          </w:p>
        </w:tc>
        <w:tc>
          <w:tcPr>
            <w:tcW w:w="2199"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Scenario-based + direct observation</w:t>
            </w:r>
          </w:p>
        </w:tc>
        <w:tc>
          <w:tcPr>
            <w:tcW w:w="2361"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Required (if BSP present)</w:t>
            </w:r>
          </w:p>
        </w:tc>
        <w:tc>
          <w:tcPr>
            <w:tcW w:w="1599"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Required (if BSP present)</w:t>
            </w:r>
          </w:p>
        </w:tc>
      </w:tr>
      <w:tr>
        <w:trPr/>
        <w:tc>
          <w:tcPr>
            <w:tcW w:w="3200"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Documentation Accuracy and Timeliness</w:t>
            </w:r>
          </w:p>
        </w:tc>
        <w:tc>
          <w:tcPr>
            <w:tcW w:w="2199"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Record review</w:t>
            </w:r>
          </w:p>
        </w:tc>
        <w:tc>
          <w:tcPr>
            <w:tcW w:w="2361"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Within 30 days of hire</w:t>
            </w:r>
          </w:p>
        </w:tc>
        <w:tc>
          <w:tcPr>
            <w:tcW w:w="1599"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Required — via quarterly audit</w:t>
            </w:r>
          </w:p>
        </w:tc>
      </w:tr>
      <w:tr>
        <w:trPr/>
        <w:tc>
          <w:tcPr>
            <w:tcW w:w="3200"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Individual-Specific BSP Implementation</w:t>
            </w:r>
          </w:p>
        </w:tc>
        <w:tc>
          <w:tcPr>
            <w:tcW w:w="2199"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Direct observation</w:t>
            </w:r>
          </w:p>
        </w:tc>
        <w:tc>
          <w:tcPr>
            <w:tcW w:w="2361"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Before solo service</w:t>
            </w:r>
          </w:p>
        </w:tc>
        <w:tc>
          <w:tcPr>
            <w:tcW w:w="1599"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Required — at each BSP update</w:t>
            </w:r>
          </w:p>
        </w:tc>
      </w:tr>
      <w:tr>
        <w:trPr/>
        <w:tc>
          <w:tcPr>
            <w:tcW w:w="3200"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Controlled Substance Count and Documentation</w:t>
            </w:r>
          </w:p>
        </w:tc>
        <w:tc>
          <w:tcPr>
            <w:tcW w:w="2199"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Return demonstration (if applicable)</w:t>
            </w:r>
          </w:p>
        </w:tc>
        <w:tc>
          <w:tcPr>
            <w:tcW w:w="2361"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Required</w:t>
            </w:r>
          </w:p>
        </w:tc>
        <w:tc>
          <w:tcPr>
            <w:tcW w:w="1599"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Required</w:t>
            </w:r>
          </w:p>
        </w:tc>
      </w:tr>
      <w:tr>
        <w:trPr/>
        <w:tc>
          <w:tcPr>
            <w:tcW w:w="3200"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Medication Reconciliation at Transitions</w:t>
            </w:r>
          </w:p>
        </w:tc>
        <w:tc>
          <w:tcPr>
            <w:tcW w:w="2199"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Scenario-based</w:t>
            </w:r>
          </w:p>
        </w:tc>
        <w:tc>
          <w:tcPr>
            <w:tcW w:w="2361"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Required</w:t>
            </w:r>
          </w:p>
        </w:tc>
        <w:tc>
          <w:tcPr>
            <w:tcW w:w="1599"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Required</w:t>
            </w:r>
          </w:p>
        </w:tc>
      </w:tr>
    </w:tbl>
    <w:p>
      <w:pPr>
        <w:pStyle w:val="Normal"/>
        <w:spacing w:before="0" w:after="80"/>
        <w:rPr/>
      </w:pPr>
      <w:r>
        <w:rPr/>
      </w:r>
    </w:p>
    <w:p>
      <w:pPr>
        <w:pStyle w:val="Normal"/>
        <w:spacing w:before="140" w:after="60"/>
        <w:rPr/>
      </w:pPr>
      <w:r>
        <w:rPr>
          <w:rFonts w:eastAsia="Arial" w:cs="Arial"/>
          <w:b/>
          <w:bCs/>
          <w:sz w:val="22"/>
          <w:szCs w:val="22"/>
          <w:u w:val="single"/>
        </w:rPr>
        <w:t>F. Competency Assessment Process</w:t>
      </w:r>
    </w:p>
    <w:p>
      <w:pPr>
        <w:pStyle w:val="Normal"/>
        <w:spacing w:before="30" w:after="30"/>
        <w:ind w:hanging="360" w:start="720"/>
        <w:rPr/>
      </w:pPr>
      <w:r>
        <w:rPr>
          <w:rFonts w:eastAsia="Arial" w:cs="Arial"/>
          <w:b/>
          <w:bCs/>
          <w:sz w:val="22"/>
          <w:szCs w:val="22"/>
        </w:rPr>
        <w:t xml:space="preserve">a.  </w:t>
      </w:r>
      <w:r>
        <w:rPr>
          <w:rFonts w:eastAsia="Arial" w:cs="Arial"/>
          <w:sz w:val="22"/>
          <w:szCs w:val="22"/>
        </w:rPr>
        <w:t>Initial competency: all required competency areas shall be assessed before the staff member or provider works independently. The assessor shall use the Competency Assessment Checklist, completing one checklist per competency area per person.</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Competency Assessment Checklist shall document: the competency area, the assessment method used, the date, the assessor's name and role, the specific behaviors or skills observed, and a rating of Meets Standard / Does Not Yet Meet Standard.</w:t>
      </w:r>
    </w:p>
    <w:p>
      <w:pPr>
        <w:pStyle w:val="Normal"/>
        <w:spacing w:before="30" w:after="30"/>
        <w:ind w:hanging="360" w:start="720"/>
        <w:rPr/>
      </w:pPr>
      <w:r>
        <w:rPr>
          <w:rFonts w:eastAsia="Arial" w:cs="Arial"/>
          <w:b/>
          <w:bCs/>
          <w:sz w:val="22"/>
          <w:szCs w:val="22"/>
        </w:rPr>
        <w:t xml:space="preserve">c.  </w:t>
      </w:r>
      <w:r>
        <w:rPr>
          <w:rFonts w:eastAsia="Arial" w:cs="Arial"/>
          <w:sz w:val="22"/>
          <w:szCs w:val="22"/>
        </w:rPr>
        <w:t>A rating of Does Not Yet Meet Standard shall trigger immediate corrective action: the staff member shall not perform that function independently until re-assessment shows competency achieved. See Section G.</w:t>
      </w:r>
    </w:p>
    <w:p>
      <w:pPr>
        <w:pStyle w:val="Normal"/>
        <w:spacing w:before="30" w:after="30"/>
        <w:ind w:hanging="360" w:start="720"/>
        <w:rPr/>
      </w:pPr>
      <w:r>
        <w:rPr>
          <w:rFonts w:eastAsia="Arial" w:cs="Arial"/>
          <w:b/>
          <w:bCs/>
          <w:sz w:val="22"/>
          <w:szCs w:val="22"/>
        </w:rPr>
        <w:t xml:space="preserve">d.  </w:t>
      </w:r>
      <w:r>
        <w:rPr>
          <w:rFonts w:eastAsia="Arial" w:cs="Arial"/>
          <w:sz w:val="22"/>
          <w:szCs w:val="22"/>
        </w:rPr>
        <w:t>Annual competency re-assessment: all required competency areas shall be re-assessed annually. Annual reassessment shall be planned in advance and documented on the Competency Assessment Schedule maintained in the personnel/provider file.</w:t>
      </w:r>
    </w:p>
    <w:p>
      <w:pPr>
        <w:pStyle w:val="Normal"/>
        <w:spacing w:before="30" w:after="30"/>
        <w:ind w:hanging="360" w:start="720"/>
        <w:rPr/>
      </w:pPr>
      <w:r>
        <w:rPr>
          <w:rFonts w:eastAsia="Arial" w:cs="Arial"/>
          <w:b/>
          <w:bCs/>
          <w:sz w:val="22"/>
          <w:szCs w:val="22"/>
        </w:rPr>
        <w:t xml:space="preserve">e.  </w:t>
      </w:r>
      <w:r>
        <w:rPr>
          <w:rFonts w:eastAsia="Arial" w:cs="Arial"/>
          <w:sz w:val="22"/>
          <w:szCs w:val="22"/>
        </w:rPr>
        <w:t>Unscheduled competency assessment: the Administrator may conduct an unscheduled, unannounced competency assessment at any time. Assessment findings shall be documented with the same thoroughness as scheduled assessments.</w:t>
      </w:r>
    </w:p>
    <w:p>
      <w:pPr>
        <w:pStyle w:val="Normal"/>
        <w:spacing w:before="140" w:after="60"/>
        <w:rPr/>
      </w:pPr>
      <w:r>
        <w:rPr>
          <w:rFonts w:eastAsia="Arial" w:cs="Arial"/>
          <w:b/>
          <w:bCs/>
          <w:sz w:val="22"/>
          <w:szCs w:val="22"/>
          <w:u w:val="single"/>
        </w:rPr>
        <w:t>G. Competency Deficiency Response Protocol</w:t>
      </w:r>
    </w:p>
    <w:p>
      <w:pPr>
        <w:pStyle w:val="Normal"/>
        <w:spacing w:before="40" w:after="60"/>
        <w:rPr/>
      </w:pPr>
      <w:r>
        <w:rPr>
          <w:rFonts w:eastAsia="Arial" w:cs="Arial"/>
          <w:sz w:val="22"/>
          <w:szCs w:val="22"/>
        </w:rPr>
        <w:t>When a staff member or provider does not demonstrate required competency:</w:t>
      </w:r>
    </w:p>
    <w:p>
      <w:pPr>
        <w:pStyle w:val="Normal"/>
        <w:spacing w:before="30" w:after="30"/>
        <w:ind w:hanging="360" w:start="720"/>
        <w:rPr/>
      </w:pPr>
      <w:r>
        <w:rPr>
          <w:rFonts w:eastAsia="Arial" w:cs="Arial"/>
          <w:b/>
          <w:bCs/>
          <w:sz w:val="22"/>
          <w:szCs w:val="22"/>
        </w:rPr>
        <w:t xml:space="preserve">a.  </w:t>
      </w:r>
      <w:r>
        <w:rPr>
          <w:rFonts w:eastAsia="Arial" w:cs="Arial"/>
          <w:sz w:val="22"/>
          <w:szCs w:val="22"/>
        </w:rPr>
        <w:t>The staff member shall be immediately restricted from performing the function(s) in which competency was not demonstrated until competency is re-assessed and verified.</w:t>
      </w:r>
    </w:p>
    <w:p>
      <w:pPr>
        <w:pStyle w:val="Normal"/>
        <w:spacing w:before="30" w:after="30"/>
        <w:ind w:hanging="360" w:start="720"/>
        <w:rPr/>
      </w:pPr>
      <w:r>
        <w:rPr>
          <w:rFonts w:eastAsia="Arial" w:cs="Arial"/>
          <w:b/>
          <w:bCs/>
          <w:sz w:val="22"/>
          <w:szCs w:val="22"/>
        </w:rPr>
        <w:t xml:space="preserve">b.  </w:t>
      </w:r>
      <w:r>
        <w:rPr>
          <w:rFonts w:eastAsia="Arial" w:cs="Arial"/>
          <w:sz w:val="22"/>
          <w:szCs w:val="22"/>
        </w:rPr>
        <w:t>A Competency Improvement Plan shall be developed within forty-eight (48) hours of the assessment, specifying: the specific deficiency identified, the additional training or practice required, the timeline for re-assessment, and the criteria for demonstrating competency.</w:t>
      </w:r>
    </w:p>
    <w:p>
      <w:pPr>
        <w:pStyle w:val="Normal"/>
        <w:spacing w:before="30" w:after="30"/>
        <w:ind w:hanging="360" w:start="720"/>
        <w:rPr/>
      </w:pPr>
      <w:r>
        <w:rPr>
          <w:rFonts w:eastAsia="Arial" w:cs="Arial"/>
          <w:b/>
          <w:bCs/>
          <w:sz w:val="22"/>
          <w:szCs w:val="22"/>
        </w:rPr>
        <w:t xml:space="preserve">c.  </w:t>
      </w:r>
      <w:r>
        <w:rPr>
          <w:rFonts w:eastAsia="Arial" w:cs="Arial"/>
          <w:sz w:val="22"/>
          <w:szCs w:val="22"/>
        </w:rPr>
        <w:t>Re-assessment shall occur after the additional training or practice is complete, using the same or a more rigorous assessment method.</w:t>
      </w:r>
    </w:p>
    <w:p>
      <w:pPr>
        <w:pStyle w:val="Normal"/>
        <w:spacing w:before="30" w:after="30"/>
        <w:ind w:hanging="360" w:start="720"/>
        <w:rPr/>
      </w:pPr>
      <w:r>
        <w:rPr>
          <w:rFonts w:eastAsia="Arial" w:cs="Arial"/>
          <w:b/>
          <w:bCs/>
          <w:sz w:val="22"/>
          <w:szCs w:val="22"/>
        </w:rPr>
        <w:t xml:space="preserve">d.  </w:t>
      </w:r>
      <w:r>
        <w:rPr>
          <w:rFonts w:eastAsia="Arial" w:cs="Arial"/>
          <w:sz w:val="22"/>
          <w:szCs w:val="22"/>
        </w:rPr>
        <w:t>If a staff member fails to demonstrate competency after two (2) re-assessment attempts, the Administrator shall consult with the supervising agency and determine whether continued employment or provider status is appropriate.</w:t>
      </w:r>
    </w:p>
    <w:p>
      <w:pPr>
        <w:pStyle w:val="Normal"/>
        <w:spacing w:before="30" w:after="30"/>
        <w:ind w:hanging="360" w:start="720"/>
        <w:rPr/>
      </w:pPr>
      <w:r>
        <w:rPr>
          <w:rFonts w:eastAsia="Arial" w:cs="Arial"/>
          <w:b/>
          <w:bCs/>
          <w:sz w:val="22"/>
          <w:szCs w:val="22"/>
        </w:rPr>
        <w:t xml:space="preserve">e.  </w:t>
      </w:r>
      <w:r>
        <w:rPr>
          <w:rFonts w:eastAsia="Arial" w:cs="Arial"/>
          <w:sz w:val="22"/>
          <w:szCs w:val="22"/>
        </w:rPr>
        <w:t>All competency deficiencies and Improvement Plans shall be documented in the personnel or provider file.</w:t>
      </w:r>
    </w:p>
    <w:p>
      <w:pPr>
        <w:pStyle w:val="Normal"/>
        <w:spacing w:before="140" w:after="60"/>
        <w:rPr/>
      </w:pPr>
      <w:r>
        <w:rPr>
          <w:rFonts w:eastAsia="Arial" w:cs="Arial"/>
          <w:b/>
          <w:bCs/>
          <w:sz w:val="22"/>
          <w:szCs w:val="22"/>
          <w:u w:val="single"/>
        </w:rPr>
        <w:t>H. Competency Assessment Qualifications</w:t>
      </w:r>
    </w:p>
    <w:p>
      <w:pPr>
        <w:pStyle w:val="Normal"/>
        <w:spacing w:before="30" w:after="30"/>
        <w:ind w:hanging="360" w:start="720"/>
        <w:rPr/>
      </w:pPr>
      <w:r>
        <w:rPr>
          <w:rFonts w:eastAsia="Arial" w:cs="Arial"/>
          <w:b/>
          <w:bCs/>
          <w:sz w:val="22"/>
          <w:szCs w:val="22"/>
        </w:rPr>
        <w:t xml:space="preserve">a.  </w:t>
      </w:r>
      <w:r>
        <w:rPr>
          <w:rFonts w:eastAsia="Arial" w:cs="Arial"/>
          <w:sz w:val="22"/>
          <w:szCs w:val="22"/>
        </w:rPr>
        <w:t>Competency assessors shall have demonstrated competency in the area being assessed and shall have completed the organization's competency assessor orientation, which covers: how to use the Competency Assessment Checklist, objective observation techniques, how to provide constructive feedback, and documentation requirements.</w:t>
      </w:r>
    </w:p>
    <w:p>
      <w:pPr>
        <w:pStyle w:val="Normal"/>
        <w:spacing w:before="30" w:after="30"/>
        <w:ind w:hanging="360" w:start="720"/>
        <w:rPr/>
      </w:pPr>
      <w:r>
        <w:rPr>
          <w:rFonts w:eastAsia="Arial" w:cs="Arial"/>
          <w:b/>
          <w:bCs/>
          <w:sz w:val="22"/>
          <w:szCs w:val="22"/>
        </w:rPr>
        <w:t xml:space="preserve">b.  </w:t>
      </w:r>
      <w:r>
        <w:rPr>
          <w:rFonts w:eastAsia="Arial" w:cs="Arial"/>
          <w:sz w:val="22"/>
          <w:szCs w:val="22"/>
        </w:rPr>
        <w:t>No staff member shall assess their own competency. Self-report of competency is not sufficient; direct observation by a qualified assessor is required for clinical and personal care skills.</w:t>
      </w:r>
    </w:p>
    <w:p>
      <w:pPr>
        <w:pStyle w:val="Normal"/>
        <w:spacing w:before="140" w:after="60"/>
        <w:rPr/>
      </w:pPr>
      <w:r>
        <w:rPr>
          <w:rFonts w:eastAsia="Arial" w:cs="Arial"/>
          <w:b/>
          <w:bCs/>
          <w:sz w:val="22"/>
          <w:szCs w:val="22"/>
          <w:u w:val="single"/>
        </w:rPr>
        <w:t>I. Training Portability</w:t>
      </w:r>
    </w:p>
    <w:p>
      <w:pPr>
        <w:pStyle w:val="Normal"/>
        <w:spacing w:before="40" w:after="60"/>
        <w:rPr/>
      </w:pPr>
      <w:r>
        <w:rPr>
          <w:rFonts w:eastAsia="Arial" w:cs="Arial"/>
          <w:sz w:val="22"/>
          <w:szCs w:val="22"/>
        </w:rPr>
        <w:t>Prior training completed at another licensed Texas provider may be accepted as meeting training requirements, subject to the following conditions:</w:t>
      </w:r>
    </w:p>
    <w:p>
      <w:pPr>
        <w:pStyle w:val="Normal"/>
        <w:spacing w:before="30" w:after="30"/>
        <w:ind w:hanging="360" w:start="720"/>
        <w:rPr/>
      </w:pPr>
      <w:r>
        <w:rPr>
          <w:rFonts w:eastAsia="Arial" w:cs="Arial"/>
          <w:b/>
          <w:bCs/>
          <w:sz w:val="22"/>
          <w:szCs w:val="22"/>
        </w:rPr>
        <w:t xml:space="preserve">a.  </w:t>
      </w:r>
      <w:r>
        <w:rPr>
          <w:rFonts w:eastAsia="Arial" w:cs="Arial"/>
          <w:sz w:val="22"/>
          <w:szCs w:val="22"/>
        </w:rPr>
        <w:t>The training certificate includes: staff member's name, training organization, topic and content outline, hours completed, date, and trainer signature or organizational seal.</w:t>
      </w:r>
    </w:p>
    <w:p>
      <w:pPr>
        <w:pStyle w:val="Normal"/>
        <w:spacing w:before="30" w:after="30"/>
        <w:ind w:hanging="360" w:start="720"/>
        <w:rPr/>
      </w:pPr>
      <w:r>
        <w:rPr>
          <w:rFonts w:eastAsia="Arial" w:cs="Arial"/>
          <w:b/>
          <w:bCs/>
          <w:sz w:val="22"/>
          <w:szCs w:val="22"/>
        </w:rPr>
        <w:t xml:space="preserve">b.  </w:t>
      </w:r>
      <w:r>
        <w:rPr>
          <w:rFonts w:eastAsia="Arial" w:cs="Arial"/>
          <w:sz w:val="22"/>
          <w:szCs w:val="22"/>
        </w:rPr>
        <w:t>Portability does not substitute for person-specific orientation, competency assessment, or training topics required by this Provider's specific policies or the individual's BSP.</w:t>
      </w:r>
    </w:p>
    <w:p>
      <w:pPr>
        <w:pStyle w:val="Normal"/>
        <w:spacing w:before="30" w:after="30"/>
        <w:ind w:hanging="360" w:start="720"/>
        <w:rPr/>
      </w:pPr>
      <w:r>
        <w:rPr>
          <w:rFonts w:eastAsia="Arial" w:cs="Arial"/>
          <w:b/>
          <w:bCs/>
          <w:sz w:val="22"/>
          <w:szCs w:val="22"/>
        </w:rPr>
        <w:t xml:space="preserve">c.  </w:t>
      </w:r>
      <w:r>
        <w:rPr>
          <w:rFonts w:eastAsia="Arial" w:cs="Arial"/>
          <w:sz w:val="22"/>
          <w:szCs w:val="22"/>
        </w:rPr>
        <w:t>Acceptance of portable training is at the discretion of the Administrator.</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Training Completion Records</w:t>
      </w:r>
    </w:p>
    <w:p>
      <w:pPr>
        <w:pStyle w:val="ListParagraph"/>
        <w:numPr>
          <w:ilvl w:val="0"/>
          <w:numId w:val="1"/>
        </w:numPr>
        <w:spacing w:before="30" w:after="30"/>
        <w:rPr/>
      </w:pPr>
      <w:r>
        <w:rPr>
          <w:rFonts w:eastAsia="Arial" w:cs="Arial"/>
          <w:sz w:val="22"/>
          <w:szCs w:val="22"/>
        </w:rPr>
        <w:t>Person-Specific Orientation Checklist</w:t>
      </w:r>
    </w:p>
    <w:p>
      <w:pPr>
        <w:pStyle w:val="ListParagraph"/>
        <w:numPr>
          <w:ilvl w:val="0"/>
          <w:numId w:val="1"/>
        </w:numPr>
        <w:spacing w:before="30" w:after="30"/>
        <w:rPr/>
      </w:pPr>
      <w:r>
        <w:rPr>
          <w:rFonts w:eastAsia="Arial" w:cs="Arial"/>
          <w:sz w:val="22"/>
          <w:szCs w:val="22"/>
        </w:rPr>
        <w:t>Competency Assessment Checklist (per competency area)</w:t>
      </w:r>
    </w:p>
    <w:p>
      <w:pPr>
        <w:pStyle w:val="ListParagraph"/>
        <w:numPr>
          <w:ilvl w:val="0"/>
          <w:numId w:val="1"/>
        </w:numPr>
        <w:spacing w:before="30" w:after="30"/>
        <w:rPr/>
      </w:pPr>
      <w:r>
        <w:rPr>
          <w:rFonts w:eastAsia="Arial" w:cs="Arial"/>
          <w:sz w:val="22"/>
          <w:szCs w:val="22"/>
        </w:rPr>
        <w:t>Competency Assessment Schedule</w:t>
      </w:r>
    </w:p>
    <w:p>
      <w:pPr>
        <w:pStyle w:val="ListParagraph"/>
        <w:numPr>
          <w:ilvl w:val="0"/>
          <w:numId w:val="1"/>
        </w:numPr>
        <w:spacing w:before="30" w:after="30"/>
        <w:rPr/>
      </w:pPr>
      <w:r>
        <w:rPr>
          <w:rFonts w:eastAsia="Arial" w:cs="Arial"/>
          <w:sz w:val="22"/>
          <w:szCs w:val="22"/>
        </w:rPr>
        <w:t>Competency Improvement Plan</w:t>
      </w:r>
    </w:p>
    <w:p>
      <w:pPr>
        <w:pStyle w:val="ListParagraph"/>
        <w:numPr>
          <w:ilvl w:val="0"/>
          <w:numId w:val="1"/>
        </w:numPr>
        <w:spacing w:before="30" w:after="30"/>
        <w:rPr/>
      </w:pPr>
      <w:r>
        <w:rPr>
          <w:rFonts w:eastAsia="Arial" w:cs="Arial"/>
          <w:sz w:val="22"/>
          <w:szCs w:val="22"/>
        </w:rPr>
        <w:t>Annual Competency Re-Assessment Calendar</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[HH/CC Provider / Administrator]</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[HH/CC Provider / Administrator]</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[HH/CC Provider / Administrator]</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#2.02: Medication Administration Training &amp; Certification</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Training / Medication Management</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2.02</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26 TAC Ch. 263 &amp; 565 (HCS Program Rules); HCS Program Handbook — Medication Administration; Texas H&amp;S Code; HHSC-Approved Training Programs</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[HH/CC Provider Name]</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document [HH/CC Provider Name]'s responsibility to hold a current HHSC-approved medication administration training certification before administering or assisting with medications for any individual, and to ensure any Substitute Caregiver who administers medications also holds current certification.</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No person — including [HH/CC Provider Name] or any approved Substitute Caregiver — shall administer, assist with, or supervise medication administration unless they hold a current HHSC-approved medication administration certification. Expired certification removes the provider or Substitute Caregiver from all medication administration duties immediately until renewal is completed.</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Certification — HH/CC Provider</w:t>
      </w:r>
    </w:p>
    <w:p>
      <w:pPr>
        <w:pStyle w:val="Normal"/>
        <w:spacing w:before="30" w:after="30"/>
        <w:ind w:hanging="360" w:start="720"/>
        <w:rPr/>
      </w:pPr>
      <w:r>
        <w:rPr>
          <w:rFonts w:eastAsia="Arial" w:cs="Arial"/>
          <w:b/>
          <w:bCs/>
          <w:sz w:val="22"/>
          <w:szCs w:val="22"/>
        </w:rPr>
        <w:t xml:space="preserve">a.  </w:t>
      </w:r>
      <w:r>
        <w:rPr>
          <w:rFonts w:eastAsia="Arial" w:cs="Arial"/>
          <w:sz w:val="22"/>
          <w:szCs w:val="22"/>
        </w:rPr>
        <w:t>[HH/CC Provider Name] shall complete HHSC-approved medication administration training before the individual's placement if medication administration is part of the IPC/IP.</w:t>
      </w:r>
    </w:p>
    <w:p>
      <w:pPr>
        <w:pStyle w:val="Normal"/>
        <w:spacing w:before="30" w:after="30"/>
        <w:ind w:hanging="360" w:start="720"/>
        <w:rPr/>
      </w:pPr>
      <w:r>
        <w:rPr>
          <w:rFonts w:eastAsia="Arial" w:cs="Arial"/>
          <w:b/>
          <w:bCs/>
          <w:sz w:val="22"/>
          <w:szCs w:val="22"/>
        </w:rPr>
        <w:t xml:space="preserve">b.  </w:t>
      </w:r>
      <w:r>
        <w:rPr>
          <w:rFonts w:eastAsia="Arial" w:cs="Arial"/>
          <w:sz w:val="22"/>
          <w:szCs w:val="22"/>
        </w:rPr>
        <w:t>A copy of the current certificate shall be filed in this policy manual and provided to the Program Provider.</w:t>
      </w:r>
    </w:p>
    <w:p>
      <w:pPr>
        <w:pStyle w:val="Normal"/>
        <w:spacing w:before="30" w:after="30"/>
        <w:ind w:hanging="360" w:start="720"/>
        <w:rPr/>
      </w:pPr>
      <w:r>
        <w:rPr>
          <w:rFonts w:eastAsia="Arial" w:cs="Arial"/>
          <w:b/>
          <w:bCs/>
          <w:sz w:val="22"/>
          <w:szCs w:val="22"/>
        </w:rPr>
        <w:t xml:space="preserve">c.  </w:t>
      </w:r>
      <w:r>
        <w:rPr>
          <w:rFonts w:eastAsia="Arial" w:cs="Arial"/>
          <w:sz w:val="22"/>
          <w:szCs w:val="22"/>
        </w:rPr>
        <w:t>Renewal shall be completed before the current certificate expires. [HH/CC Provider Name] shall not administer medications during any lapse.</w:t>
      </w:r>
    </w:p>
    <w:p>
      <w:pPr>
        <w:pStyle w:val="Normal"/>
        <w:spacing w:before="140" w:after="60"/>
        <w:rPr/>
      </w:pPr>
      <w:r>
        <w:rPr>
          <w:rFonts w:eastAsia="Arial" w:cs="Arial"/>
          <w:b/>
          <w:bCs/>
          <w:sz w:val="22"/>
          <w:szCs w:val="22"/>
          <w:u w:val="single"/>
        </w:rPr>
        <w:t>B. Certification — Substitute Caregivers</w:t>
      </w:r>
    </w:p>
    <w:p>
      <w:pPr>
        <w:pStyle w:val="Normal"/>
        <w:spacing w:before="30" w:after="30"/>
        <w:ind w:hanging="360" w:start="720"/>
        <w:rPr/>
      </w:pPr>
      <w:r>
        <w:rPr>
          <w:rFonts w:eastAsia="Arial" w:cs="Arial"/>
          <w:b/>
          <w:bCs/>
          <w:sz w:val="22"/>
          <w:szCs w:val="22"/>
        </w:rPr>
        <w:t xml:space="preserve">a.  </w:t>
      </w:r>
      <w:r>
        <w:rPr>
          <w:rFonts w:eastAsia="Arial" w:cs="Arial"/>
          <w:sz w:val="22"/>
          <w:szCs w:val="22"/>
        </w:rPr>
        <w:t>Any Substitute Caregiver who will administer medications must present a current HHSC-approved medication administration certificate before their first coverage period involving medications.</w:t>
      </w:r>
    </w:p>
    <w:p>
      <w:pPr>
        <w:pStyle w:val="Normal"/>
        <w:spacing w:before="30" w:after="30"/>
        <w:ind w:hanging="360" w:start="720"/>
        <w:rPr/>
      </w:pPr>
      <w:r>
        <w:rPr>
          <w:rFonts w:eastAsia="Arial" w:cs="Arial"/>
          <w:b/>
          <w:bCs/>
          <w:sz w:val="22"/>
          <w:szCs w:val="22"/>
        </w:rPr>
        <w:t xml:space="preserve">b.  </w:t>
      </w:r>
      <w:r>
        <w:rPr>
          <w:rFonts w:eastAsia="Arial" w:cs="Arial"/>
          <w:sz w:val="22"/>
          <w:szCs w:val="22"/>
        </w:rPr>
        <w:t>[HH/CC Provider Name] shall verify this before the Substitute Caregiver's first coverage period and document verification in the Substitute Caregiver file.</w:t>
      </w:r>
    </w:p>
    <w:p>
      <w:pPr>
        <w:pStyle w:val="Normal"/>
        <w:spacing w:before="30" w:after="30"/>
        <w:ind w:hanging="360" w:start="720"/>
        <w:rPr/>
      </w:pPr>
      <w:r>
        <w:rPr>
          <w:rFonts w:eastAsia="Arial" w:cs="Arial"/>
          <w:b/>
          <w:bCs/>
          <w:sz w:val="22"/>
          <w:szCs w:val="22"/>
        </w:rPr>
        <w:t xml:space="preserve">c.  </w:t>
      </w:r>
      <w:r>
        <w:rPr>
          <w:rFonts w:eastAsia="Arial" w:cs="Arial"/>
          <w:sz w:val="22"/>
          <w:szCs w:val="22"/>
        </w:rPr>
        <w:t>If a Substitute Caregiver's certification is expired, they shall not administer medications. [HH/CC Provider Name] shall contact the Program Provider to arrange alternate medication coverage.</w:t>
      </w:r>
    </w:p>
    <w:p>
      <w:pPr>
        <w:pStyle w:val="Normal"/>
        <w:spacing w:before="140" w:after="60"/>
        <w:rPr/>
      </w:pPr>
      <w:r>
        <w:rPr>
          <w:rFonts w:eastAsia="Arial" w:cs="Arial"/>
          <w:b/>
          <w:bCs/>
          <w:sz w:val="22"/>
          <w:szCs w:val="22"/>
          <w:u w:val="single"/>
        </w:rPr>
        <w:t>C. Scope of Permitted Administration</w:t>
      </w:r>
    </w:p>
    <w:p>
      <w:pPr>
        <w:pStyle w:val="Normal"/>
        <w:spacing w:before="40" w:after="60"/>
        <w:rPr/>
      </w:pPr>
      <w:r>
        <w:rPr>
          <w:rFonts w:eastAsia="Arial" w:cs="Arial"/>
          <w:sz w:val="22"/>
          <w:szCs w:val="22"/>
        </w:rPr>
        <w:t>HHSC-approved certified providers may assist with or administer medications that are: prescribed by a Texas licensed practitioner, documented on a current MAR, and administered via routes specified in the HHSC-approved training program. IV medications and medications requiring nursing licensure are outside scope.</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HHSC-Approved Medication Administration Certificate — [HH/CC Provider Name] (on file)</w:t>
      </w:r>
    </w:p>
    <w:p>
      <w:pPr>
        <w:pStyle w:val="ListParagraph"/>
        <w:numPr>
          <w:ilvl w:val="0"/>
          <w:numId w:val="1"/>
        </w:numPr>
        <w:spacing w:before="30" w:after="30"/>
        <w:rPr/>
      </w:pPr>
      <w:r>
        <w:rPr>
          <w:rFonts w:eastAsia="Arial" w:cs="Arial"/>
          <w:sz w:val="22"/>
          <w:szCs w:val="22"/>
        </w:rPr>
        <w:t>Substitute Caregiver Medication Certificates (on file)</w:t>
      </w:r>
    </w:p>
    <w:p>
      <w:pPr>
        <w:pStyle w:val="ListParagraph"/>
        <w:numPr>
          <w:ilvl w:val="0"/>
          <w:numId w:val="1"/>
        </w:numPr>
        <w:spacing w:before="30" w:after="30"/>
        <w:rPr/>
      </w:pPr>
      <w:r>
        <w:rPr>
          <w:rFonts w:eastAsia="Arial" w:cs="Arial"/>
          <w:sz w:val="22"/>
          <w:szCs w:val="22"/>
        </w:rPr>
        <w:t>Medication Administration Record (MAR) — Policy 4.00</w:t>
      </w:r>
    </w:p>
    <w:p>
      <w:pPr>
        <w:pStyle w:val="ListParagraph"/>
        <w:numPr>
          <w:ilvl w:val="0"/>
          <w:numId w:val="1"/>
        </w:numPr>
        <w:spacing w:before="30" w:after="30"/>
        <w:rPr/>
      </w:pPr>
      <w:r>
        <w:rPr>
          <w:rFonts w:eastAsia="Arial" w:cs="Arial"/>
          <w:sz w:val="22"/>
          <w:szCs w:val="22"/>
        </w:rPr>
        <w:t>Medication Error Report — Policy 4.03</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[HH/CC Provider / Administrator]</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[HH/CC Provider / Administrator]</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[HH/CC Provider / Administrator]</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#2.03: HH/CC Home Environment &amp; Physical Standards</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Facilities / Safety</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2.03</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26 TAC Ch. 263 &amp; 565 (HCS Program Rules); HCS Program Handbook — Home Standards; HCBS Settings Final Rule 42 CFR 441.301; Texas Fire Code</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[HH/CC Provider Name]</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define the physical standards that the HH/CC home at [Home Address] must meet and maintain under the HCS Program, ensuring the environment is safe, comfortable, accessible, home-like, and compliant with HCBS Settings Final Rule requirements. The Program Provider conducts monitoring visits to verify these standards.</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This home is the individual's primary Texas residence. [HH/CC Provider Name] is responsible for maintaining it in a condition that is safe, sanitary, and consistent with a typical home in the community.</w:t>
      </w:r>
    </w:p>
    <w:p>
      <w:pPr>
        <w:pStyle w:val="Normal"/>
        <w:spacing w:before="120" w:after="40"/>
        <w:rPr/>
      </w:pPr>
      <w:r>
        <w:rPr>
          <w:rFonts w:eastAsia="Arial" w:cs="Arial"/>
          <w:b/>
          <w:bCs/>
          <w:color w:val="2E5DA8"/>
          <w:sz w:val="22"/>
          <w:szCs w:val="22"/>
        </w:rPr>
        <w:t>HOME ENVIRONMENT STANDARDS</w:t>
      </w:r>
    </w:p>
    <w:p>
      <w:pPr>
        <w:pStyle w:val="Normal"/>
        <w:spacing w:before="140" w:after="60"/>
        <w:rPr/>
      </w:pPr>
      <w:r>
        <w:rPr>
          <w:rFonts w:eastAsia="Arial" w:cs="Arial"/>
          <w:b/>
          <w:bCs/>
          <w:sz w:val="22"/>
          <w:szCs w:val="22"/>
          <w:u w:val="single"/>
        </w:rPr>
        <w:t>A. The Individual's Personal Space</w:t>
      </w:r>
    </w:p>
    <w:p>
      <w:pPr>
        <w:pStyle w:val="Normal"/>
        <w:spacing w:before="30" w:after="30"/>
        <w:ind w:hanging="360" w:start="720"/>
        <w:rPr/>
      </w:pPr>
      <w:r>
        <w:rPr>
          <w:rFonts w:eastAsia="Arial" w:cs="Arial"/>
          <w:b/>
          <w:bCs/>
          <w:sz w:val="22"/>
          <w:szCs w:val="22"/>
        </w:rPr>
        <w:t xml:space="preserve">a.  </w:t>
      </w:r>
      <w:r>
        <w:rPr>
          <w:rFonts w:eastAsia="Arial" w:cs="Arial"/>
          <w:sz w:val="22"/>
          <w:szCs w:val="22"/>
        </w:rPr>
        <w:t>The individual shall have a private bedroom with a door. The individual has the right to a lock and a key to that lock per 42 CFR 441.301.</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individual may furnish and decorate their bedroom according to personal preferences within normal household guidelines.</w:t>
      </w:r>
    </w:p>
    <w:p>
      <w:pPr>
        <w:pStyle w:val="Normal"/>
        <w:spacing w:before="30" w:after="30"/>
        <w:ind w:hanging="360" w:start="720"/>
        <w:rPr/>
      </w:pPr>
      <w:r>
        <w:rPr>
          <w:rFonts w:eastAsia="Arial" w:cs="Arial"/>
          <w:b/>
          <w:bCs/>
          <w:sz w:val="22"/>
          <w:szCs w:val="22"/>
        </w:rPr>
        <w:t xml:space="preserve">c.  </w:t>
      </w:r>
      <w:r>
        <w:rPr>
          <w:rFonts w:eastAsia="Arial" w:cs="Arial"/>
          <w:sz w:val="22"/>
          <w:szCs w:val="22"/>
        </w:rPr>
        <w:t>The individual has a right to a lockable space for personal belongings.</w:t>
      </w:r>
    </w:p>
    <w:p>
      <w:pPr>
        <w:pStyle w:val="Normal"/>
        <w:spacing w:before="30" w:after="30"/>
        <w:ind w:hanging="360" w:start="720"/>
        <w:rPr/>
      </w:pPr>
      <w:r>
        <w:rPr>
          <w:rFonts w:eastAsia="Arial" w:cs="Arial"/>
          <w:b/>
          <w:bCs/>
          <w:sz w:val="22"/>
          <w:szCs w:val="22"/>
        </w:rPr>
        <w:t xml:space="preserve">d.  </w:t>
      </w:r>
      <w:r>
        <w:rPr>
          <w:rFonts w:eastAsia="Arial" w:cs="Arial"/>
          <w:sz w:val="22"/>
          <w:szCs w:val="22"/>
        </w:rPr>
        <w:t>The bedroom shall maintain comfortable temperature, adequate ventilation and lighting, and window coverings for privacy.</w:t>
      </w:r>
    </w:p>
    <w:p>
      <w:pPr>
        <w:pStyle w:val="Normal"/>
        <w:spacing w:before="140" w:after="60"/>
        <w:rPr/>
      </w:pPr>
      <w:r>
        <w:rPr>
          <w:rFonts w:eastAsia="Arial" w:cs="Arial"/>
          <w:b/>
          <w:bCs/>
          <w:sz w:val="22"/>
          <w:szCs w:val="22"/>
          <w:u w:val="single"/>
        </w:rPr>
        <w:t>B. Access to the Home</w:t>
      </w:r>
    </w:p>
    <w:p>
      <w:pPr>
        <w:pStyle w:val="Normal"/>
        <w:spacing w:before="30" w:after="30"/>
        <w:ind w:hanging="360" w:start="720"/>
        <w:rPr/>
      </w:pPr>
      <w:r>
        <w:rPr>
          <w:rFonts w:eastAsia="Arial" w:cs="Arial"/>
          <w:b/>
          <w:bCs/>
          <w:sz w:val="22"/>
          <w:szCs w:val="22"/>
        </w:rPr>
        <w:t xml:space="preserve">a.  </w:t>
      </w:r>
      <w:r>
        <w:rPr>
          <w:rFonts w:eastAsia="Arial" w:cs="Arial"/>
          <w:sz w:val="22"/>
          <w:szCs w:val="22"/>
        </w:rPr>
        <w:t>The individual shall have a key or key code to the front door and the right to enter and exit at any time consistent with their IPC/IP and HCBS Settings Final Rule.</w:t>
      </w:r>
    </w:p>
    <w:p>
      <w:pPr>
        <w:pStyle w:val="Normal"/>
        <w:spacing w:before="140" w:after="60"/>
        <w:rPr/>
      </w:pPr>
      <w:r>
        <w:rPr>
          <w:rFonts w:eastAsia="Arial" w:cs="Arial"/>
          <w:b/>
          <w:bCs/>
          <w:sz w:val="22"/>
          <w:szCs w:val="22"/>
          <w:u w:val="single"/>
        </w:rPr>
        <w:t>C. Common Areas</w:t>
      </w:r>
    </w:p>
    <w:p>
      <w:pPr>
        <w:pStyle w:val="Normal"/>
        <w:spacing w:before="30" w:after="30"/>
        <w:ind w:hanging="360" w:start="720"/>
        <w:rPr/>
      </w:pPr>
      <w:r>
        <w:rPr>
          <w:rFonts w:eastAsia="Arial" w:cs="Arial"/>
          <w:b/>
          <w:bCs/>
          <w:sz w:val="22"/>
          <w:szCs w:val="22"/>
        </w:rPr>
        <w:t xml:space="preserve">a.  </w:t>
      </w:r>
      <w:r>
        <w:rPr>
          <w:rFonts w:eastAsia="Arial" w:cs="Arial"/>
          <w:sz w:val="22"/>
          <w:szCs w:val="22"/>
        </w:rPr>
        <w:t>The individual shall have unrestricted access to all common areas (kitchen, living room, outdoor spaces) during normal household hours, consistent with the IPC/IP.</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individual shall have the right to access food from the kitchen at any time.</w:t>
      </w:r>
    </w:p>
    <w:p>
      <w:pPr>
        <w:pStyle w:val="Normal"/>
        <w:spacing w:before="30" w:after="30"/>
        <w:ind w:hanging="360" w:start="720"/>
        <w:rPr/>
      </w:pPr>
      <w:r>
        <w:rPr>
          <w:rFonts w:eastAsia="Arial" w:cs="Arial"/>
          <w:b/>
          <w:bCs/>
          <w:sz w:val="22"/>
          <w:szCs w:val="22"/>
        </w:rPr>
        <w:t xml:space="preserve">c.  </w:t>
      </w:r>
      <w:r>
        <w:rPr>
          <w:rFonts w:eastAsia="Arial" w:cs="Arial"/>
          <w:sz w:val="22"/>
          <w:szCs w:val="22"/>
        </w:rPr>
        <w:t>Bathrooms shall be clean, functional, and accessible with appropriate accommodations per the individual's needs.</w:t>
      </w:r>
    </w:p>
    <w:p>
      <w:pPr>
        <w:pStyle w:val="Normal"/>
        <w:spacing w:before="140" w:after="60"/>
        <w:rPr/>
      </w:pPr>
      <w:r>
        <w:rPr>
          <w:rFonts w:eastAsia="Arial" w:cs="Arial"/>
          <w:b/>
          <w:bCs/>
          <w:sz w:val="22"/>
          <w:szCs w:val="22"/>
          <w:u w:val="single"/>
        </w:rPr>
        <w:t>D. Safety Requirements</w:t>
      </w:r>
    </w:p>
    <w:p>
      <w:pPr>
        <w:pStyle w:val="Normal"/>
        <w:spacing w:before="40" w:after="60"/>
        <w:rPr/>
      </w:pPr>
      <w:r>
        <w:rPr>
          <w:rFonts w:eastAsia="Arial" w:cs="Arial"/>
          <w:sz w:val="22"/>
          <w:szCs w:val="22"/>
        </w:rPr>
        <w:t>The home shall maintain ALL of the following at all times:</w:t>
      </w:r>
    </w:p>
    <w:p>
      <w:pPr>
        <w:pStyle w:val="Normal"/>
        <w:spacing w:before="30" w:after="30"/>
        <w:ind w:hanging="360" w:start="720"/>
        <w:rPr/>
      </w:pPr>
      <w:r>
        <w:rPr>
          <w:rFonts w:eastAsia="Arial" w:cs="Arial"/>
          <w:b/>
          <w:bCs/>
          <w:sz w:val="22"/>
          <w:szCs w:val="22"/>
        </w:rPr>
        <w:t xml:space="preserve">a.  </w:t>
      </w:r>
      <w:r>
        <w:rPr>
          <w:rFonts w:eastAsia="Arial" w:cs="Arial"/>
          <w:sz w:val="22"/>
          <w:szCs w:val="22"/>
        </w:rPr>
        <w:t>Working smoke detectors on every occupied level, tested monthly, batteries replaced at least annually</w:t>
      </w:r>
    </w:p>
    <w:p>
      <w:pPr>
        <w:pStyle w:val="Normal"/>
        <w:spacing w:before="30" w:after="30"/>
        <w:ind w:hanging="360" w:start="720"/>
        <w:rPr/>
      </w:pPr>
      <w:r>
        <w:rPr>
          <w:rFonts w:eastAsia="Arial" w:cs="Arial"/>
          <w:b/>
          <w:bCs/>
          <w:sz w:val="22"/>
          <w:szCs w:val="22"/>
        </w:rPr>
        <w:t xml:space="preserve">b.  </w:t>
      </w:r>
      <w:r>
        <w:rPr>
          <w:rFonts w:eastAsia="Arial" w:cs="Arial"/>
          <w:sz w:val="22"/>
          <w:szCs w:val="22"/>
        </w:rPr>
        <w:t>Working carbon monoxide detector near sleeping areas</w:t>
      </w:r>
    </w:p>
    <w:p>
      <w:pPr>
        <w:pStyle w:val="Normal"/>
        <w:spacing w:before="30" w:after="30"/>
        <w:ind w:hanging="360" w:start="720"/>
        <w:rPr/>
      </w:pPr>
      <w:r>
        <w:rPr>
          <w:rFonts w:eastAsia="Arial" w:cs="Arial"/>
          <w:b/>
          <w:bCs/>
          <w:sz w:val="22"/>
          <w:szCs w:val="22"/>
        </w:rPr>
        <w:t xml:space="preserve">c.  </w:t>
      </w:r>
      <w:r>
        <w:rPr>
          <w:rFonts w:eastAsia="Arial" w:cs="Arial"/>
          <w:sz w:val="22"/>
          <w:szCs w:val="22"/>
        </w:rPr>
        <w:t>ABC-type fire extinguisher on each occupied floor with current inspection tag</w:t>
      </w:r>
    </w:p>
    <w:p>
      <w:pPr>
        <w:pStyle w:val="Normal"/>
        <w:spacing w:before="30" w:after="30"/>
        <w:ind w:hanging="360" w:start="720"/>
        <w:rPr/>
      </w:pPr>
      <w:r>
        <w:rPr>
          <w:rFonts w:eastAsia="Arial" w:cs="Arial"/>
          <w:b/>
          <w:bCs/>
          <w:sz w:val="22"/>
          <w:szCs w:val="22"/>
        </w:rPr>
        <w:t xml:space="preserve">d.  </w:t>
      </w:r>
      <w:r>
        <w:rPr>
          <w:rFonts w:eastAsia="Arial" w:cs="Arial"/>
          <w:sz w:val="22"/>
          <w:szCs w:val="22"/>
        </w:rPr>
        <w:t>All exits clear of obstruction and openable from inside without a key</w:t>
      </w:r>
    </w:p>
    <w:p>
      <w:pPr>
        <w:pStyle w:val="Normal"/>
        <w:spacing w:before="30" w:after="30"/>
        <w:ind w:hanging="360" w:start="720"/>
        <w:rPr/>
      </w:pPr>
      <w:r>
        <w:rPr>
          <w:rFonts w:eastAsia="Arial" w:cs="Arial"/>
          <w:b/>
          <w:bCs/>
          <w:sz w:val="22"/>
          <w:szCs w:val="22"/>
        </w:rPr>
        <w:t xml:space="preserve">e.  </w:t>
      </w:r>
      <w:r>
        <w:rPr>
          <w:rFonts w:eastAsia="Arial" w:cs="Arial"/>
          <w:sz w:val="22"/>
          <w:szCs w:val="22"/>
        </w:rPr>
        <w:t>Posted evacuation diagram showing primary and secondary exits from each room, with the individual's specific evacuation assistance needs noted</w:t>
      </w:r>
    </w:p>
    <w:p>
      <w:pPr>
        <w:pStyle w:val="Normal"/>
        <w:spacing w:before="30" w:after="30"/>
        <w:ind w:hanging="360" w:start="720"/>
        <w:rPr/>
      </w:pPr>
      <w:r>
        <w:rPr>
          <w:rFonts w:eastAsia="Arial" w:cs="Arial"/>
          <w:b/>
          <w:bCs/>
          <w:sz w:val="22"/>
          <w:szCs w:val="22"/>
        </w:rPr>
        <w:t xml:space="preserve">f.  </w:t>
      </w:r>
      <w:r>
        <w:rPr>
          <w:rFonts w:eastAsia="Arial" w:cs="Arial"/>
          <w:sz w:val="22"/>
          <w:szCs w:val="22"/>
        </w:rPr>
        <w:t>Working utilities: heat, electricity, hot water — outages exceeding four (4) hours shall be reported to the Program Provider</w:t>
      </w:r>
    </w:p>
    <w:p>
      <w:pPr>
        <w:pStyle w:val="Normal"/>
        <w:spacing w:before="30" w:after="30"/>
        <w:ind w:hanging="360" w:start="720"/>
        <w:rPr/>
      </w:pPr>
      <w:r>
        <w:rPr>
          <w:rFonts w:eastAsia="Arial" w:cs="Arial"/>
          <w:b/>
          <w:bCs/>
          <w:sz w:val="22"/>
          <w:szCs w:val="22"/>
        </w:rPr>
        <w:t xml:space="preserve">g.  </w:t>
      </w:r>
      <w:r>
        <w:rPr>
          <w:rFonts w:eastAsia="Arial" w:cs="Arial"/>
          <w:sz w:val="22"/>
          <w:szCs w:val="22"/>
        </w:rPr>
        <w:t>No unsecured firearms or weapons; compliance with Texas firearm storage laws (Texas Penal Code §46.13 Child Access Prevention if applicable)</w:t>
      </w:r>
    </w:p>
    <w:p>
      <w:pPr>
        <w:pStyle w:val="Normal"/>
        <w:spacing w:before="30" w:after="30"/>
        <w:ind w:hanging="360" w:start="720"/>
        <w:rPr/>
      </w:pPr>
      <w:r>
        <w:rPr>
          <w:rFonts w:eastAsia="Arial" w:cs="Arial"/>
          <w:b/>
          <w:bCs/>
          <w:sz w:val="22"/>
          <w:szCs w:val="22"/>
        </w:rPr>
        <w:t xml:space="preserve">h.  </w:t>
      </w:r>
      <w:r>
        <w:rPr>
          <w:rFonts w:eastAsia="Arial" w:cs="Arial"/>
          <w:sz w:val="22"/>
          <w:szCs w:val="22"/>
        </w:rPr>
        <w:t>All medications in locked storage (Policy 4.00)</w:t>
      </w:r>
    </w:p>
    <w:p>
      <w:pPr>
        <w:pStyle w:val="Normal"/>
        <w:spacing w:before="30" w:after="30"/>
        <w:ind w:hanging="360" w:start="720"/>
        <w:rPr/>
      </w:pPr>
      <w:r>
        <w:rPr>
          <w:rFonts w:eastAsia="Arial" w:cs="Arial"/>
          <w:b/>
          <w:bCs/>
          <w:sz w:val="22"/>
          <w:szCs w:val="22"/>
        </w:rPr>
        <w:t xml:space="preserve">i.  </w:t>
      </w:r>
      <w:r>
        <w:rPr>
          <w:rFonts w:eastAsia="Arial" w:cs="Arial"/>
          <w:sz w:val="22"/>
          <w:szCs w:val="22"/>
        </w:rPr>
        <w:t>All cleaning chemicals, pesticides, and hazardous materials locked and inaccessible to the individual</w:t>
      </w:r>
    </w:p>
    <w:p>
      <w:pPr>
        <w:pStyle w:val="Normal"/>
        <w:spacing w:before="30" w:after="30"/>
        <w:ind w:hanging="360" w:start="720"/>
        <w:rPr/>
      </w:pPr>
      <w:r>
        <w:rPr>
          <w:rFonts w:eastAsia="Arial" w:cs="Arial"/>
          <w:b/>
          <w:bCs/>
          <w:sz w:val="22"/>
          <w:szCs w:val="22"/>
        </w:rPr>
        <w:t xml:space="preserve">j.  </w:t>
      </w:r>
      <w:r>
        <w:rPr>
          <w:rFonts w:eastAsia="Arial" w:cs="Arial"/>
          <w:sz w:val="22"/>
          <w:szCs w:val="22"/>
        </w:rPr>
        <w:t>Pet safety: animals shall not pose a risk to the individual's safety or wellbeing</w:t>
      </w:r>
    </w:p>
    <w:p>
      <w:pPr>
        <w:pStyle w:val="Normal"/>
        <w:spacing w:before="140" w:after="60"/>
        <w:rPr/>
      </w:pPr>
      <w:r>
        <w:rPr>
          <w:rFonts w:eastAsia="Arial" w:cs="Arial"/>
          <w:b/>
          <w:bCs/>
          <w:sz w:val="22"/>
          <w:szCs w:val="22"/>
          <w:u w:val="single"/>
        </w:rPr>
        <w:t>E. Home Maintenance</w:t>
      </w:r>
    </w:p>
    <w:p>
      <w:pPr>
        <w:pStyle w:val="Normal"/>
        <w:spacing w:before="30" w:after="30"/>
        <w:ind w:hanging="360" w:start="720"/>
        <w:rPr/>
      </w:pPr>
      <w:r>
        <w:rPr>
          <w:rFonts w:eastAsia="Arial" w:cs="Arial"/>
          <w:b/>
          <w:bCs/>
          <w:sz w:val="22"/>
          <w:szCs w:val="22"/>
        </w:rPr>
        <w:t xml:space="preserve">a.  </w:t>
      </w:r>
      <w:r>
        <w:rPr>
          <w:rFonts w:eastAsia="Arial" w:cs="Arial"/>
          <w:sz w:val="22"/>
          <w:szCs w:val="22"/>
        </w:rPr>
        <w:t>[HH/CC Provider Name] shall conduct a monthly visual safety walkthrough and document findings in the Home Safety Log.</w:t>
      </w:r>
    </w:p>
    <w:p>
      <w:pPr>
        <w:pStyle w:val="Normal"/>
        <w:spacing w:before="30" w:after="30"/>
        <w:ind w:hanging="360" w:start="720"/>
        <w:rPr/>
      </w:pPr>
      <w:r>
        <w:rPr>
          <w:rFonts w:eastAsia="Arial" w:cs="Arial"/>
          <w:b/>
          <w:bCs/>
          <w:sz w:val="22"/>
          <w:szCs w:val="22"/>
        </w:rPr>
        <w:t xml:space="preserve">b.  </w:t>
      </w:r>
      <w:r>
        <w:rPr>
          <w:rFonts w:eastAsia="Arial" w:cs="Arial"/>
          <w:sz w:val="22"/>
          <w:szCs w:val="22"/>
        </w:rPr>
        <w:t>Immediate safety hazards shall be addressed within twenty-four (24) hours or the Program Provider shall be notified.</w:t>
      </w:r>
    </w:p>
    <w:p>
      <w:pPr>
        <w:pStyle w:val="Normal"/>
        <w:spacing w:before="30" w:after="30"/>
        <w:ind w:hanging="360" w:start="720"/>
        <w:rPr/>
      </w:pPr>
      <w:r>
        <w:rPr>
          <w:rFonts w:eastAsia="Arial" w:cs="Arial"/>
          <w:b/>
          <w:bCs/>
          <w:sz w:val="22"/>
          <w:szCs w:val="22"/>
        </w:rPr>
        <w:t xml:space="preserve">c.  </w:t>
      </w:r>
      <w:r>
        <w:rPr>
          <w:rFonts w:eastAsia="Arial" w:cs="Arial"/>
          <w:sz w:val="22"/>
          <w:szCs w:val="22"/>
        </w:rPr>
        <w:t>Non-urgent maintenance issues shall be addressed within thirty (30) days.</w:t>
      </w:r>
    </w:p>
    <w:p>
      <w:pPr>
        <w:pStyle w:val="Normal"/>
        <w:spacing w:before="140" w:after="60"/>
        <w:rPr/>
      </w:pPr>
      <w:r>
        <w:rPr>
          <w:rFonts w:eastAsia="Arial" w:cs="Arial"/>
          <w:b/>
          <w:bCs/>
          <w:sz w:val="22"/>
          <w:szCs w:val="22"/>
          <w:u w:val="single"/>
        </w:rPr>
        <w:t>F. Program Provider Home Monitoring</w:t>
      </w:r>
    </w:p>
    <w:p>
      <w:pPr>
        <w:pStyle w:val="Normal"/>
        <w:spacing w:before="30" w:after="30"/>
        <w:ind w:hanging="360" w:start="720"/>
        <w:rPr/>
      </w:pPr>
      <w:r>
        <w:rPr>
          <w:rFonts w:eastAsia="Arial" w:cs="Arial"/>
          <w:b/>
          <w:bCs/>
          <w:sz w:val="22"/>
          <w:szCs w:val="22"/>
        </w:rPr>
        <w:t xml:space="preserve">a.  </w:t>
      </w:r>
      <w:r>
        <w:rPr>
          <w:rFonts w:eastAsia="Arial" w:cs="Arial"/>
          <w:sz w:val="22"/>
          <w:szCs w:val="22"/>
        </w:rPr>
        <w:t>The Program Provider conducts monitoring visits of the HH/CC home per HHSC HCS Program requirements. [HH/CC Provider Name] shall cooperate fully with all monitoring visits.</w:t>
      </w:r>
    </w:p>
    <w:p>
      <w:pPr>
        <w:pStyle w:val="Normal"/>
        <w:spacing w:before="30" w:after="30"/>
        <w:ind w:hanging="360" w:start="720"/>
        <w:rPr/>
      </w:pPr>
      <w:r>
        <w:rPr>
          <w:rFonts w:eastAsia="Arial" w:cs="Arial"/>
          <w:b/>
          <w:bCs/>
          <w:sz w:val="22"/>
          <w:szCs w:val="22"/>
        </w:rPr>
        <w:t xml:space="preserve">b.  </w:t>
      </w:r>
      <w:r>
        <w:rPr>
          <w:rFonts w:eastAsia="Arial" w:cs="Arial"/>
          <w:sz w:val="22"/>
          <w:szCs w:val="22"/>
        </w:rPr>
        <w:t>Any monitoring visit finding shall be addressed within the timeframe specified by the Program Provider. Failure to address findings may result in suspension of the provider agreement.</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Monthly Home Safety Log</w:t>
      </w:r>
    </w:p>
    <w:p>
      <w:pPr>
        <w:pStyle w:val="ListParagraph"/>
        <w:numPr>
          <w:ilvl w:val="0"/>
          <w:numId w:val="1"/>
        </w:numPr>
        <w:spacing w:before="30" w:after="30"/>
        <w:rPr/>
      </w:pPr>
      <w:r>
        <w:rPr>
          <w:rFonts w:eastAsia="Arial" w:cs="Arial"/>
          <w:sz w:val="22"/>
          <w:szCs w:val="22"/>
        </w:rPr>
        <w:t>Program Provider Home Monitoring Records</w:t>
      </w:r>
    </w:p>
    <w:p>
      <w:pPr>
        <w:pStyle w:val="ListParagraph"/>
        <w:numPr>
          <w:ilvl w:val="0"/>
          <w:numId w:val="1"/>
        </w:numPr>
        <w:spacing w:before="30" w:after="30"/>
        <w:rPr/>
      </w:pPr>
      <w:r>
        <w:rPr>
          <w:rFonts w:eastAsia="Arial" w:cs="Arial"/>
          <w:sz w:val="22"/>
          <w:szCs w:val="22"/>
        </w:rPr>
        <w:t>Emergency Preparedness &amp; Evacuation Diagram (Policy 5.01)</w:t>
      </w:r>
    </w:p>
    <w:p>
      <w:pPr>
        <w:pStyle w:val="ListParagraph"/>
        <w:numPr>
          <w:ilvl w:val="0"/>
          <w:numId w:val="1"/>
        </w:numPr>
        <w:spacing w:before="30" w:after="30"/>
        <w:rPr/>
      </w:pPr>
      <w:r>
        <w:rPr>
          <w:rFonts w:eastAsia="Arial" w:cs="Arial"/>
          <w:sz w:val="22"/>
          <w:szCs w:val="22"/>
        </w:rPr>
        <w:t>Maintenance Request Documentation</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[HH/CC Provider / Administrator]</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[HH/CC Provider / Administrator]</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[HH/CC Provider / Administrator]</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#2.04: Substitute Caregivers &amp; Respite Staff — Management &amp; Documentation</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Provider Operations</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2.04</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26 TAC Ch. 263 &amp; 565 (HCS Program Rules); 26 TAC Ch. 561 (Background Checks); Texas H&amp;S Code Ch. 250 &amp; 253; Program Provider Agreement</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[HH/CC Provider Name]</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define the standards for recruiting, background-clearing, training, and managing Substitute Caregivers and respite staff who provide temporary coverage in this HH/CC home when [HH/CC Provider Name] is absent.</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[HH/CC Provider Name] takes full responsibility for the quality and safety of care during substitute coverage. All Substitute Caregivers must complete all three required Texas background clearances and receive Program Provider approval before providing any care in this home. [HH/CC Provider Name] shall maintain current records for all approved Substitute Caregivers.</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Recruiting and Clearing Substitute Caregivers</w:t>
      </w:r>
    </w:p>
    <w:p>
      <w:pPr>
        <w:pStyle w:val="Normal"/>
        <w:spacing w:before="30" w:after="30"/>
        <w:ind w:hanging="360" w:start="720"/>
        <w:rPr/>
      </w:pPr>
      <w:r>
        <w:rPr>
          <w:rFonts w:eastAsia="Arial" w:cs="Arial"/>
          <w:b/>
          <w:bCs/>
          <w:sz w:val="22"/>
          <w:szCs w:val="22"/>
        </w:rPr>
        <w:t xml:space="preserve">a.  </w:t>
      </w:r>
      <w:r>
        <w:rPr>
          <w:rFonts w:eastAsia="Arial" w:cs="Arial"/>
          <w:sz w:val="22"/>
          <w:szCs w:val="22"/>
        </w:rPr>
        <w:t>[HH/CC Provider Name] may recruit Substitute Caregivers from personal networks or through the Program Provider's network.</w:t>
      </w:r>
    </w:p>
    <w:p>
      <w:pPr>
        <w:pStyle w:val="Normal"/>
        <w:spacing w:before="30" w:after="30"/>
        <w:ind w:hanging="360" w:start="720"/>
        <w:rPr/>
      </w:pPr>
      <w:r>
        <w:rPr>
          <w:rFonts w:eastAsia="Arial" w:cs="Arial"/>
          <w:b/>
          <w:bCs/>
          <w:sz w:val="22"/>
          <w:szCs w:val="22"/>
        </w:rPr>
        <w:t xml:space="preserve">b.  </w:t>
      </w:r>
      <w:r>
        <w:rPr>
          <w:rFonts w:eastAsia="Arial" w:cs="Arial"/>
          <w:sz w:val="22"/>
          <w:szCs w:val="22"/>
        </w:rPr>
        <w:t>Before approval, each prospective Substitute Caregiver must complete all three Texas background clearances through TULIP: DPS criminal history check, EMR search, and NAR search. No Substitute Caregiver shall provide care until all three clearances are confirmed with no disqualifying findings.</w:t>
      </w:r>
    </w:p>
    <w:p>
      <w:pPr>
        <w:pStyle w:val="Normal"/>
        <w:spacing w:before="30" w:after="30"/>
        <w:ind w:hanging="360" w:start="720"/>
        <w:rPr/>
      </w:pPr>
      <w:r>
        <w:rPr>
          <w:rFonts w:eastAsia="Arial" w:cs="Arial"/>
          <w:b/>
          <w:bCs/>
          <w:sz w:val="22"/>
          <w:szCs w:val="22"/>
        </w:rPr>
        <w:t xml:space="preserve">c.  </w:t>
      </w:r>
      <w:r>
        <w:rPr>
          <w:rFonts w:eastAsia="Arial" w:cs="Arial"/>
          <w:sz w:val="22"/>
          <w:szCs w:val="22"/>
        </w:rPr>
        <w:t>TULIP clearance confirmation shall be obtained in writing and documented before the Substitute Caregiver's first coverage period.</w:t>
      </w:r>
    </w:p>
    <w:p>
      <w:pPr>
        <w:pStyle w:val="Normal"/>
        <w:spacing w:before="140" w:after="60"/>
        <w:rPr/>
      </w:pPr>
      <w:r>
        <w:rPr>
          <w:rFonts w:eastAsia="Arial" w:cs="Arial"/>
          <w:b/>
          <w:bCs/>
          <w:sz w:val="22"/>
          <w:szCs w:val="22"/>
          <w:u w:val="single"/>
        </w:rPr>
        <w:t>B. Substitute Caregiver Documentation Requirements</w:t>
      </w:r>
    </w:p>
    <w:p>
      <w:pPr>
        <w:pStyle w:val="Normal"/>
        <w:spacing w:before="40" w:after="60"/>
        <w:rPr/>
      </w:pPr>
      <w:r>
        <w:rPr>
          <w:rFonts w:eastAsia="Arial" w:cs="Arial"/>
          <w:sz w:val="22"/>
          <w:szCs w:val="22"/>
        </w:rPr>
        <w:t>For each approved Substitute Caregiver, [HH/CC Provider Name] shall maintain on file:</w:t>
      </w:r>
    </w:p>
    <w:p>
      <w:pPr>
        <w:pStyle w:val="ListParagraph"/>
        <w:numPr>
          <w:ilvl w:val="0"/>
          <w:numId w:val="1"/>
        </w:numPr>
        <w:spacing w:before="30" w:after="30"/>
        <w:rPr/>
      </w:pPr>
      <w:r>
        <w:rPr>
          <w:rFonts w:eastAsia="Arial" w:cs="Arial"/>
          <w:sz w:val="22"/>
          <w:szCs w:val="22"/>
        </w:rPr>
        <w:t>Full name, address, phone number, and emergency contact</w:t>
      </w:r>
    </w:p>
    <w:p>
      <w:pPr>
        <w:pStyle w:val="ListParagraph"/>
        <w:numPr>
          <w:ilvl w:val="0"/>
          <w:numId w:val="1"/>
        </w:numPr>
        <w:spacing w:before="30" w:after="30"/>
        <w:rPr/>
      </w:pPr>
      <w:r>
        <w:rPr>
          <w:rFonts w:eastAsia="Arial" w:cs="Arial"/>
          <w:sz w:val="22"/>
          <w:szCs w:val="22"/>
        </w:rPr>
        <w:t>TULIP clearance confirmations for DPS, EMR, and NAR (with dates)</w:t>
      </w:r>
    </w:p>
    <w:p>
      <w:pPr>
        <w:pStyle w:val="ListParagraph"/>
        <w:numPr>
          <w:ilvl w:val="0"/>
          <w:numId w:val="1"/>
        </w:numPr>
        <w:spacing w:before="30" w:after="30"/>
        <w:rPr/>
      </w:pPr>
      <w:r>
        <w:rPr>
          <w:rFonts w:eastAsia="Arial" w:cs="Arial"/>
          <w:sz w:val="22"/>
          <w:szCs w:val="22"/>
        </w:rPr>
        <w:t>Annual EMR/NAR renewal confirmation dates</w:t>
      </w:r>
    </w:p>
    <w:p>
      <w:pPr>
        <w:pStyle w:val="ListParagraph"/>
        <w:numPr>
          <w:ilvl w:val="0"/>
          <w:numId w:val="1"/>
        </w:numPr>
        <w:spacing w:before="30" w:after="30"/>
        <w:rPr/>
      </w:pPr>
      <w:r>
        <w:rPr>
          <w:rFonts w:eastAsia="Arial" w:cs="Arial"/>
          <w:sz w:val="22"/>
          <w:szCs w:val="22"/>
        </w:rPr>
        <w:t>HHSC-approved medication administration certificate (if they will administer medications)</w:t>
      </w:r>
    </w:p>
    <w:p>
      <w:pPr>
        <w:pStyle w:val="ListParagraph"/>
        <w:numPr>
          <w:ilvl w:val="0"/>
          <w:numId w:val="1"/>
        </w:numPr>
        <w:spacing w:before="30" w:after="30"/>
        <w:rPr/>
      </w:pPr>
      <w:r>
        <w:rPr>
          <w:rFonts w:eastAsia="Arial" w:cs="Arial"/>
          <w:sz w:val="22"/>
          <w:szCs w:val="22"/>
        </w:rPr>
        <w:t>Current First Aid/CPR certification</w:t>
      </w:r>
    </w:p>
    <w:p>
      <w:pPr>
        <w:pStyle w:val="ListParagraph"/>
        <w:numPr>
          <w:ilvl w:val="0"/>
          <w:numId w:val="1"/>
        </w:numPr>
        <w:spacing w:before="30" w:after="30"/>
        <w:rPr/>
      </w:pPr>
      <w:r>
        <w:rPr>
          <w:rFonts w:eastAsia="Arial" w:cs="Arial"/>
          <w:sz w:val="22"/>
          <w:szCs w:val="22"/>
        </w:rPr>
        <w:t>Signed confidentiality acknowledgment</w:t>
      </w:r>
    </w:p>
    <w:p>
      <w:pPr>
        <w:pStyle w:val="ListParagraph"/>
        <w:numPr>
          <w:ilvl w:val="0"/>
          <w:numId w:val="1"/>
        </w:numPr>
        <w:spacing w:before="30" w:after="30"/>
        <w:rPr/>
      </w:pPr>
      <w:r>
        <w:rPr>
          <w:rFonts w:eastAsia="Arial" w:cs="Arial"/>
          <w:sz w:val="22"/>
          <w:szCs w:val="22"/>
        </w:rPr>
        <w:t>Completed person-specific orientation checklist</w:t>
      </w:r>
    </w:p>
    <w:p>
      <w:pPr>
        <w:pStyle w:val="Normal"/>
        <w:spacing w:before="140" w:after="60"/>
        <w:rPr/>
      </w:pPr>
      <w:r>
        <w:rPr>
          <w:rFonts w:eastAsia="Arial" w:cs="Arial"/>
          <w:b/>
          <w:bCs/>
          <w:sz w:val="22"/>
          <w:szCs w:val="22"/>
          <w:u w:val="single"/>
        </w:rPr>
        <w:t>C. Substitute Caregiver Orientation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Before their first coverage period, [HH/CC Provider Name] shall orient each approved Substitute Caregiver in person on: the individual's IPC/IP and daily routine, behavioral support strategies, medication procedures, emergency contacts and protocols, and the home's safety features and evacuation plan.</w:t>
      </w:r>
    </w:p>
    <w:p>
      <w:pPr>
        <w:pStyle w:val="Normal"/>
        <w:spacing w:before="30" w:after="30"/>
        <w:ind w:hanging="360" w:start="720"/>
        <w:rPr/>
      </w:pPr>
      <w:r>
        <w:rPr>
          <w:rFonts w:eastAsia="Arial" w:cs="Arial"/>
          <w:b/>
          <w:bCs/>
          <w:sz w:val="22"/>
          <w:szCs w:val="22"/>
        </w:rPr>
        <w:t xml:space="preserve">b.  </w:t>
      </w:r>
      <w:r>
        <w:rPr>
          <w:rFonts w:eastAsia="Arial" w:cs="Arial"/>
          <w:sz w:val="22"/>
          <w:szCs w:val="22"/>
        </w:rPr>
        <w:t>Orientation shall be documented on the Substitute Caregiver Orientation Record, signed by both parties.</w:t>
      </w:r>
    </w:p>
    <w:p>
      <w:pPr>
        <w:pStyle w:val="Normal"/>
        <w:spacing w:before="140" w:after="60"/>
        <w:rPr/>
      </w:pPr>
      <w:r>
        <w:rPr>
          <w:rFonts w:eastAsia="Arial" w:cs="Arial"/>
          <w:b/>
          <w:bCs/>
          <w:sz w:val="22"/>
          <w:szCs w:val="22"/>
          <w:u w:val="single"/>
        </w:rPr>
        <w:t>D. Scheduling and Documentation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[HH/CC Provider Name] shall notify the Program Provider of all Substitute Caregiver coverage per Policy 1.04.</w:t>
      </w:r>
    </w:p>
    <w:p>
      <w:pPr>
        <w:pStyle w:val="Normal"/>
        <w:spacing w:before="30" w:after="30"/>
        <w:ind w:hanging="360" w:start="720"/>
        <w:rPr/>
      </w:pPr>
      <w:r>
        <w:rPr>
          <w:rFonts w:eastAsia="Arial" w:cs="Arial"/>
          <w:b/>
          <w:bCs/>
          <w:sz w:val="22"/>
          <w:szCs w:val="22"/>
        </w:rPr>
        <w:t xml:space="preserve">b.  </w:t>
      </w:r>
      <w:r>
        <w:rPr>
          <w:rFonts w:eastAsia="Arial" w:cs="Arial"/>
          <w:sz w:val="22"/>
          <w:szCs w:val="22"/>
        </w:rPr>
        <w:t>Each coverage period shall be documented in the Home Communication Log.</w:t>
      </w:r>
    </w:p>
    <w:p>
      <w:pPr>
        <w:pStyle w:val="Normal"/>
        <w:spacing w:before="30" w:after="30"/>
        <w:ind w:hanging="360" w:start="720"/>
        <w:rPr/>
      </w:pPr>
      <w:r>
        <w:rPr>
          <w:rFonts w:eastAsia="Arial" w:cs="Arial"/>
          <w:b/>
          <w:bCs/>
          <w:sz w:val="22"/>
          <w:szCs w:val="22"/>
        </w:rPr>
        <w:t xml:space="preserve">c.  </w:t>
      </w:r>
      <w:r>
        <w:rPr>
          <w:rFonts w:eastAsia="Arial" w:cs="Arial"/>
          <w:sz w:val="22"/>
          <w:szCs w:val="22"/>
        </w:rPr>
        <w:t>Any incident during coverage shall be reported per Policy 5.00 and to the Program Provider immediately.</w:t>
      </w:r>
    </w:p>
    <w:p>
      <w:pPr>
        <w:pStyle w:val="Normal"/>
        <w:spacing w:before="140" w:after="60"/>
        <w:rPr/>
      </w:pPr>
      <w:r>
        <w:rPr>
          <w:rFonts w:eastAsia="Arial" w:cs="Arial"/>
          <w:b/>
          <w:bCs/>
          <w:sz w:val="22"/>
          <w:szCs w:val="22"/>
          <w:u w:val="single"/>
        </w:rPr>
        <w:t>E. Annual Clearance Renewal</w:t>
      </w:r>
    </w:p>
    <w:p>
      <w:pPr>
        <w:pStyle w:val="Normal"/>
        <w:spacing w:before="30" w:after="30"/>
        <w:ind w:hanging="360" w:start="720"/>
        <w:rPr/>
      </w:pPr>
      <w:r>
        <w:rPr>
          <w:rFonts w:eastAsia="Arial" w:cs="Arial"/>
          <w:b/>
          <w:bCs/>
          <w:sz w:val="22"/>
          <w:szCs w:val="22"/>
        </w:rPr>
        <w:t xml:space="preserve">a.  </w:t>
      </w:r>
      <w:r>
        <w:rPr>
          <w:rFonts w:eastAsia="Arial" w:cs="Arial"/>
          <w:sz w:val="22"/>
          <w:szCs w:val="22"/>
        </w:rPr>
        <w:t>[HH/CC Provider Name] shall track the annual EMR and NAR renewal dates for all approved Substitute Caregivers and initiate renewals through TULIP at least thirty (30) days before expiration.</w:t>
      </w:r>
    </w:p>
    <w:p>
      <w:pPr>
        <w:pStyle w:val="Normal"/>
        <w:spacing w:before="30" w:after="30"/>
        <w:ind w:hanging="360" w:start="720"/>
        <w:rPr/>
      </w:pPr>
      <w:r>
        <w:rPr>
          <w:rFonts w:eastAsia="Arial" w:cs="Arial"/>
          <w:b/>
          <w:bCs/>
          <w:sz w:val="22"/>
          <w:szCs w:val="22"/>
        </w:rPr>
        <w:t xml:space="preserve">b.  </w:t>
      </w:r>
      <w:r>
        <w:rPr>
          <w:rFonts w:eastAsia="Arial" w:cs="Arial"/>
          <w:sz w:val="22"/>
          <w:szCs w:val="22"/>
        </w:rPr>
        <w:t>A Substitute Caregiver with expired EMR or NAR clearance shall not provide coverage until renewal is confirmed. [HH/CC Provider Name] shall notify the Program Provider if a Substitute Caregiver's clearance lapses.</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Approved Substitute Caregiver List</w:t>
      </w:r>
    </w:p>
    <w:p>
      <w:pPr>
        <w:pStyle w:val="ListParagraph"/>
        <w:numPr>
          <w:ilvl w:val="0"/>
          <w:numId w:val="1"/>
        </w:numPr>
        <w:spacing w:before="30" w:after="30"/>
        <w:rPr/>
      </w:pPr>
      <w:r>
        <w:rPr>
          <w:rFonts w:eastAsia="Arial" w:cs="Arial"/>
          <w:sz w:val="22"/>
          <w:szCs w:val="22"/>
        </w:rPr>
        <w:t>TULIP Clearance Confirmation — DPS, EMR, NAR (per caregiver)</w:t>
      </w:r>
    </w:p>
    <w:p>
      <w:pPr>
        <w:pStyle w:val="ListParagraph"/>
        <w:numPr>
          <w:ilvl w:val="0"/>
          <w:numId w:val="1"/>
        </w:numPr>
        <w:spacing w:before="30" w:after="30"/>
        <w:rPr/>
      </w:pPr>
      <w:r>
        <w:rPr>
          <w:rFonts w:eastAsia="Arial" w:cs="Arial"/>
          <w:sz w:val="22"/>
          <w:szCs w:val="22"/>
        </w:rPr>
        <w:t>Substitute Caregiver Orientation Record</w:t>
      </w:r>
    </w:p>
    <w:p>
      <w:pPr>
        <w:pStyle w:val="ListParagraph"/>
        <w:numPr>
          <w:ilvl w:val="0"/>
          <w:numId w:val="1"/>
        </w:numPr>
        <w:spacing w:before="30" w:after="30"/>
        <w:rPr/>
      </w:pPr>
      <w:r>
        <w:rPr>
          <w:rFonts w:eastAsia="Arial" w:cs="Arial"/>
          <w:sz w:val="22"/>
          <w:szCs w:val="22"/>
        </w:rPr>
        <w:t>Home Communication Log</w:t>
      </w:r>
    </w:p>
    <w:p>
      <w:pPr>
        <w:pStyle w:val="ListParagraph"/>
        <w:numPr>
          <w:ilvl w:val="0"/>
          <w:numId w:val="1"/>
        </w:numPr>
        <w:spacing w:before="30" w:after="30"/>
        <w:rPr/>
      </w:pPr>
      <w:r>
        <w:rPr>
          <w:rFonts w:eastAsia="Arial" w:cs="Arial"/>
          <w:sz w:val="22"/>
          <w:szCs w:val="22"/>
        </w:rPr>
        <w:t>Incident Report Form (Policy 5.00)</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[HH/CC Provider / Administrator]</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[HH/CC Provider / Administrator]</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[HH/CC Provider / Administrator]</w:t>
            </w:r>
          </w:p>
        </w:tc>
      </w:tr>
    </w:tbl>
    <w:p>
      <w:pPr>
        <w:pStyle w:val="Normal"/>
        <w:rPr/>
      </w:pPr>
      <w:r>
        <w:rPr/>
        <w:br/>
      </w:r>
    </w:p>
    <w:p>
      <w:pPr>
        <w:pStyle w:val="Normal"/>
        <w:shd w:val="clear" w:fill="1F3864"/>
        <w:spacing w:before="0" w:after="0"/>
        <w:jc w:val="center"/>
        <w:rPr/>
      </w:pPr>
      <w:r>
        <w:rPr>
          <w:rFonts w:eastAsia="Arial" w:cs="Arial"/>
          <w:b/>
          <w:bCs/>
          <w:color w:val="FFFFFF"/>
          <w:sz w:val="32"/>
          <w:szCs w:val="32"/>
        </w:rPr>
        <w:t>SECTION C: CARE, TREATMENT &amp; SUPPORT SERVICES</w:t>
      </w:r>
    </w:p>
    <w:p>
      <w:pPr>
        <w:pStyle w:val="Normal"/>
        <w:spacing w:before="0" w:after="200"/>
        <w:rPr/>
      </w:pPr>
      <w:r>
        <w:rP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#3.00: Person-Centered Planning, Assessment &amp; ISP Implementation</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Care Services</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3.00</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42 CFR 441.301 (HCBS Settings Final Rule); CTS.01–CTS.04 (JC Care, Treatment &amp; Services); State HCBS Waiver Requirements; Individual Support Plan / Person-Centered Plan</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[Provider Name /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ensure that every individual served receives supports and services based on a documented, current, person-centered plan (PCP/ISP) that reflects their assessed needs, preferences, goals, and strengths; that assessments are comprehensive and regularly updated; and that all services are implemented consistently and monitored for effectiveness.</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All services shall be guided by the individual's current ISP/PCP. Assessments shall be completed prior to service initiation and updated as required. Staff shall implement the plan consistently and document progress. The Provider/Administrator shall ensure that plan requirements are communicated to all involved staff.</w:t>
      </w:r>
    </w:p>
    <w:p>
      <w:pPr>
        <w:pStyle w:val="Normal"/>
        <w:spacing w:before="120" w:after="40"/>
        <w:rPr/>
      </w:pPr>
      <w:r>
        <w:rPr>
          <w:rFonts w:eastAsia="Arial" w:cs="Arial"/>
          <w:b/>
          <w:bCs/>
          <w:color w:val="2E5DA8"/>
          <w:sz w:val="22"/>
          <w:szCs w:val="22"/>
        </w:rPr>
        <w:t>DEFINITIONS</w:t>
      </w:r>
    </w:p>
    <w:p>
      <w:pPr>
        <w:pStyle w:val="ListParagraph"/>
        <w:numPr>
          <w:ilvl w:val="0"/>
          <w:numId w:val="1"/>
        </w:numPr>
        <w:spacing w:before="30" w:after="30"/>
        <w:rPr/>
      </w:pPr>
      <w:r>
        <w:rPr>
          <w:rFonts w:eastAsia="Arial" w:cs="Arial"/>
          <w:sz w:val="22"/>
          <w:szCs w:val="22"/>
        </w:rPr>
        <w:t>Person-Centered Plan (PCP) / Individual Support Plan (ISP): The written, interdisciplinary plan that identifies the individual's needs, goals, preferences, and the services and supports to be provided.</w:t>
      </w:r>
    </w:p>
    <w:p>
      <w:pPr>
        <w:pStyle w:val="ListParagraph"/>
        <w:numPr>
          <w:ilvl w:val="0"/>
          <w:numId w:val="1"/>
        </w:numPr>
        <w:spacing w:before="30" w:after="30"/>
        <w:rPr/>
      </w:pPr>
      <w:r>
        <w:rPr>
          <w:rFonts w:eastAsia="Arial" w:cs="Arial"/>
          <w:sz w:val="22"/>
          <w:szCs w:val="22"/>
        </w:rPr>
        <w:t>Assessment: A systematic process of gathering information about the individual's functional abilities, health status, behavioral needs, preferences, and risks, used to develop and update the care plan.</w:t>
      </w:r>
    </w:p>
    <w:p>
      <w:pPr>
        <w:pStyle w:val="ListParagraph"/>
        <w:numPr>
          <w:ilvl w:val="0"/>
          <w:numId w:val="1"/>
        </w:numPr>
        <w:spacing w:before="30" w:after="30"/>
        <w:rPr/>
      </w:pPr>
      <w:r>
        <w:rPr>
          <w:rFonts w:eastAsia="Arial" w:cs="Arial"/>
          <w:sz w:val="22"/>
          <w:szCs w:val="22"/>
        </w:rPr>
        <w:t>Support Coordinator / Case Manager: The designated professional responsible for coordinating the individual's services and facilitating PCP/ISP development and review.</w:t>
      </w:r>
    </w:p>
    <w:p>
      <w:pPr>
        <w:pStyle w:val="ListParagraph"/>
        <w:numPr>
          <w:ilvl w:val="0"/>
          <w:numId w:val="1"/>
        </w:numPr>
        <w:spacing w:before="30" w:after="30"/>
        <w:rPr/>
      </w:pPr>
      <w:r>
        <w:rPr>
          <w:rFonts w:eastAsia="Arial" w:cs="Arial"/>
          <w:sz w:val="22"/>
          <w:szCs w:val="22"/>
        </w:rPr>
        <w:t>Interdisciplinary Team (IDT): The group of individuals, including the person served and their chosen supports, involved in planning and reviewing services.</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Assessment Process</w:t>
      </w:r>
    </w:p>
    <w:p>
      <w:pPr>
        <w:pStyle w:val="Normal"/>
        <w:spacing w:before="30" w:after="30"/>
        <w:ind w:hanging="360" w:start="720"/>
        <w:rPr/>
      </w:pPr>
      <w:r>
        <w:rPr>
          <w:rFonts w:eastAsia="Arial" w:cs="Arial"/>
          <w:b/>
          <w:bCs/>
          <w:sz w:val="22"/>
          <w:szCs w:val="22"/>
        </w:rPr>
        <w:t xml:space="preserve">a.  </w:t>
      </w:r>
      <w:r>
        <w:rPr>
          <w:rFonts w:eastAsia="Arial" w:cs="Arial"/>
          <w:sz w:val="22"/>
          <w:szCs w:val="22"/>
        </w:rPr>
        <w:t>A comprehensive initial assessment shall be completed prior to or within seven (7) days of placement, reviewing: functional abilities (ADLs, IADLs), health status and medical needs, behavioral support needs, communication needs, social history and preferences, financial and legal status, risk factors, and support network.</w:t>
      </w:r>
    </w:p>
    <w:p>
      <w:pPr>
        <w:pStyle w:val="Normal"/>
        <w:spacing w:before="30" w:after="30"/>
        <w:ind w:hanging="360" w:start="720"/>
        <w:rPr/>
      </w:pPr>
      <w:r>
        <w:rPr>
          <w:rFonts w:eastAsia="Arial" w:cs="Arial"/>
          <w:b/>
          <w:bCs/>
          <w:sz w:val="22"/>
          <w:szCs w:val="22"/>
        </w:rPr>
        <w:t xml:space="preserve">b.  </w:t>
      </w:r>
      <w:r>
        <w:rPr>
          <w:rFonts w:eastAsia="Arial" w:cs="Arial"/>
          <w:sz w:val="22"/>
          <w:szCs w:val="22"/>
        </w:rPr>
        <w:t>Assessment tools shall be standardized, evidence-based, and appropriate to the individual's age, disability, and cultural background.</w:t>
      </w:r>
    </w:p>
    <w:p>
      <w:pPr>
        <w:pStyle w:val="Normal"/>
        <w:spacing w:before="30" w:after="30"/>
        <w:ind w:hanging="360" w:start="720"/>
        <w:rPr/>
      </w:pPr>
      <w:r>
        <w:rPr>
          <w:rFonts w:eastAsia="Arial" w:cs="Arial"/>
          <w:b/>
          <w:bCs/>
          <w:sz w:val="22"/>
          <w:szCs w:val="22"/>
        </w:rPr>
        <w:t xml:space="preserve">c.  </w:t>
      </w:r>
      <w:r>
        <w:rPr>
          <w:rFonts w:eastAsia="Arial" w:cs="Arial"/>
          <w:sz w:val="22"/>
          <w:szCs w:val="22"/>
        </w:rPr>
        <w:t>Reassessment shall occur: at a minimum annually (at each ISP/PCP review), whenever a significant change in the individual's condition or circumstances is identified, and following any critical incident involving the individual.</w:t>
      </w:r>
    </w:p>
    <w:p>
      <w:pPr>
        <w:pStyle w:val="Normal"/>
        <w:spacing w:before="30" w:after="30"/>
        <w:ind w:hanging="360" w:start="720"/>
        <w:rPr/>
      </w:pPr>
      <w:r>
        <w:rPr>
          <w:rFonts w:eastAsia="Arial" w:cs="Arial"/>
          <w:b/>
          <w:bCs/>
          <w:sz w:val="22"/>
          <w:szCs w:val="22"/>
        </w:rPr>
        <w:t xml:space="preserve">d.  </w:t>
      </w:r>
      <w:r>
        <w:rPr>
          <w:rFonts w:eastAsia="Arial" w:cs="Arial"/>
          <w:sz w:val="22"/>
          <w:szCs w:val="22"/>
        </w:rPr>
        <w:t>All assessments shall be documented, dated, signed by the assessor, and filed in the individual's clinical record within twenty-four (24) hours of completion.</w:t>
      </w:r>
    </w:p>
    <w:p>
      <w:pPr>
        <w:pStyle w:val="Normal"/>
        <w:spacing w:before="140" w:after="60"/>
        <w:rPr/>
      </w:pPr>
      <w:r>
        <w:rPr>
          <w:rFonts w:eastAsia="Arial" w:cs="Arial"/>
          <w:b/>
          <w:bCs/>
          <w:sz w:val="22"/>
          <w:szCs w:val="22"/>
          <w:u w:val="single"/>
        </w:rPr>
        <w:t>B. Person-Centered Plan (PCP / ISP) Development</w:t>
      </w:r>
    </w:p>
    <w:p>
      <w:pPr>
        <w:pStyle w:val="Normal"/>
        <w:spacing w:before="30" w:after="30"/>
        <w:ind w:hanging="360" w:start="720"/>
        <w:rPr/>
      </w:pPr>
      <w:r>
        <w:rPr>
          <w:rFonts w:eastAsia="Arial" w:cs="Arial"/>
          <w:b/>
          <w:bCs/>
          <w:sz w:val="22"/>
          <w:szCs w:val="22"/>
        </w:rPr>
        <w:t xml:space="preserve">a.  </w:t>
      </w:r>
      <w:r>
        <w:rPr>
          <w:rFonts w:eastAsia="Arial" w:cs="Arial"/>
          <w:sz w:val="22"/>
          <w:szCs w:val="22"/>
        </w:rPr>
        <w:t>Services shall not be initiated until a current PCP/ISP is in place, or until an interim plan is developed for emergency placements.</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PCP/ISP shall be developed collaboratively with the individual and their chosen supports in a manner that reflects the individual's preferred communication style.</w:t>
      </w:r>
    </w:p>
    <w:p>
      <w:pPr>
        <w:pStyle w:val="Normal"/>
        <w:spacing w:before="30" w:after="30"/>
        <w:ind w:hanging="360" w:start="720"/>
        <w:rPr/>
      </w:pPr>
      <w:r>
        <w:rPr>
          <w:rFonts w:eastAsia="Arial" w:cs="Arial"/>
          <w:b/>
          <w:bCs/>
          <w:sz w:val="22"/>
          <w:szCs w:val="22"/>
        </w:rPr>
        <w:t xml:space="preserve">c.  </w:t>
      </w:r>
      <w:r>
        <w:rPr>
          <w:rFonts w:eastAsia="Arial" w:cs="Arial"/>
          <w:sz w:val="22"/>
          <w:szCs w:val="22"/>
        </w:rPr>
        <w:t>The plan shall include at minimum: identified goals and measurable objectives; specific strategies and interventions; the Provider's responsibilities; frequency and duration of services; behavioral support strategies (if applicable); health and medication management requirements; emergency procedures specific to the individual; and review schedule.</w:t>
      </w:r>
    </w:p>
    <w:p>
      <w:pPr>
        <w:pStyle w:val="Normal"/>
        <w:spacing w:before="30" w:after="30"/>
        <w:ind w:hanging="360" w:start="720"/>
        <w:rPr/>
      </w:pPr>
      <w:r>
        <w:rPr>
          <w:rFonts w:eastAsia="Arial" w:cs="Arial"/>
          <w:b/>
          <w:bCs/>
          <w:sz w:val="22"/>
          <w:szCs w:val="22"/>
        </w:rPr>
        <w:t xml:space="preserve">d.  </w:t>
      </w:r>
      <w:r>
        <w:rPr>
          <w:rFonts w:eastAsia="Arial" w:cs="Arial"/>
          <w:sz w:val="22"/>
          <w:szCs w:val="22"/>
        </w:rPr>
        <w:t>A copy of the current PCP/ISP shall be maintained in the individual's clinical record and accessible to all staff involved in care at all times.</w:t>
      </w:r>
    </w:p>
    <w:p>
      <w:pPr>
        <w:pStyle w:val="Normal"/>
        <w:spacing w:before="140" w:after="60"/>
        <w:rPr/>
      </w:pPr>
      <w:r>
        <w:rPr>
          <w:rFonts w:eastAsia="Arial" w:cs="Arial"/>
          <w:b/>
          <w:bCs/>
          <w:sz w:val="22"/>
          <w:szCs w:val="22"/>
          <w:u w:val="single"/>
        </w:rPr>
        <w:t>C. PCP/ISP Implementation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All staff providing care to the individual shall be briefed on the current PCP/ISP before providing any unsupervised service.</w:t>
      </w:r>
    </w:p>
    <w:p>
      <w:pPr>
        <w:pStyle w:val="Normal"/>
        <w:spacing w:before="30" w:after="30"/>
        <w:ind w:hanging="360" w:start="720"/>
        <w:rPr/>
      </w:pPr>
      <w:r>
        <w:rPr>
          <w:rFonts w:eastAsia="Arial" w:cs="Arial"/>
          <w:b/>
          <w:bCs/>
          <w:sz w:val="22"/>
          <w:szCs w:val="22"/>
        </w:rPr>
        <w:t xml:space="preserve">b.  </w:t>
      </w:r>
      <w:r>
        <w:rPr>
          <w:rFonts w:eastAsia="Arial" w:cs="Arial"/>
          <w:sz w:val="22"/>
          <w:szCs w:val="22"/>
        </w:rPr>
        <w:t>Staff shall implement the plan consistently, using the strategies and interventions documented therein.</w:t>
      </w:r>
    </w:p>
    <w:p>
      <w:pPr>
        <w:pStyle w:val="Normal"/>
        <w:spacing w:before="30" w:after="30"/>
        <w:ind w:hanging="360" w:start="720"/>
        <w:rPr/>
      </w:pPr>
      <w:r>
        <w:rPr>
          <w:rFonts w:eastAsia="Arial" w:cs="Arial"/>
          <w:b/>
          <w:bCs/>
          <w:sz w:val="22"/>
          <w:szCs w:val="22"/>
        </w:rPr>
        <w:t xml:space="preserve">c.  </w:t>
      </w:r>
      <w:r>
        <w:rPr>
          <w:rFonts w:eastAsia="Arial" w:cs="Arial"/>
          <w:sz w:val="22"/>
          <w:szCs w:val="22"/>
        </w:rPr>
        <w:t>Progress toward goals shall be documented in progress notes at each shift or at the frequency specified in the PCP/ISP.</w:t>
      </w:r>
    </w:p>
    <w:p>
      <w:pPr>
        <w:pStyle w:val="Normal"/>
        <w:spacing w:before="30" w:after="30"/>
        <w:ind w:hanging="360" w:start="720"/>
        <w:rPr/>
      </w:pPr>
      <w:r>
        <w:rPr>
          <w:rFonts w:eastAsia="Arial" w:cs="Arial"/>
          <w:b/>
          <w:bCs/>
          <w:sz w:val="22"/>
          <w:szCs w:val="22"/>
        </w:rPr>
        <w:t xml:space="preserve">d.  </w:t>
      </w:r>
      <w:r>
        <w:rPr>
          <w:rFonts w:eastAsia="Arial" w:cs="Arial"/>
          <w:sz w:val="22"/>
          <w:szCs w:val="22"/>
        </w:rPr>
        <w:t>Any significant change in the individual's condition, goal achievement, or preferences shall be reported to the Administrator and the Support Coordinator/Case Manager within twenty-four (24) hours.</w:t>
      </w:r>
    </w:p>
    <w:p>
      <w:pPr>
        <w:pStyle w:val="Normal"/>
        <w:spacing w:before="140" w:after="60"/>
        <w:rPr/>
      </w:pPr>
      <w:r>
        <w:rPr>
          <w:rFonts w:eastAsia="Arial" w:cs="Arial"/>
          <w:b/>
          <w:bCs/>
          <w:sz w:val="22"/>
          <w:szCs w:val="22"/>
          <w:u w:val="single"/>
        </w:rPr>
        <w:t>D. Plan Review and Revision</w:t>
      </w:r>
    </w:p>
    <w:p>
      <w:pPr>
        <w:pStyle w:val="Normal"/>
        <w:spacing w:before="30" w:after="30"/>
        <w:ind w:hanging="360" w:start="720"/>
        <w:rPr/>
      </w:pPr>
      <w:r>
        <w:rPr>
          <w:rFonts w:eastAsia="Arial" w:cs="Arial"/>
          <w:b/>
          <w:bCs/>
          <w:sz w:val="22"/>
          <w:szCs w:val="22"/>
        </w:rPr>
        <w:t xml:space="preserve">a.  </w:t>
      </w:r>
      <w:r>
        <w:rPr>
          <w:rFonts w:eastAsia="Arial" w:cs="Arial"/>
          <w:sz w:val="22"/>
          <w:szCs w:val="22"/>
        </w:rPr>
        <w:t>The Provider/Administrator shall participate in the annual PCP/ISP review meeting and any interim team meetings.</w:t>
      </w:r>
    </w:p>
    <w:p>
      <w:pPr>
        <w:pStyle w:val="Normal"/>
        <w:spacing w:before="30" w:after="30"/>
        <w:ind w:hanging="360" w:start="720"/>
        <w:rPr/>
      </w:pPr>
      <w:r>
        <w:rPr>
          <w:rFonts w:eastAsia="Arial" w:cs="Arial"/>
          <w:b/>
          <w:bCs/>
          <w:sz w:val="22"/>
          <w:szCs w:val="22"/>
        </w:rPr>
        <w:t xml:space="preserve">b.  </w:t>
      </w:r>
      <w:r>
        <w:rPr>
          <w:rFonts w:eastAsia="Arial" w:cs="Arial"/>
          <w:sz w:val="22"/>
          <w:szCs w:val="22"/>
        </w:rPr>
        <w:t>PCP/ISP updates or revisions shall be communicated to all involved staff within twenty-four (24) hours of receipt.</w:t>
      </w:r>
    </w:p>
    <w:p>
      <w:pPr>
        <w:pStyle w:val="Normal"/>
        <w:spacing w:before="30" w:after="30"/>
        <w:ind w:hanging="360" w:start="720"/>
        <w:rPr/>
      </w:pPr>
      <w:r>
        <w:rPr>
          <w:rFonts w:eastAsia="Arial" w:cs="Arial"/>
          <w:b/>
          <w:bCs/>
          <w:sz w:val="22"/>
          <w:szCs w:val="22"/>
        </w:rPr>
        <w:t xml:space="preserve">c.  </w:t>
      </w:r>
      <w:r>
        <w:rPr>
          <w:rFonts w:eastAsia="Arial" w:cs="Arial"/>
          <w:sz w:val="22"/>
          <w:szCs w:val="22"/>
        </w:rPr>
        <w:t>If the current plan is not meeting the individual's needs, the Provider/Administrator shall request an interim review from the Support Coordinator/Case Manager.</w:t>
      </w:r>
    </w:p>
    <w:p>
      <w:pPr>
        <w:pStyle w:val="Normal"/>
        <w:spacing w:before="140" w:after="60"/>
        <w:rPr/>
      </w:pPr>
      <w:r>
        <w:rPr>
          <w:rFonts w:eastAsia="Arial" w:cs="Arial"/>
          <w:b/>
          <w:bCs/>
          <w:sz w:val="22"/>
          <w:szCs w:val="22"/>
          <w:u w:val="single"/>
        </w:rPr>
        <w:t>E. Individual Participation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Individuals shall be supported to participate meaningfully in all aspects of their own planning, including choice of who participates in their planning meetings.</w:t>
      </w:r>
    </w:p>
    <w:p>
      <w:pPr>
        <w:pStyle w:val="Normal"/>
        <w:spacing w:before="30" w:after="30"/>
        <w:ind w:hanging="360" w:start="720"/>
        <w:rPr/>
      </w:pPr>
      <w:r>
        <w:rPr>
          <w:rFonts w:eastAsia="Arial" w:cs="Arial"/>
          <w:b/>
          <w:bCs/>
          <w:sz w:val="22"/>
          <w:szCs w:val="22"/>
        </w:rPr>
        <w:t xml:space="preserve">b.  </w:t>
      </w:r>
      <w:r>
        <w:rPr>
          <w:rFonts w:eastAsia="Arial" w:cs="Arial"/>
          <w:sz w:val="22"/>
          <w:szCs w:val="22"/>
        </w:rPr>
        <w:t>Staff shall actively advocate for the individual's expressed preferences and goals in all planning forums.</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Initial and Annual Assessment Forms</w:t>
      </w:r>
    </w:p>
    <w:p>
      <w:pPr>
        <w:pStyle w:val="ListParagraph"/>
        <w:numPr>
          <w:ilvl w:val="0"/>
          <w:numId w:val="1"/>
        </w:numPr>
        <w:spacing w:before="30" w:after="30"/>
        <w:rPr/>
      </w:pPr>
      <w:r>
        <w:rPr>
          <w:rFonts w:eastAsia="Arial" w:cs="Arial"/>
          <w:sz w:val="22"/>
          <w:szCs w:val="22"/>
        </w:rPr>
        <w:t>PCP/ISP — maintained in individual's clinical record</w:t>
      </w:r>
    </w:p>
    <w:p>
      <w:pPr>
        <w:pStyle w:val="ListParagraph"/>
        <w:numPr>
          <w:ilvl w:val="0"/>
          <w:numId w:val="1"/>
        </w:numPr>
        <w:spacing w:before="30" w:after="30"/>
        <w:rPr/>
      </w:pPr>
      <w:r>
        <w:rPr>
          <w:rFonts w:eastAsia="Arial" w:cs="Arial"/>
          <w:sz w:val="22"/>
          <w:szCs w:val="22"/>
        </w:rPr>
        <w:t>Progress Note Form</w:t>
      </w:r>
    </w:p>
    <w:p>
      <w:pPr>
        <w:pStyle w:val="ListParagraph"/>
        <w:numPr>
          <w:ilvl w:val="0"/>
          <w:numId w:val="1"/>
        </w:numPr>
        <w:spacing w:before="30" w:after="30"/>
        <w:rPr/>
      </w:pPr>
      <w:r>
        <w:rPr>
          <w:rFonts w:eastAsia="Arial" w:cs="Arial"/>
          <w:sz w:val="22"/>
          <w:szCs w:val="22"/>
        </w:rPr>
        <w:t>PCP/ISP Change Notification Form</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#3.01: Admission, Transition &amp; Discharge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Administration / Care Services</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3.01</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42 CFR 441.301; CTS.06 (JC Transitions of Care); State HCBS Waiver Conditions of Participation</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[Provider Name /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define the process for admitting new individuals, managing planned and emergency transitions between settings, and conducting safe, dignified, and thoroughly documented discharges, in compliance with applicable state HCBS waiver requirements and Joint Commission standards for continuity of care at transitions.</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This Provider shall admit, transition, and discharge individuals in a manner that protects their rights, maintains continuity of care, and ensures all receiving parties have the information needed to continue services safely. Discharges shall never be conducted punitively or without appropriate notice except where immediate safety requires emergency action.</w:t>
      </w:r>
    </w:p>
    <w:p>
      <w:pPr>
        <w:pStyle w:val="Normal"/>
        <w:spacing w:before="120" w:after="40"/>
        <w:rPr/>
      </w:pPr>
      <w:r>
        <w:rPr>
          <w:rFonts w:eastAsia="Arial" w:cs="Arial"/>
          <w:b/>
          <w:bCs/>
          <w:color w:val="2E5DA8"/>
          <w:sz w:val="22"/>
          <w:szCs w:val="22"/>
        </w:rPr>
        <w:t>DEFINITIONS</w:t>
      </w:r>
    </w:p>
    <w:p>
      <w:pPr>
        <w:pStyle w:val="ListParagraph"/>
        <w:numPr>
          <w:ilvl w:val="0"/>
          <w:numId w:val="1"/>
        </w:numPr>
        <w:spacing w:before="30" w:after="30"/>
        <w:rPr/>
      </w:pPr>
      <w:r>
        <w:rPr>
          <w:rFonts w:eastAsia="Arial" w:cs="Arial"/>
          <w:sz w:val="22"/>
          <w:szCs w:val="22"/>
        </w:rPr>
        <w:t>Admission: The formal process of accepting an individual into this residential placement.</w:t>
      </w:r>
    </w:p>
    <w:p>
      <w:pPr>
        <w:pStyle w:val="ListParagraph"/>
        <w:numPr>
          <w:ilvl w:val="0"/>
          <w:numId w:val="1"/>
        </w:numPr>
        <w:spacing w:before="30" w:after="30"/>
        <w:rPr/>
      </w:pPr>
      <w:r>
        <w:rPr>
          <w:rFonts w:eastAsia="Arial" w:cs="Arial"/>
          <w:sz w:val="22"/>
          <w:szCs w:val="22"/>
        </w:rPr>
        <w:t>Transition: Movement of an individual between settings (e.g., from this placement to a hospital, respite, or alternative placement) with the expectation of return or continuation of services.</w:t>
      </w:r>
    </w:p>
    <w:p>
      <w:pPr>
        <w:pStyle w:val="ListParagraph"/>
        <w:numPr>
          <w:ilvl w:val="0"/>
          <w:numId w:val="1"/>
        </w:numPr>
        <w:spacing w:before="30" w:after="30"/>
        <w:rPr/>
      </w:pPr>
      <w:r>
        <w:rPr>
          <w:rFonts w:eastAsia="Arial" w:cs="Arial"/>
          <w:sz w:val="22"/>
          <w:szCs w:val="22"/>
        </w:rPr>
        <w:t>Discharge: The formal end of the individual's placement at this setting.</w:t>
      </w:r>
    </w:p>
    <w:p>
      <w:pPr>
        <w:pStyle w:val="ListParagraph"/>
        <w:numPr>
          <w:ilvl w:val="0"/>
          <w:numId w:val="1"/>
        </w:numPr>
        <w:spacing w:before="30" w:after="30"/>
        <w:rPr/>
      </w:pPr>
      <w:r>
        <w:rPr>
          <w:rFonts w:eastAsia="Arial" w:cs="Arial"/>
          <w:sz w:val="22"/>
          <w:szCs w:val="22"/>
        </w:rPr>
        <w:t>Transition of Care Documentation: The standardized set of information transferred to a receiving provider to ensure continuity and safety of care.</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Admission Process</w:t>
      </w:r>
    </w:p>
    <w:p>
      <w:pPr>
        <w:pStyle w:val="Normal"/>
        <w:spacing w:before="30" w:after="30"/>
        <w:ind w:hanging="360" w:start="720"/>
        <w:rPr/>
      </w:pPr>
      <w:r>
        <w:rPr>
          <w:rFonts w:eastAsia="Arial" w:cs="Arial"/>
          <w:b/>
          <w:bCs/>
          <w:sz w:val="22"/>
          <w:szCs w:val="22"/>
        </w:rPr>
        <w:t xml:space="preserve">a.  </w:t>
      </w:r>
      <w:r>
        <w:rPr>
          <w:rFonts w:eastAsia="Arial" w:cs="Arial"/>
          <w:sz w:val="22"/>
          <w:szCs w:val="22"/>
        </w:rPr>
        <w:t>Prior to admission, the Provider/Administrator shall review the individual's current PCP/ISP, assessments, health history, and support needs to confirm this setting can safely meet those needs.</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individual and/or legal guardian shall receive, review, and sign the Residency/Placement Agreement and all required disclosures prior to or at the time of admission.</w:t>
      </w:r>
    </w:p>
    <w:p>
      <w:pPr>
        <w:pStyle w:val="Normal"/>
        <w:spacing w:before="30" w:after="30"/>
        <w:ind w:hanging="360" w:start="720"/>
        <w:rPr/>
      </w:pPr>
      <w:r>
        <w:rPr>
          <w:rFonts w:eastAsia="Arial" w:cs="Arial"/>
          <w:b/>
          <w:bCs/>
          <w:sz w:val="22"/>
          <w:szCs w:val="22"/>
        </w:rPr>
        <w:t xml:space="preserve">c.  </w:t>
      </w:r>
      <w:r>
        <w:rPr>
          <w:rFonts w:eastAsia="Arial" w:cs="Arial"/>
          <w:sz w:val="22"/>
          <w:szCs w:val="22"/>
        </w:rPr>
        <w:t>Within twenty-four (24) hours of admission, the individual shall receive orientation to: the home/facility, household routines, staff contacts, emergency procedures, and their rights (per Policy 1.00).</w:t>
      </w:r>
    </w:p>
    <w:p>
      <w:pPr>
        <w:pStyle w:val="Normal"/>
        <w:spacing w:before="30" w:after="30"/>
        <w:ind w:hanging="360" w:start="720"/>
        <w:rPr/>
      </w:pPr>
      <w:r>
        <w:rPr>
          <w:rFonts w:eastAsia="Arial" w:cs="Arial"/>
          <w:b/>
          <w:bCs/>
          <w:sz w:val="22"/>
          <w:szCs w:val="22"/>
        </w:rPr>
        <w:t xml:space="preserve">d.  </w:t>
      </w:r>
      <w:r>
        <w:rPr>
          <w:rFonts w:eastAsia="Arial" w:cs="Arial"/>
          <w:sz w:val="22"/>
          <w:szCs w:val="22"/>
        </w:rPr>
        <w:t>A complete admission assessment (Policy 3.00) shall be initiated within twenty-four (24) hours and finalized within seven (7) days.</w:t>
      </w:r>
    </w:p>
    <w:p>
      <w:pPr>
        <w:pStyle w:val="Normal"/>
        <w:spacing w:before="30" w:after="30"/>
        <w:ind w:hanging="360" w:start="720"/>
        <w:rPr/>
      </w:pPr>
      <w:r>
        <w:rPr>
          <w:rFonts w:eastAsia="Arial" w:cs="Arial"/>
          <w:b/>
          <w:bCs/>
          <w:sz w:val="22"/>
          <w:szCs w:val="22"/>
        </w:rPr>
        <w:t xml:space="preserve">e.  </w:t>
      </w:r>
      <w:r>
        <w:rPr>
          <w:rFonts w:eastAsia="Arial" w:cs="Arial"/>
          <w:sz w:val="22"/>
          <w:szCs w:val="22"/>
        </w:rPr>
        <w:t>All admission documentation shall be complete and filed within forty-eight (48) hours.</w:t>
      </w:r>
    </w:p>
    <w:p>
      <w:pPr>
        <w:pStyle w:val="Normal"/>
        <w:spacing w:before="140" w:after="60"/>
        <w:rPr/>
      </w:pPr>
      <w:r>
        <w:rPr>
          <w:rFonts w:eastAsia="Arial" w:cs="Arial"/>
          <w:b/>
          <w:bCs/>
          <w:sz w:val="22"/>
          <w:szCs w:val="22"/>
          <w:u w:val="single"/>
        </w:rPr>
        <w:t>B. Transition Between Settings — Documentation Requirements</w:t>
      </w:r>
    </w:p>
    <w:p>
      <w:pPr>
        <w:pStyle w:val="Normal"/>
        <w:spacing w:before="40" w:after="60"/>
        <w:rPr/>
      </w:pPr>
      <w:r>
        <w:rPr>
          <w:rFonts w:eastAsia="Arial" w:cs="Arial"/>
          <w:sz w:val="22"/>
          <w:szCs w:val="22"/>
        </w:rPr>
        <w:t>When an individual transitions to another setting (hospital, respite, specialized care, alternative placement), the following information shall be transferred to the receiving provider to ensure continuity and safety:</w:t>
      </w:r>
    </w:p>
    <w:p>
      <w:pPr>
        <w:pStyle w:val="Normal"/>
        <w:spacing w:before="30" w:after="30"/>
        <w:ind w:hanging="360" w:start="720"/>
        <w:rPr/>
      </w:pPr>
      <w:r>
        <w:rPr>
          <w:rFonts w:eastAsia="Arial" w:cs="Arial"/>
          <w:b/>
          <w:bCs/>
          <w:sz w:val="22"/>
          <w:szCs w:val="22"/>
        </w:rPr>
        <w:t xml:space="preserve">a.  </w:t>
      </w:r>
      <w:r>
        <w:rPr>
          <w:rFonts w:eastAsia="Arial" w:cs="Arial"/>
          <w:sz w:val="22"/>
          <w:szCs w:val="22"/>
        </w:rPr>
        <w:t>Current PCP/ISP and any active goals</w:t>
      </w:r>
    </w:p>
    <w:p>
      <w:pPr>
        <w:pStyle w:val="Normal"/>
        <w:spacing w:before="30" w:after="30"/>
        <w:ind w:hanging="360" w:start="720"/>
        <w:rPr/>
      </w:pPr>
      <w:r>
        <w:rPr>
          <w:rFonts w:eastAsia="Arial" w:cs="Arial"/>
          <w:b/>
          <w:bCs/>
          <w:sz w:val="22"/>
          <w:szCs w:val="22"/>
        </w:rPr>
        <w:t xml:space="preserve">b.  </w:t>
      </w:r>
      <w:r>
        <w:rPr>
          <w:rFonts w:eastAsia="Arial" w:cs="Arial"/>
          <w:sz w:val="22"/>
          <w:szCs w:val="22"/>
        </w:rPr>
        <w:t>Current medication list with doses, routes, frequencies, and last administration time</w:t>
      </w:r>
    </w:p>
    <w:p>
      <w:pPr>
        <w:pStyle w:val="Normal"/>
        <w:spacing w:before="30" w:after="30"/>
        <w:ind w:hanging="360" w:start="720"/>
        <w:rPr/>
      </w:pPr>
      <w:r>
        <w:rPr>
          <w:rFonts w:eastAsia="Arial" w:cs="Arial"/>
          <w:b/>
          <w:bCs/>
          <w:sz w:val="22"/>
          <w:szCs w:val="22"/>
        </w:rPr>
        <w:t xml:space="preserve">c.  </w:t>
      </w:r>
      <w:r>
        <w:rPr>
          <w:rFonts w:eastAsia="Arial" w:cs="Arial"/>
          <w:sz w:val="22"/>
          <w:szCs w:val="22"/>
        </w:rPr>
        <w:t>Allergy and adverse reaction history</w:t>
      </w:r>
    </w:p>
    <w:p>
      <w:pPr>
        <w:pStyle w:val="Normal"/>
        <w:spacing w:before="30" w:after="30"/>
        <w:ind w:hanging="360" w:start="720"/>
        <w:rPr/>
      </w:pPr>
      <w:r>
        <w:rPr>
          <w:rFonts w:eastAsia="Arial" w:cs="Arial"/>
          <w:b/>
          <w:bCs/>
          <w:sz w:val="22"/>
          <w:szCs w:val="22"/>
        </w:rPr>
        <w:t xml:space="preserve">d.  </w:t>
      </w:r>
      <w:r>
        <w:rPr>
          <w:rFonts w:eastAsia="Arial" w:cs="Arial"/>
          <w:sz w:val="22"/>
          <w:szCs w:val="22"/>
        </w:rPr>
        <w:t>Current health status and recent significant health events</w:t>
      </w:r>
    </w:p>
    <w:p>
      <w:pPr>
        <w:pStyle w:val="Normal"/>
        <w:spacing w:before="30" w:after="30"/>
        <w:ind w:hanging="360" w:start="720"/>
        <w:rPr/>
      </w:pPr>
      <w:r>
        <w:rPr>
          <w:rFonts w:eastAsia="Arial" w:cs="Arial"/>
          <w:b/>
          <w:bCs/>
          <w:sz w:val="22"/>
          <w:szCs w:val="22"/>
        </w:rPr>
        <w:t xml:space="preserve">e.  </w:t>
      </w:r>
      <w:r>
        <w:rPr>
          <w:rFonts w:eastAsia="Arial" w:cs="Arial"/>
          <w:sz w:val="22"/>
          <w:szCs w:val="22"/>
        </w:rPr>
        <w:t>Active behavioral support plan and known triggers/de-escalation strategies (if applicable)</w:t>
      </w:r>
    </w:p>
    <w:p>
      <w:pPr>
        <w:pStyle w:val="Normal"/>
        <w:spacing w:before="30" w:after="30"/>
        <w:ind w:hanging="360" w:start="720"/>
        <w:rPr/>
      </w:pPr>
      <w:r>
        <w:rPr>
          <w:rFonts w:eastAsia="Arial" w:cs="Arial"/>
          <w:b/>
          <w:bCs/>
          <w:sz w:val="22"/>
          <w:szCs w:val="22"/>
        </w:rPr>
        <w:t xml:space="preserve">f.  </w:t>
      </w:r>
      <w:r>
        <w:rPr>
          <w:rFonts w:eastAsia="Arial" w:cs="Arial"/>
          <w:sz w:val="22"/>
          <w:szCs w:val="22"/>
        </w:rPr>
        <w:t>Emergency contacts and legal guardian information</w:t>
      </w:r>
    </w:p>
    <w:p>
      <w:pPr>
        <w:pStyle w:val="Normal"/>
        <w:spacing w:before="30" w:after="30"/>
        <w:ind w:hanging="360" w:start="720"/>
        <w:rPr/>
      </w:pPr>
      <w:r>
        <w:rPr>
          <w:rFonts w:eastAsia="Arial" w:cs="Arial"/>
          <w:b/>
          <w:bCs/>
          <w:sz w:val="22"/>
          <w:szCs w:val="22"/>
        </w:rPr>
        <w:t xml:space="preserve">g.  </w:t>
      </w:r>
      <w:r>
        <w:rPr>
          <w:rFonts w:eastAsia="Arial" w:cs="Arial"/>
          <w:sz w:val="22"/>
          <w:szCs w:val="22"/>
        </w:rPr>
        <w:t>Advance directive status (if applicable)</w:t>
      </w:r>
    </w:p>
    <w:p>
      <w:pPr>
        <w:pStyle w:val="Normal"/>
        <w:spacing w:before="30" w:after="30"/>
        <w:ind w:hanging="360" w:start="720"/>
        <w:rPr/>
      </w:pPr>
      <w:r>
        <w:rPr>
          <w:rFonts w:eastAsia="Arial" w:cs="Arial"/>
          <w:b/>
          <w:bCs/>
          <w:sz w:val="22"/>
          <w:szCs w:val="22"/>
        </w:rPr>
        <w:t xml:space="preserve">h.  </w:t>
      </w:r>
      <w:r>
        <w:rPr>
          <w:rFonts w:eastAsia="Arial" w:cs="Arial"/>
          <w:sz w:val="22"/>
          <w:szCs w:val="22"/>
        </w:rPr>
        <w:t>Insurance/Medicaid/waiver information</w:t>
      </w:r>
    </w:p>
    <w:p>
      <w:pPr>
        <w:pStyle w:val="Normal"/>
        <w:spacing w:before="30" w:after="30"/>
        <w:ind w:hanging="360" w:start="720"/>
        <w:rPr/>
      </w:pPr>
      <w:r>
        <w:rPr>
          <w:rFonts w:eastAsia="Arial" w:cs="Arial"/>
          <w:b/>
          <w:bCs/>
          <w:sz w:val="22"/>
          <w:szCs w:val="22"/>
        </w:rPr>
        <w:t xml:space="preserve">i.  </w:t>
      </w:r>
      <w:r>
        <w:rPr>
          <w:rFonts w:eastAsia="Arial" w:cs="Arial"/>
          <w:sz w:val="22"/>
          <w:szCs w:val="22"/>
        </w:rPr>
        <w:t>Any pending appointments, orders, or follow-up required</w:t>
      </w:r>
    </w:p>
    <w:p>
      <w:pPr>
        <w:pStyle w:val="Normal"/>
        <w:spacing w:before="40" w:after="60"/>
        <w:rPr/>
      </w:pPr>
      <w:r>
        <w:rPr>
          <w:rFonts w:eastAsia="Arial" w:cs="Arial"/>
          <w:sz w:val="22"/>
          <w:szCs w:val="22"/>
        </w:rPr>
        <w:t>The Provider/Administrator shall document what information was transferred, to whom, at what time, and by what method (verbal, written, electronic) for every transition.</w:t>
      </w:r>
    </w:p>
    <w:p>
      <w:pPr>
        <w:pStyle w:val="Normal"/>
        <w:spacing w:before="140" w:after="60"/>
        <w:rPr/>
      </w:pPr>
      <w:r>
        <w:rPr>
          <w:rFonts w:eastAsia="Arial" w:cs="Arial"/>
          <w:b/>
          <w:bCs/>
          <w:sz w:val="22"/>
          <w:szCs w:val="22"/>
          <w:u w:val="single"/>
        </w:rPr>
        <w:t>C. Planned Discharge</w:t>
      </w:r>
    </w:p>
    <w:p>
      <w:pPr>
        <w:pStyle w:val="Normal"/>
        <w:spacing w:before="30" w:after="30"/>
        <w:ind w:hanging="360" w:start="720"/>
        <w:rPr/>
      </w:pPr>
      <w:r>
        <w:rPr>
          <w:rFonts w:eastAsia="Arial" w:cs="Arial"/>
          <w:b/>
          <w:bCs/>
          <w:sz w:val="22"/>
          <w:szCs w:val="22"/>
        </w:rPr>
        <w:t xml:space="preserve">a.  </w:t>
      </w:r>
      <w:r>
        <w:rPr>
          <w:rFonts w:eastAsia="Arial" w:cs="Arial"/>
          <w:sz w:val="22"/>
          <w:szCs w:val="22"/>
        </w:rPr>
        <w:t>When a planned discharge is anticipated, the Provider/Administrator shall coordinate with the Support Coordinator/Case Manager, the individual, and the receiving provider with at least thirty (30) days' notice whenever possible.</w:t>
      </w:r>
    </w:p>
    <w:p>
      <w:pPr>
        <w:pStyle w:val="Normal"/>
        <w:spacing w:before="30" w:after="30"/>
        <w:ind w:hanging="360" w:start="720"/>
        <w:rPr/>
      </w:pPr>
      <w:r>
        <w:rPr>
          <w:rFonts w:eastAsia="Arial" w:cs="Arial"/>
          <w:b/>
          <w:bCs/>
          <w:sz w:val="22"/>
          <w:szCs w:val="22"/>
        </w:rPr>
        <w:t xml:space="preserve">b.  </w:t>
      </w:r>
      <w:r>
        <w:rPr>
          <w:rFonts w:eastAsia="Arial" w:cs="Arial"/>
          <w:sz w:val="22"/>
          <w:szCs w:val="22"/>
        </w:rPr>
        <w:t>All transition of care documentation (subsection B above) shall be provided to the receiving provider no later than forty-eight (48) hours before the transfer date.</w:t>
      </w:r>
    </w:p>
    <w:p>
      <w:pPr>
        <w:pStyle w:val="Normal"/>
        <w:spacing w:before="30" w:after="30"/>
        <w:ind w:hanging="360" w:start="720"/>
        <w:rPr/>
      </w:pPr>
      <w:r>
        <w:rPr>
          <w:rFonts w:eastAsia="Arial" w:cs="Arial"/>
          <w:b/>
          <w:bCs/>
          <w:sz w:val="22"/>
          <w:szCs w:val="22"/>
        </w:rPr>
        <w:t xml:space="preserve">c.  </w:t>
      </w:r>
      <w:r>
        <w:rPr>
          <w:rFonts w:eastAsia="Arial" w:cs="Arial"/>
          <w:sz w:val="22"/>
          <w:szCs w:val="22"/>
        </w:rPr>
        <w:t>Staff shall support the individual throughout the transition to minimize disruption.</w:t>
      </w:r>
    </w:p>
    <w:p>
      <w:pPr>
        <w:pStyle w:val="Normal"/>
        <w:spacing w:before="140" w:after="60"/>
        <w:rPr/>
      </w:pPr>
      <w:r>
        <w:rPr>
          <w:rFonts w:eastAsia="Arial" w:cs="Arial"/>
          <w:b/>
          <w:bCs/>
          <w:sz w:val="22"/>
          <w:szCs w:val="22"/>
          <w:u w:val="single"/>
        </w:rPr>
        <w:t>D. Emergency Discharge</w:t>
      </w:r>
    </w:p>
    <w:p>
      <w:pPr>
        <w:pStyle w:val="Normal"/>
        <w:spacing w:before="40" w:after="60"/>
        <w:rPr/>
      </w:pPr>
      <w:r>
        <w:rPr>
          <w:rFonts w:eastAsia="Arial" w:cs="Arial"/>
          <w:sz w:val="22"/>
          <w:szCs w:val="22"/>
        </w:rPr>
        <w:t>Grounds for emergency involuntary discharge are limited to situations where the individual's needs exceed what can be safely provided here, where the individual's behavior poses a documented imminent danger that cannot be managed in this setting, or where other circumstances documented in the Provider Agreement require immediate action.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Even in emergency discharges, all transition of care documentation shall be transferred to the receiving setting before or at the time of transition.</w:t>
      </w:r>
    </w:p>
    <w:p>
      <w:pPr>
        <w:pStyle w:val="Normal"/>
        <w:spacing w:before="30" w:after="30"/>
        <w:ind w:hanging="360" w:start="720"/>
        <w:rPr/>
      </w:pPr>
      <w:r>
        <w:rPr>
          <w:rFonts w:eastAsia="Arial" w:cs="Arial"/>
          <w:b/>
          <w:bCs/>
          <w:sz w:val="22"/>
          <w:szCs w:val="22"/>
        </w:rPr>
        <w:t xml:space="preserve">b.  </w:t>
      </w:r>
      <w:r>
        <w:rPr>
          <w:rFonts w:eastAsia="Arial" w:cs="Arial"/>
          <w:sz w:val="22"/>
          <w:szCs w:val="22"/>
        </w:rPr>
        <w:t>Emergency discharges shall be reported to the state licensing/waiver authority within the required timeframe (state-specific — see Policy 6.02).</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Residency/Placement Agreement</w:t>
      </w:r>
    </w:p>
    <w:p>
      <w:pPr>
        <w:pStyle w:val="ListParagraph"/>
        <w:numPr>
          <w:ilvl w:val="0"/>
          <w:numId w:val="1"/>
        </w:numPr>
        <w:spacing w:before="30" w:after="30"/>
        <w:rPr/>
      </w:pPr>
      <w:r>
        <w:rPr>
          <w:rFonts w:eastAsia="Arial" w:cs="Arial"/>
          <w:sz w:val="22"/>
          <w:szCs w:val="22"/>
        </w:rPr>
        <w:t>Admission Checklist</w:t>
      </w:r>
    </w:p>
    <w:p>
      <w:pPr>
        <w:pStyle w:val="ListParagraph"/>
        <w:numPr>
          <w:ilvl w:val="0"/>
          <w:numId w:val="1"/>
        </w:numPr>
        <w:spacing w:before="30" w:after="30"/>
        <w:rPr/>
      </w:pPr>
      <w:r>
        <w:rPr>
          <w:rFonts w:eastAsia="Arial" w:cs="Arial"/>
          <w:sz w:val="22"/>
          <w:szCs w:val="22"/>
        </w:rPr>
        <w:t>Transition of Care Documentation Packet</w:t>
      </w:r>
    </w:p>
    <w:p>
      <w:pPr>
        <w:pStyle w:val="ListParagraph"/>
        <w:numPr>
          <w:ilvl w:val="0"/>
          <w:numId w:val="1"/>
        </w:numPr>
        <w:spacing w:before="30" w:after="30"/>
        <w:rPr/>
      </w:pPr>
      <w:r>
        <w:rPr>
          <w:rFonts w:eastAsia="Arial" w:cs="Arial"/>
          <w:sz w:val="22"/>
          <w:szCs w:val="22"/>
        </w:rPr>
        <w:t>Discharge Summary Form</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#3.02: Assessment &amp; Individualized Care Planning</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Clinical / Care Services</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3.02</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CTS.01–CTS.04 (JC Care, Treatment &amp; Services); State HCBS Waiver Assessment Requirements; Functional Assessment Standards</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[Provider Name /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ensure that each individual's care and support needs are assessed comprehensively using standardized tools, that an individualized care plan is developed and maintained in collaboration with the interdisciplinary team, and that both the assessment and care plan are updated whenever the individual's condition changes significantly.</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Care planning at this setting shall be based on thorough, standardized assessments that capture the individual's functional abilities, health status, behavioral needs, preferences, goals, and risks. Assessments are active clinical tools — not intake paperwork — and shall inform every aspect of daily support.</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Initial Assessment</w:t>
      </w:r>
    </w:p>
    <w:p>
      <w:pPr>
        <w:pStyle w:val="Normal"/>
        <w:spacing w:before="30" w:after="30"/>
        <w:ind w:hanging="360" w:start="720"/>
        <w:rPr/>
      </w:pPr>
      <w:r>
        <w:rPr>
          <w:rFonts w:eastAsia="Arial" w:cs="Arial"/>
          <w:b/>
          <w:bCs/>
          <w:sz w:val="22"/>
          <w:szCs w:val="22"/>
        </w:rPr>
        <w:t xml:space="preserve">a.  </w:t>
      </w:r>
      <w:r>
        <w:rPr>
          <w:rFonts w:eastAsia="Arial" w:cs="Arial"/>
          <w:sz w:val="22"/>
          <w:szCs w:val="22"/>
        </w:rPr>
        <w:t>Upon placement, the Provider/Administrator shall review all existing assessments from the referring team, case management agency, and previous providers.</w:t>
      </w:r>
    </w:p>
    <w:p>
      <w:pPr>
        <w:pStyle w:val="Normal"/>
        <w:spacing w:before="30" w:after="30"/>
        <w:ind w:hanging="360" w:start="720"/>
        <w:rPr/>
      </w:pPr>
      <w:r>
        <w:rPr>
          <w:rFonts w:eastAsia="Arial" w:cs="Arial"/>
          <w:b/>
          <w:bCs/>
          <w:sz w:val="22"/>
          <w:szCs w:val="22"/>
        </w:rPr>
        <w:t xml:space="preserve">b.  </w:t>
      </w:r>
      <w:r>
        <w:rPr>
          <w:rFonts w:eastAsia="Arial" w:cs="Arial"/>
          <w:sz w:val="22"/>
          <w:szCs w:val="22"/>
        </w:rPr>
        <w:t>A home/facility-specific functional assessment shall be completed within seven (7) days of placement, documenting observed abilities, routines, preferences, and risk factors specific to this setting.</w:t>
      </w:r>
    </w:p>
    <w:p>
      <w:pPr>
        <w:pStyle w:val="Normal"/>
        <w:spacing w:before="30" w:after="30"/>
        <w:ind w:hanging="360" w:start="720"/>
        <w:rPr/>
      </w:pPr>
      <w:r>
        <w:rPr>
          <w:rFonts w:eastAsia="Arial" w:cs="Arial"/>
          <w:b/>
          <w:bCs/>
          <w:sz w:val="22"/>
          <w:szCs w:val="22"/>
        </w:rPr>
        <w:t xml:space="preserve">c.  </w:t>
      </w:r>
      <w:r>
        <w:rPr>
          <w:rFonts w:eastAsia="Arial" w:cs="Arial"/>
          <w:sz w:val="22"/>
          <w:szCs w:val="22"/>
        </w:rPr>
        <w:t>Any discrepancy between the individual's assessed needs and the current PCP/ISP shall be communicated to the Support Coordinator/Case Manager within forty-eight (48) hours.</w:t>
      </w:r>
    </w:p>
    <w:p>
      <w:pPr>
        <w:pStyle w:val="Normal"/>
        <w:spacing w:before="140" w:after="60"/>
        <w:rPr/>
      </w:pPr>
      <w:r>
        <w:rPr>
          <w:rFonts w:eastAsia="Arial" w:cs="Arial"/>
          <w:b/>
          <w:bCs/>
          <w:sz w:val="22"/>
          <w:szCs w:val="22"/>
          <w:u w:val="single"/>
        </w:rPr>
        <w:t>B. Individualized Care Plan Content</w:t>
      </w:r>
    </w:p>
    <w:p>
      <w:pPr>
        <w:pStyle w:val="Normal"/>
        <w:spacing w:before="40" w:after="60"/>
        <w:rPr/>
      </w:pPr>
      <w:r>
        <w:rPr>
          <w:rFonts w:eastAsia="Arial" w:cs="Arial"/>
          <w:sz w:val="22"/>
          <w:szCs w:val="22"/>
        </w:rPr>
        <w:t>The individualized care plan shall document, at minimum:</w:t>
      </w:r>
    </w:p>
    <w:p>
      <w:pPr>
        <w:pStyle w:val="Normal"/>
        <w:spacing w:before="30" w:after="30"/>
        <w:ind w:hanging="360" w:start="720"/>
        <w:rPr/>
      </w:pPr>
      <w:r>
        <w:rPr>
          <w:rFonts w:eastAsia="Arial" w:cs="Arial"/>
          <w:b/>
          <w:bCs/>
          <w:sz w:val="22"/>
          <w:szCs w:val="22"/>
        </w:rPr>
        <w:t xml:space="preserve">a.  </w:t>
      </w:r>
      <w:r>
        <w:rPr>
          <w:rFonts w:eastAsia="Arial" w:cs="Arial"/>
          <w:sz w:val="22"/>
          <w:szCs w:val="22"/>
        </w:rPr>
        <w:t>Active health conditions and diagnoses, including relevant medical history</w:t>
      </w:r>
    </w:p>
    <w:p>
      <w:pPr>
        <w:pStyle w:val="Normal"/>
        <w:spacing w:before="30" w:after="30"/>
        <w:ind w:hanging="360" w:start="720"/>
        <w:rPr/>
      </w:pPr>
      <w:r>
        <w:rPr>
          <w:rFonts w:eastAsia="Arial" w:cs="Arial"/>
          <w:b/>
          <w:bCs/>
          <w:sz w:val="22"/>
          <w:szCs w:val="22"/>
        </w:rPr>
        <w:t xml:space="preserve">b.  </w:t>
      </w:r>
      <w:r>
        <w:rPr>
          <w:rFonts w:eastAsia="Arial" w:cs="Arial"/>
          <w:sz w:val="22"/>
          <w:szCs w:val="22"/>
        </w:rPr>
        <w:t>Current medication regimen and administration requirements</w:t>
      </w:r>
    </w:p>
    <w:p>
      <w:pPr>
        <w:pStyle w:val="Normal"/>
        <w:spacing w:before="30" w:after="30"/>
        <w:ind w:hanging="360" w:start="720"/>
        <w:rPr/>
      </w:pPr>
      <w:r>
        <w:rPr>
          <w:rFonts w:eastAsia="Arial" w:cs="Arial"/>
          <w:b/>
          <w:bCs/>
          <w:sz w:val="22"/>
          <w:szCs w:val="22"/>
        </w:rPr>
        <w:t xml:space="preserve">c.  </w:t>
      </w:r>
      <w:r>
        <w:rPr>
          <w:rFonts w:eastAsia="Arial" w:cs="Arial"/>
          <w:sz w:val="22"/>
          <w:szCs w:val="22"/>
        </w:rPr>
        <w:t>Personal care needs and the level of assistance required for each ADL</w:t>
      </w:r>
    </w:p>
    <w:p>
      <w:pPr>
        <w:pStyle w:val="Normal"/>
        <w:spacing w:before="30" w:after="30"/>
        <w:ind w:hanging="360" w:start="720"/>
        <w:rPr/>
      </w:pPr>
      <w:r>
        <w:rPr>
          <w:rFonts w:eastAsia="Arial" w:cs="Arial"/>
          <w:b/>
          <w:bCs/>
          <w:sz w:val="22"/>
          <w:szCs w:val="22"/>
        </w:rPr>
        <w:t xml:space="preserve">d.  </w:t>
      </w:r>
      <w:r>
        <w:rPr>
          <w:rFonts w:eastAsia="Arial" w:cs="Arial"/>
          <w:sz w:val="22"/>
          <w:szCs w:val="22"/>
        </w:rPr>
        <w:t>Behavioral support strategies, known triggers, de-escalation approaches, and any active restrictions</w:t>
      </w:r>
    </w:p>
    <w:p>
      <w:pPr>
        <w:pStyle w:val="Normal"/>
        <w:spacing w:before="30" w:after="30"/>
        <w:ind w:hanging="360" w:start="720"/>
        <w:rPr/>
      </w:pPr>
      <w:r>
        <w:rPr>
          <w:rFonts w:eastAsia="Arial" w:cs="Arial"/>
          <w:b/>
          <w:bCs/>
          <w:sz w:val="22"/>
          <w:szCs w:val="22"/>
        </w:rPr>
        <w:t xml:space="preserve">e.  </w:t>
      </w:r>
      <w:r>
        <w:rPr>
          <w:rFonts w:eastAsia="Arial" w:cs="Arial"/>
          <w:sz w:val="22"/>
          <w:szCs w:val="22"/>
        </w:rPr>
        <w:t>Communication needs and preferred communication methods</w:t>
      </w:r>
    </w:p>
    <w:p>
      <w:pPr>
        <w:pStyle w:val="Normal"/>
        <w:spacing w:before="30" w:after="30"/>
        <w:ind w:hanging="360" w:start="720"/>
        <w:rPr/>
      </w:pPr>
      <w:r>
        <w:rPr>
          <w:rFonts w:eastAsia="Arial" w:cs="Arial"/>
          <w:b/>
          <w:bCs/>
          <w:sz w:val="22"/>
          <w:szCs w:val="22"/>
        </w:rPr>
        <w:t xml:space="preserve">f.  </w:t>
      </w:r>
      <w:r>
        <w:rPr>
          <w:rFonts w:eastAsia="Arial" w:cs="Arial"/>
          <w:sz w:val="22"/>
          <w:szCs w:val="22"/>
        </w:rPr>
        <w:t>Preferred daily routine and schedule</w:t>
      </w:r>
    </w:p>
    <w:p>
      <w:pPr>
        <w:pStyle w:val="Normal"/>
        <w:spacing w:before="30" w:after="30"/>
        <w:ind w:hanging="360" w:start="720"/>
        <w:rPr/>
      </w:pPr>
      <w:r>
        <w:rPr>
          <w:rFonts w:eastAsia="Arial" w:cs="Arial"/>
          <w:b/>
          <w:bCs/>
          <w:sz w:val="22"/>
          <w:szCs w:val="22"/>
        </w:rPr>
        <w:t xml:space="preserve">g.  </w:t>
      </w:r>
      <w:r>
        <w:rPr>
          <w:rFonts w:eastAsia="Arial" w:cs="Arial"/>
          <w:sz w:val="22"/>
          <w:szCs w:val="22"/>
        </w:rPr>
        <w:t>Emergency response instructions specific to the individual</w:t>
      </w:r>
    </w:p>
    <w:p>
      <w:pPr>
        <w:pStyle w:val="Normal"/>
        <w:spacing w:before="30" w:after="30"/>
        <w:ind w:hanging="360" w:start="720"/>
        <w:rPr/>
      </w:pPr>
      <w:r>
        <w:rPr>
          <w:rFonts w:eastAsia="Arial" w:cs="Arial"/>
          <w:b/>
          <w:bCs/>
          <w:sz w:val="22"/>
          <w:szCs w:val="22"/>
        </w:rPr>
        <w:t xml:space="preserve">h.  </w:t>
      </w:r>
      <w:r>
        <w:rPr>
          <w:rFonts w:eastAsia="Arial" w:cs="Arial"/>
          <w:sz w:val="22"/>
          <w:szCs w:val="22"/>
        </w:rPr>
        <w:t>Nutrition and dietary requirements and preferences</w:t>
      </w:r>
    </w:p>
    <w:p>
      <w:pPr>
        <w:pStyle w:val="Normal"/>
        <w:spacing w:before="30" w:after="30"/>
        <w:ind w:hanging="360" w:start="720"/>
        <w:rPr/>
      </w:pPr>
      <w:r>
        <w:rPr>
          <w:rFonts w:eastAsia="Arial" w:cs="Arial"/>
          <w:b/>
          <w:bCs/>
          <w:sz w:val="22"/>
          <w:szCs w:val="22"/>
        </w:rPr>
        <w:t xml:space="preserve">i.  </w:t>
      </w:r>
      <w:r>
        <w:rPr>
          <w:rFonts w:eastAsia="Arial" w:cs="Arial"/>
          <w:sz w:val="22"/>
          <w:szCs w:val="22"/>
        </w:rPr>
        <w:t>Transportation and community access needs</w:t>
      </w:r>
    </w:p>
    <w:p>
      <w:pPr>
        <w:pStyle w:val="Normal"/>
        <w:spacing w:before="30" w:after="30"/>
        <w:ind w:hanging="360" w:start="720"/>
        <w:rPr/>
      </w:pPr>
      <w:r>
        <w:rPr>
          <w:rFonts w:eastAsia="Arial" w:cs="Arial"/>
          <w:b/>
          <w:bCs/>
          <w:sz w:val="22"/>
          <w:szCs w:val="22"/>
        </w:rPr>
        <w:t xml:space="preserve">j.  </w:t>
      </w:r>
      <w:r>
        <w:rPr>
          <w:rFonts w:eastAsia="Arial" w:cs="Arial"/>
          <w:sz w:val="22"/>
          <w:szCs w:val="22"/>
        </w:rPr>
        <w:t>Active goals from the PCP/ISP with the Provider's specific role in supporting each goal</w:t>
      </w:r>
    </w:p>
    <w:p>
      <w:pPr>
        <w:pStyle w:val="Normal"/>
        <w:spacing w:before="30" w:after="30"/>
        <w:ind w:hanging="360" w:start="720"/>
        <w:rPr/>
      </w:pPr>
      <w:r>
        <w:rPr>
          <w:rFonts w:eastAsia="Arial" w:cs="Arial"/>
          <w:b/>
          <w:bCs/>
          <w:sz w:val="22"/>
          <w:szCs w:val="22"/>
        </w:rPr>
        <w:t xml:space="preserve">k.  </w:t>
      </w:r>
      <w:r>
        <w:rPr>
          <w:rFonts w:eastAsia="Arial" w:cs="Arial"/>
          <w:sz w:val="22"/>
          <w:szCs w:val="22"/>
        </w:rPr>
        <w:t>Safety considerations and environmental modifications required</w:t>
      </w:r>
    </w:p>
    <w:p>
      <w:pPr>
        <w:pStyle w:val="Normal"/>
        <w:spacing w:before="140" w:after="60"/>
        <w:rPr/>
      </w:pPr>
      <w:r>
        <w:rPr>
          <w:rFonts w:eastAsia="Arial" w:cs="Arial"/>
          <w:b/>
          <w:bCs/>
          <w:sz w:val="22"/>
          <w:szCs w:val="22"/>
          <w:u w:val="single"/>
        </w:rPr>
        <w:t>C. Assessment Tools</w:t>
      </w:r>
    </w:p>
    <w:p>
      <w:pPr>
        <w:pStyle w:val="Normal"/>
        <w:spacing w:before="30" w:after="30"/>
        <w:ind w:hanging="360" w:start="720"/>
        <w:rPr/>
      </w:pPr>
      <w:r>
        <w:rPr>
          <w:rFonts w:eastAsia="Arial" w:cs="Arial"/>
          <w:b/>
          <w:bCs/>
          <w:sz w:val="22"/>
          <w:szCs w:val="22"/>
        </w:rPr>
        <w:t xml:space="preserve">a.  </w:t>
      </w:r>
      <w:r>
        <w:rPr>
          <w:rFonts w:eastAsia="Arial" w:cs="Arial"/>
          <w:sz w:val="22"/>
          <w:szCs w:val="22"/>
        </w:rPr>
        <w:t>Standardized, evidence-based assessment tools appropriate to the individual's disability type, age, and cultural background shall be used.</w:t>
      </w:r>
    </w:p>
    <w:p>
      <w:pPr>
        <w:pStyle w:val="Normal"/>
        <w:spacing w:before="30" w:after="30"/>
        <w:ind w:hanging="360" w:start="720"/>
        <w:rPr/>
      </w:pPr>
      <w:r>
        <w:rPr>
          <w:rFonts w:eastAsia="Arial" w:cs="Arial"/>
          <w:b/>
          <w:bCs/>
          <w:sz w:val="22"/>
          <w:szCs w:val="22"/>
        </w:rPr>
        <w:t xml:space="preserve">b.  </w:t>
      </w:r>
      <w:r>
        <w:rPr>
          <w:rFonts w:eastAsia="Arial" w:cs="Arial"/>
          <w:sz w:val="22"/>
          <w:szCs w:val="22"/>
        </w:rPr>
        <w:t>Assessment results shall be documented with instrument name, version, date administered, and the assessor's name and credentials.</w:t>
      </w:r>
    </w:p>
    <w:p>
      <w:pPr>
        <w:pStyle w:val="Normal"/>
        <w:spacing w:before="140" w:after="60"/>
        <w:rPr/>
      </w:pPr>
      <w:r>
        <w:rPr>
          <w:rFonts w:eastAsia="Arial" w:cs="Arial"/>
          <w:b/>
          <w:bCs/>
          <w:sz w:val="22"/>
          <w:szCs w:val="22"/>
          <w:u w:val="single"/>
        </w:rPr>
        <w:t>D. Reassessment</w:t>
      </w:r>
    </w:p>
    <w:p>
      <w:pPr>
        <w:pStyle w:val="Normal"/>
        <w:spacing w:before="30" w:after="30"/>
        <w:ind w:hanging="360" w:start="720"/>
        <w:rPr/>
      </w:pPr>
      <w:r>
        <w:rPr>
          <w:rFonts w:eastAsia="Arial" w:cs="Arial"/>
          <w:b/>
          <w:bCs/>
          <w:sz w:val="22"/>
          <w:szCs w:val="22"/>
        </w:rPr>
        <w:t xml:space="preserve">a.  </w:t>
      </w:r>
      <w:r>
        <w:rPr>
          <w:rFonts w:eastAsia="Arial" w:cs="Arial"/>
          <w:sz w:val="22"/>
          <w:szCs w:val="22"/>
        </w:rPr>
        <w:t>Formal reassessment shall occur at minimum annually, at each PCP/ISP review meeting.</w:t>
      </w:r>
    </w:p>
    <w:p>
      <w:pPr>
        <w:pStyle w:val="Normal"/>
        <w:spacing w:before="30" w:after="30"/>
        <w:ind w:hanging="360" w:start="720"/>
        <w:rPr/>
      </w:pPr>
      <w:r>
        <w:rPr>
          <w:rFonts w:eastAsia="Arial" w:cs="Arial"/>
          <w:b/>
          <w:bCs/>
          <w:sz w:val="22"/>
          <w:szCs w:val="22"/>
        </w:rPr>
        <w:t xml:space="preserve">b.  </w:t>
      </w:r>
      <w:r>
        <w:rPr>
          <w:rFonts w:eastAsia="Arial" w:cs="Arial"/>
          <w:sz w:val="22"/>
          <w:szCs w:val="22"/>
        </w:rPr>
        <w:t>Interim reassessment is triggered by: a significant change in health status or functioning, a behavioral incident or crisis, a change in medication regimen, a change in living situation, or staff or family request.</w:t>
      </w:r>
    </w:p>
    <w:p>
      <w:pPr>
        <w:pStyle w:val="Normal"/>
        <w:spacing w:before="30" w:after="30"/>
        <w:ind w:hanging="360" w:start="720"/>
        <w:rPr/>
      </w:pPr>
      <w:r>
        <w:rPr>
          <w:rFonts w:eastAsia="Arial" w:cs="Arial"/>
          <w:b/>
          <w:bCs/>
          <w:sz w:val="22"/>
          <w:szCs w:val="22"/>
        </w:rPr>
        <w:t xml:space="preserve">c.  </w:t>
      </w:r>
      <w:r>
        <w:rPr>
          <w:rFonts w:eastAsia="Arial" w:cs="Arial"/>
          <w:sz w:val="22"/>
          <w:szCs w:val="22"/>
        </w:rPr>
        <w:t>All reassessments shall be documented within twenty-four (24) hours of completion and filed in the clinical record.</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Functional Assessment Form</w:t>
      </w:r>
    </w:p>
    <w:p>
      <w:pPr>
        <w:pStyle w:val="ListParagraph"/>
        <w:numPr>
          <w:ilvl w:val="0"/>
          <w:numId w:val="1"/>
        </w:numPr>
        <w:spacing w:before="30" w:after="30"/>
        <w:rPr/>
      </w:pPr>
      <w:r>
        <w:rPr>
          <w:rFonts w:eastAsia="Arial" w:cs="Arial"/>
          <w:sz w:val="22"/>
          <w:szCs w:val="22"/>
        </w:rPr>
        <w:t>Individualized Care Plan Template</w:t>
      </w:r>
    </w:p>
    <w:p>
      <w:pPr>
        <w:pStyle w:val="ListParagraph"/>
        <w:numPr>
          <w:ilvl w:val="0"/>
          <w:numId w:val="1"/>
        </w:numPr>
        <w:spacing w:before="30" w:after="30"/>
        <w:rPr/>
      </w:pPr>
      <w:r>
        <w:rPr>
          <w:rFonts w:eastAsia="Arial" w:cs="Arial"/>
          <w:sz w:val="22"/>
          <w:szCs w:val="22"/>
        </w:rPr>
        <w:t>Annual Reassessment Documentation</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#3.03: Activities of Daily Living &amp; Personal Care Services</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Care Services</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3.03</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42 CFR 441.301 (HCBS Settings Final Rule); CTS.02 (JC Individualized Care); State HCBS Waiver Service Definitions; Individual PCP/ISP</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[Provider Name /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establish standards for the provision of personal care services and assistance with Activities of Daily Living (ADLs) in a manner that promotes dignity, independence, individual choice, and the highest practicable level of functional ability for each individual served.</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Personal care shall be provided in a manner that respects each individual's dignity, privacy, and expressed preferences at all times. Staff shall promote the greatest level of independence possible and shall provide only the level of assistance indicated by the individual's current care plan. Staff shall never perform a task for an individual that the individual is able to perform independently or with prompting.</w:t>
      </w:r>
    </w:p>
    <w:p>
      <w:pPr>
        <w:pStyle w:val="Normal"/>
        <w:spacing w:before="120" w:after="40"/>
        <w:rPr/>
      </w:pPr>
      <w:r>
        <w:rPr>
          <w:rFonts w:eastAsia="Arial" w:cs="Arial"/>
          <w:b/>
          <w:bCs/>
          <w:color w:val="2E5DA8"/>
          <w:sz w:val="22"/>
          <w:szCs w:val="22"/>
        </w:rPr>
        <w:t>SCOPE OF PERSONAL CARE SERVICES</w:t>
      </w:r>
    </w:p>
    <w:p>
      <w:pPr>
        <w:pStyle w:val="ListParagraph"/>
        <w:numPr>
          <w:ilvl w:val="0"/>
          <w:numId w:val="1"/>
        </w:numPr>
        <w:spacing w:before="30" w:after="30"/>
        <w:rPr/>
      </w:pPr>
      <w:r>
        <w:rPr>
          <w:rFonts w:eastAsia="Arial" w:cs="Arial"/>
          <w:sz w:val="22"/>
          <w:szCs w:val="22"/>
        </w:rPr>
        <w:t>Bathing, showering, and personal hygiene assistance</w:t>
      </w:r>
    </w:p>
    <w:p>
      <w:pPr>
        <w:pStyle w:val="ListParagraph"/>
        <w:numPr>
          <w:ilvl w:val="0"/>
          <w:numId w:val="1"/>
        </w:numPr>
        <w:spacing w:before="30" w:after="30"/>
        <w:rPr/>
      </w:pPr>
      <w:r>
        <w:rPr>
          <w:rFonts w:eastAsia="Arial" w:cs="Arial"/>
          <w:sz w:val="22"/>
          <w:szCs w:val="22"/>
        </w:rPr>
        <w:t>Grooming — hair care, oral hygiene, nail care, shaving</w:t>
      </w:r>
    </w:p>
    <w:p>
      <w:pPr>
        <w:pStyle w:val="ListParagraph"/>
        <w:numPr>
          <w:ilvl w:val="0"/>
          <w:numId w:val="1"/>
        </w:numPr>
        <w:spacing w:before="30" w:after="30"/>
        <w:rPr/>
      </w:pPr>
      <w:r>
        <w:rPr>
          <w:rFonts w:eastAsia="Arial" w:cs="Arial"/>
          <w:sz w:val="22"/>
          <w:szCs w:val="22"/>
        </w:rPr>
        <w:t>Dressing and undressing</w:t>
      </w:r>
    </w:p>
    <w:p>
      <w:pPr>
        <w:pStyle w:val="ListParagraph"/>
        <w:numPr>
          <w:ilvl w:val="0"/>
          <w:numId w:val="1"/>
        </w:numPr>
        <w:spacing w:before="30" w:after="30"/>
        <w:rPr/>
      </w:pPr>
      <w:r>
        <w:rPr>
          <w:rFonts w:eastAsia="Arial" w:cs="Arial"/>
          <w:sz w:val="22"/>
          <w:szCs w:val="22"/>
        </w:rPr>
        <w:t>Toileting, bowel and bladder management, and continence care</w:t>
      </w:r>
    </w:p>
    <w:p>
      <w:pPr>
        <w:pStyle w:val="ListParagraph"/>
        <w:numPr>
          <w:ilvl w:val="0"/>
          <w:numId w:val="1"/>
        </w:numPr>
        <w:spacing w:before="30" w:after="30"/>
        <w:rPr/>
      </w:pPr>
      <w:r>
        <w:rPr>
          <w:rFonts w:eastAsia="Arial" w:cs="Arial"/>
          <w:sz w:val="22"/>
          <w:szCs w:val="22"/>
        </w:rPr>
        <w:t>Mobility assistance, positioning, transfers, and ambulation</w:t>
      </w:r>
    </w:p>
    <w:p>
      <w:pPr>
        <w:pStyle w:val="ListParagraph"/>
        <w:numPr>
          <w:ilvl w:val="0"/>
          <w:numId w:val="1"/>
        </w:numPr>
        <w:spacing w:before="30" w:after="30"/>
        <w:rPr/>
      </w:pPr>
      <w:r>
        <w:rPr>
          <w:rFonts w:eastAsia="Arial" w:cs="Arial"/>
          <w:sz w:val="22"/>
          <w:szCs w:val="22"/>
        </w:rPr>
        <w:t>Meal preparation, mealtime assistance, and dietary/fluid monitoring per care plan</w:t>
      </w:r>
    </w:p>
    <w:p>
      <w:pPr>
        <w:pStyle w:val="ListParagraph"/>
        <w:numPr>
          <w:ilvl w:val="0"/>
          <w:numId w:val="1"/>
        </w:numPr>
        <w:spacing w:before="30" w:after="30"/>
        <w:rPr/>
      </w:pPr>
      <w:r>
        <w:rPr>
          <w:rFonts w:eastAsia="Arial" w:cs="Arial"/>
          <w:sz w:val="22"/>
          <w:szCs w:val="22"/>
        </w:rPr>
        <w:t>Medication assistance and administration per applicable training certification (Policy 4.00)</w:t>
      </w:r>
    </w:p>
    <w:p>
      <w:pPr>
        <w:pStyle w:val="ListParagraph"/>
        <w:numPr>
          <w:ilvl w:val="0"/>
          <w:numId w:val="1"/>
        </w:numPr>
        <w:spacing w:before="30" w:after="30"/>
        <w:rPr/>
      </w:pPr>
      <w:r>
        <w:rPr>
          <w:rFonts w:eastAsia="Arial" w:cs="Arial"/>
          <w:sz w:val="22"/>
          <w:szCs w:val="22"/>
        </w:rPr>
        <w:t>Housekeeping, laundry, and home maintenance support</w:t>
      </w:r>
    </w:p>
    <w:p>
      <w:pPr>
        <w:pStyle w:val="ListParagraph"/>
        <w:numPr>
          <w:ilvl w:val="0"/>
          <w:numId w:val="1"/>
        </w:numPr>
        <w:spacing w:before="30" w:after="30"/>
        <w:rPr/>
      </w:pPr>
      <w:r>
        <w:rPr>
          <w:rFonts w:eastAsia="Arial" w:cs="Arial"/>
          <w:sz w:val="22"/>
          <w:szCs w:val="22"/>
        </w:rPr>
        <w:t>Community transportation and accompaniment</w:t>
      </w:r>
    </w:p>
    <w:p>
      <w:pPr>
        <w:pStyle w:val="ListParagraph"/>
        <w:numPr>
          <w:ilvl w:val="0"/>
          <w:numId w:val="1"/>
        </w:numPr>
        <w:spacing w:before="30" w:after="30"/>
        <w:rPr/>
      </w:pPr>
      <w:r>
        <w:rPr>
          <w:rFonts w:eastAsia="Arial" w:cs="Arial"/>
          <w:sz w:val="22"/>
          <w:szCs w:val="22"/>
        </w:rPr>
        <w:t>Community integration, social participation, and recreational activity support</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Delivery of Personal Care</w:t>
      </w:r>
    </w:p>
    <w:p>
      <w:pPr>
        <w:pStyle w:val="Normal"/>
        <w:spacing w:before="30" w:after="30"/>
        <w:ind w:hanging="360" w:start="720"/>
        <w:rPr/>
      </w:pPr>
      <w:r>
        <w:rPr>
          <w:rFonts w:eastAsia="Arial" w:cs="Arial"/>
          <w:b/>
          <w:bCs/>
          <w:sz w:val="22"/>
          <w:szCs w:val="22"/>
        </w:rPr>
        <w:t xml:space="preserve">a.  </w:t>
      </w:r>
      <w:r>
        <w:rPr>
          <w:rFonts w:eastAsia="Arial" w:cs="Arial"/>
          <w:sz w:val="22"/>
          <w:szCs w:val="22"/>
        </w:rPr>
        <w:t>All personal care shall be performed in accordance with the individual's current care plan, ISP/PCP, and their stated preferences for that day.</w:t>
      </w:r>
    </w:p>
    <w:p>
      <w:pPr>
        <w:pStyle w:val="Normal"/>
        <w:spacing w:before="30" w:after="30"/>
        <w:ind w:hanging="360" w:start="720"/>
        <w:rPr/>
      </w:pPr>
      <w:r>
        <w:rPr>
          <w:rFonts w:eastAsia="Arial" w:cs="Arial"/>
          <w:b/>
          <w:bCs/>
          <w:sz w:val="22"/>
          <w:szCs w:val="22"/>
        </w:rPr>
        <w:t xml:space="preserve">b.  </w:t>
      </w:r>
      <w:r>
        <w:rPr>
          <w:rFonts w:eastAsia="Arial" w:cs="Arial"/>
          <w:sz w:val="22"/>
          <w:szCs w:val="22"/>
        </w:rPr>
        <w:t>Staff shall announce themselves and request permission before entering any private space. Privacy shall be provided during all personal care activities.</w:t>
      </w:r>
    </w:p>
    <w:p>
      <w:pPr>
        <w:pStyle w:val="Normal"/>
        <w:spacing w:before="30" w:after="30"/>
        <w:ind w:hanging="360" w:start="720"/>
        <w:rPr/>
      </w:pPr>
      <w:r>
        <w:rPr>
          <w:rFonts w:eastAsia="Arial" w:cs="Arial"/>
          <w:b/>
          <w:bCs/>
          <w:sz w:val="22"/>
          <w:szCs w:val="22"/>
        </w:rPr>
        <w:t xml:space="preserve">c.  </w:t>
      </w:r>
      <w:r>
        <w:rPr>
          <w:rFonts w:eastAsia="Arial" w:cs="Arial"/>
          <w:sz w:val="22"/>
          <w:szCs w:val="22"/>
        </w:rPr>
        <w:t>The individual's choice of products (soap, shampoo, clothing, food, grooming items) shall be honored whenever safe and practicable.</w:t>
      </w:r>
    </w:p>
    <w:p>
      <w:pPr>
        <w:pStyle w:val="Normal"/>
        <w:spacing w:before="30" w:after="30"/>
        <w:ind w:hanging="360" w:start="720"/>
        <w:rPr/>
      </w:pPr>
      <w:r>
        <w:rPr>
          <w:rFonts w:eastAsia="Arial" w:cs="Arial"/>
          <w:b/>
          <w:bCs/>
          <w:sz w:val="22"/>
          <w:szCs w:val="22"/>
        </w:rPr>
        <w:t xml:space="preserve">d.  </w:t>
      </w:r>
      <w:r>
        <w:rPr>
          <w:rFonts w:eastAsia="Arial" w:cs="Arial"/>
          <w:sz w:val="22"/>
          <w:szCs w:val="22"/>
        </w:rPr>
        <w:t>Staff shall use proper body mechanics and approved transfer techniques at all times. No transfer shall be attempted by staff who are not trained in the appropriate method for that individual. If a two-person transfer is required by the care plan, it shall not be performed by a single staff member.</w:t>
      </w:r>
    </w:p>
    <w:p>
      <w:pPr>
        <w:pStyle w:val="Normal"/>
        <w:spacing w:before="30" w:after="30"/>
        <w:ind w:hanging="360" w:start="720"/>
        <w:rPr/>
      </w:pPr>
      <w:r>
        <w:rPr>
          <w:rFonts w:eastAsia="Arial" w:cs="Arial"/>
          <w:b/>
          <w:bCs/>
          <w:sz w:val="22"/>
          <w:szCs w:val="22"/>
        </w:rPr>
        <w:t xml:space="preserve">e.  </w:t>
      </w:r>
      <w:r>
        <w:rPr>
          <w:rFonts w:eastAsia="Arial" w:cs="Arial"/>
          <w:sz w:val="22"/>
          <w:szCs w:val="22"/>
        </w:rPr>
        <w:t>Staff shall actively encourage independence and skill development consistent with the individual's goals, rather than performing tasks the individual can do independently or with prompting.</w:t>
      </w:r>
    </w:p>
    <w:p>
      <w:pPr>
        <w:pStyle w:val="Normal"/>
        <w:spacing w:before="140" w:after="60"/>
        <w:rPr/>
      </w:pPr>
      <w:r>
        <w:rPr>
          <w:rFonts w:eastAsia="Arial" w:cs="Arial"/>
          <w:b/>
          <w:bCs/>
          <w:sz w:val="22"/>
          <w:szCs w:val="22"/>
          <w:u w:val="single"/>
        </w:rPr>
        <w:t>B. Dignity and Respect</w:t>
      </w:r>
    </w:p>
    <w:p>
      <w:pPr>
        <w:pStyle w:val="Normal"/>
        <w:spacing w:before="30" w:after="30"/>
        <w:ind w:hanging="360" w:start="720"/>
        <w:rPr/>
      </w:pPr>
      <w:r>
        <w:rPr>
          <w:rFonts w:eastAsia="Arial" w:cs="Arial"/>
          <w:b/>
          <w:bCs/>
          <w:sz w:val="22"/>
          <w:szCs w:val="22"/>
        </w:rPr>
        <w:t xml:space="preserve">a.  </w:t>
      </w:r>
      <w:r>
        <w:rPr>
          <w:rFonts w:eastAsia="Arial" w:cs="Arial"/>
          <w:sz w:val="22"/>
          <w:szCs w:val="22"/>
        </w:rPr>
        <w:t>Staff shall address the individual by their preferred name and in a manner consistent with their communication preferences.</w:t>
      </w:r>
    </w:p>
    <w:p>
      <w:pPr>
        <w:pStyle w:val="Normal"/>
        <w:spacing w:before="30" w:after="30"/>
        <w:ind w:hanging="360" w:start="720"/>
        <w:rPr/>
      </w:pPr>
      <w:r>
        <w:rPr>
          <w:rFonts w:eastAsia="Arial" w:cs="Arial"/>
          <w:b/>
          <w:bCs/>
          <w:sz w:val="22"/>
          <w:szCs w:val="22"/>
        </w:rPr>
        <w:t xml:space="preserve">b.  </w:t>
      </w:r>
      <w:r>
        <w:rPr>
          <w:rFonts w:eastAsia="Arial" w:cs="Arial"/>
          <w:sz w:val="22"/>
          <w:szCs w:val="22"/>
        </w:rPr>
        <w:t>Staff shall not discuss the individual's care, health status, or personal matters within earshot of other household members or visitors without the individual's consent.</w:t>
      </w:r>
    </w:p>
    <w:p>
      <w:pPr>
        <w:pStyle w:val="Normal"/>
        <w:spacing w:before="30" w:after="30"/>
        <w:ind w:hanging="360" w:start="720"/>
        <w:rPr/>
      </w:pPr>
      <w:r>
        <w:rPr>
          <w:rFonts w:eastAsia="Arial" w:cs="Arial"/>
          <w:b/>
          <w:bCs/>
          <w:sz w:val="22"/>
          <w:szCs w:val="22"/>
        </w:rPr>
        <w:t xml:space="preserve">c.  </w:t>
      </w:r>
      <w:r>
        <w:rPr>
          <w:rFonts w:eastAsia="Arial" w:cs="Arial"/>
          <w:sz w:val="22"/>
          <w:szCs w:val="22"/>
        </w:rPr>
        <w:t>Staff shall not use language that is infantilizing, demeaning, or disrespectful at any time.</w:t>
      </w:r>
    </w:p>
    <w:p>
      <w:pPr>
        <w:pStyle w:val="Normal"/>
        <w:spacing w:before="140" w:after="60"/>
        <w:rPr/>
      </w:pPr>
      <w:r>
        <w:rPr>
          <w:rFonts w:eastAsia="Arial" w:cs="Arial"/>
          <w:b/>
          <w:bCs/>
          <w:sz w:val="22"/>
          <w:szCs w:val="22"/>
          <w:u w:val="single"/>
        </w:rPr>
        <w:t>C. Documentation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Completion of personal care tasks, assistance levels provided, and any variations from the care plan shall be documented in the daily shift log or progress note.</w:t>
      </w:r>
    </w:p>
    <w:p>
      <w:pPr>
        <w:pStyle w:val="Normal"/>
        <w:spacing w:before="30" w:after="30"/>
        <w:ind w:hanging="360" w:start="720"/>
        <w:rPr/>
      </w:pPr>
      <w:r>
        <w:rPr>
          <w:rFonts w:eastAsia="Arial" w:cs="Arial"/>
          <w:b/>
          <w:bCs/>
          <w:sz w:val="22"/>
          <w:szCs w:val="22"/>
        </w:rPr>
        <w:t xml:space="preserve">b.  </w:t>
      </w:r>
      <w:r>
        <w:rPr>
          <w:rFonts w:eastAsia="Arial" w:cs="Arial"/>
          <w:sz w:val="22"/>
          <w:szCs w:val="22"/>
        </w:rPr>
        <w:t>Any refusal of personal care shall be documented with the individual's stated reason, the staff response, and shall be reported to the Administrator.</w:t>
      </w:r>
    </w:p>
    <w:p>
      <w:pPr>
        <w:pStyle w:val="Normal"/>
        <w:spacing w:before="30" w:after="30"/>
        <w:ind w:hanging="360" w:start="720"/>
        <w:rPr/>
      </w:pPr>
      <w:r>
        <w:rPr>
          <w:rFonts w:eastAsia="Arial" w:cs="Arial"/>
          <w:b/>
          <w:bCs/>
          <w:sz w:val="22"/>
          <w:szCs w:val="22"/>
        </w:rPr>
        <w:t xml:space="preserve">c.  </w:t>
      </w:r>
      <w:r>
        <w:rPr>
          <w:rFonts w:eastAsia="Arial" w:cs="Arial"/>
          <w:sz w:val="22"/>
          <w:szCs w:val="22"/>
        </w:rPr>
        <w:t>Any injury, skin change, bruise, or health concern observed during personal care shall be reported immediately to the Administrator and documented in the clinical record with a description and body map notation if applicable.</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Daily Shift Communication Log</w:t>
      </w:r>
    </w:p>
    <w:p>
      <w:pPr>
        <w:pStyle w:val="ListParagraph"/>
        <w:numPr>
          <w:ilvl w:val="0"/>
          <w:numId w:val="1"/>
        </w:numPr>
        <w:spacing w:before="30" w:after="30"/>
        <w:rPr/>
      </w:pPr>
      <w:r>
        <w:rPr>
          <w:rFonts w:eastAsia="Arial" w:cs="Arial"/>
          <w:sz w:val="22"/>
          <w:szCs w:val="22"/>
        </w:rPr>
        <w:t>Progress Note Form</w:t>
      </w:r>
    </w:p>
    <w:p>
      <w:pPr>
        <w:pStyle w:val="ListParagraph"/>
        <w:numPr>
          <w:ilvl w:val="0"/>
          <w:numId w:val="1"/>
        </w:numPr>
        <w:spacing w:before="30" w:after="30"/>
        <w:rPr/>
      </w:pPr>
      <w:r>
        <w:rPr>
          <w:rFonts w:eastAsia="Arial" w:cs="Arial"/>
          <w:sz w:val="22"/>
          <w:szCs w:val="22"/>
        </w:rPr>
        <w:t>Body Map / Skin Condition Documentation</w:t>
      </w:r>
    </w:p>
    <w:p>
      <w:pPr>
        <w:pStyle w:val="ListParagraph"/>
        <w:numPr>
          <w:ilvl w:val="0"/>
          <w:numId w:val="1"/>
        </w:numPr>
        <w:spacing w:before="30" w:after="30"/>
        <w:rPr/>
      </w:pPr>
      <w:r>
        <w:rPr>
          <w:rFonts w:eastAsia="Arial" w:cs="Arial"/>
          <w:sz w:val="22"/>
          <w:szCs w:val="22"/>
        </w:rPr>
        <w:t>Incident Report Form (Policy 5.00)</w:t>
      </w:r>
    </w:p>
    <w:p>
      <w:pPr>
        <w:pStyle w:val="ListParagraph"/>
        <w:numPr>
          <w:ilvl w:val="0"/>
          <w:numId w:val="1"/>
        </w:numPr>
        <w:spacing w:before="30" w:after="30"/>
        <w:rPr/>
      </w:pPr>
      <w:r>
        <w:rPr>
          <w:rFonts w:eastAsia="Arial" w:cs="Arial"/>
          <w:sz w:val="22"/>
          <w:szCs w:val="22"/>
        </w:rPr>
        <w:t>Current Individualized Care Plan (Policy 3.02)</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#3.04: Health Monitoring &amp; Coordination with Healthcare Providers</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Clinical / Care Services</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3.04</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CTS.03 (JC Health Monitoring); State HCBS Waiver Health &amp; Safety Requirements; Individual Physician Orders</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[Provider Name /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ensure ongoing monitoring of each individual's health status, prompt identification and response to changes in condition, effective coordination with the individual's healthcare team, and accurate documentation of all health-related observations, communications, and interventions.</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Staff shall conduct and document routine health observations at each shift in accordance with each individual's care plan. Any change in the individual's health status or baseline shall be reported to the Administrator and the individual's healthcare provider within required timeframes. The Provider/Administrator shall maintain current, accurate healthcare provider contact information for each individual.</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Routine Health Monitoring</w:t>
      </w:r>
    </w:p>
    <w:p>
      <w:pPr>
        <w:pStyle w:val="Normal"/>
        <w:spacing w:before="30" w:after="30"/>
        <w:ind w:hanging="360" w:start="720"/>
        <w:rPr/>
      </w:pPr>
      <w:r>
        <w:rPr>
          <w:rFonts w:eastAsia="Arial" w:cs="Arial"/>
          <w:b/>
          <w:bCs/>
          <w:sz w:val="22"/>
          <w:szCs w:val="22"/>
        </w:rPr>
        <w:t xml:space="preserve">a.  </w:t>
      </w:r>
      <w:r>
        <w:rPr>
          <w:rFonts w:eastAsia="Arial" w:cs="Arial"/>
          <w:sz w:val="22"/>
          <w:szCs w:val="22"/>
        </w:rPr>
        <w:t>Staff shall observe and document the following at each shift or as specified in the care plan: general health appearance and demeanor, mood and behavioral baseline, skin integrity (noting any new marks, bruises, or areas of concern), appetite and fluid intake, elimination patterns, pain indicators (verbal or behavioral), and level of engagement and communication.</w:t>
      </w:r>
    </w:p>
    <w:p>
      <w:pPr>
        <w:pStyle w:val="Normal"/>
        <w:spacing w:before="30" w:after="30"/>
        <w:ind w:hanging="360" w:start="720"/>
        <w:rPr/>
      </w:pPr>
      <w:r>
        <w:rPr>
          <w:rFonts w:eastAsia="Arial" w:cs="Arial"/>
          <w:b/>
          <w:bCs/>
          <w:sz w:val="22"/>
          <w:szCs w:val="22"/>
        </w:rPr>
        <w:t xml:space="preserve">b.  </w:t>
      </w:r>
      <w:r>
        <w:rPr>
          <w:rFonts w:eastAsia="Arial" w:cs="Arial"/>
          <w:sz w:val="22"/>
          <w:szCs w:val="22"/>
        </w:rPr>
        <w:t>Vital signs shall be obtained at the frequency and within the parameters specified in the individual's care plan or physician standing orders. Any vital sign outside established parameters shall be reported to the Administrator within the shift.</w:t>
      </w:r>
    </w:p>
    <w:p>
      <w:pPr>
        <w:pStyle w:val="Normal"/>
        <w:spacing w:before="30" w:after="30"/>
        <w:ind w:hanging="360" w:start="720"/>
        <w:rPr/>
      </w:pPr>
      <w:r>
        <w:rPr>
          <w:rFonts w:eastAsia="Arial" w:cs="Arial"/>
          <w:b/>
          <w:bCs/>
          <w:sz w:val="22"/>
          <w:szCs w:val="22"/>
        </w:rPr>
        <w:t xml:space="preserve">c.  </w:t>
      </w:r>
      <w:r>
        <w:rPr>
          <w:rFonts w:eastAsia="Arial" w:cs="Arial"/>
          <w:sz w:val="22"/>
          <w:szCs w:val="22"/>
        </w:rPr>
        <w:t>Any deviation from the individual's established baseline shall be documented in the progress note and reported to the Administrator within the shift it is observed.</w:t>
      </w:r>
    </w:p>
    <w:p>
      <w:pPr>
        <w:pStyle w:val="Normal"/>
        <w:spacing w:before="140" w:after="60"/>
        <w:rPr/>
      </w:pPr>
      <w:r>
        <w:rPr>
          <w:rFonts w:eastAsia="Arial" w:cs="Arial"/>
          <w:b/>
          <w:bCs/>
          <w:sz w:val="22"/>
          <w:szCs w:val="22"/>
          <w:u w:val="single"/>
        </w:rPr>
        <w:t>B. Communication with Healthcare Providers</w:t>
      </w:r>
    </w:p>
    <w:p>
      <w:pPr>
        <w:pStyle w:val="Normal"/>
        <w:spacing w:before="30" w:after="30"/>
        <w:ind w:hanging="360" w:start="720"/>
        <w:rPr/>
      </w:pPr>
      <w:r>
        <w:rPr>
          <w:rFonts w:eastAsia="Arial" w:cs="Arial"/>
          <w:b/>
          <w:bCs/>
          <w:sz w:val="22"/>
          <w:szCs w:val="22"/>
        </w:rPr>
        <w:t xml:space="preserve">a.  </w:t>
      </w:r>
      <w:r>
        <w:rPr>
          <w:rFonts w:eastAsia="Arial" w:cs="Arial"/>
          <w:sz w:val="22"/>
          <w:szCs w:val="22"/>
        </w:rPr>
        <w:t>Changes in health status — new symptoms, change in behavior that may have a health basis, change in functional ability, or apparent pain — shall be reported to the primary care provider within four (4) hours of identification unless the change is immediately life-threatening, in which case 911 shall be called first.</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Administrator shall maintain a current Healthcare Provider Contact List for each individual, including: primary care physician, all specialists, pharmacy, dentist, and mental health providers, with current phone numbers and addresses.</w:t>
      </w:r>
    </w:p>
    <w:p>
      <w:pPr>
        <w:pStyle w:val="Normal"/>
        <w:spacing w:before="30" w:after="30"/>
        <w:ind w:hanging="360" w:start="720"/>
        <w:rPr/>
      </w:pPr>
      <w:r>
        <w:rPr>
          <w:rFonts w:eastAsia="Arial" w:cs="Arial"/>
          <w:b/>
          <w:bCs/>
          <w:sz w:val="22"/>
          <w:szCs w:val="22"/>
        </w:rPr>
        <w:t xml:space="preserve">c.  </w:t>
      </w:r>
      <w:r>
        <w:rPr>
          <w:rFonts w:eastAsia="Arial" w:cs="Arial"/>
          <w:sz w:val="22"/>
          <w:szCs w:val="22"/>
        </w:rPr>
        <w:t>All healthcare provider communications — calls, visits, instructions received, and medication changes — shall be documented in the clinical record with the date, time, name of the provider contacted, and the substance of the communication.</w:t>
      </w:r>
    </w:p>
    <w:p>
      <w:pPr>
        <w:pStyle w:val="Normal"/>
        <w:spacing w:before="140" w:after="60"/>
        <w:rPr/>
      </w:pPr>
      <w:r>
        <w:rPr>
          <w:rFonts w:eastAsia="Arial" w:cs="Arial"/>
          <w:b/>
          <w:bCs/>
          <w:sz w:val="22"/>
          <w:szCs w:val="22"/>
          <w:u w:val="single"/>
        </w:rPr>
        <w:t>C. Healthcare Appointments</w:t>
      </w:r>
    </w:p>
    <w:p>
      <w:pPr>
        <w:pStyle w:val="Normal"/>
        <w:spacing w:before="30" w:after="30"/>
        <w:ind w:hanging="360" w:start="720"/>
        <w:rPr/>
      </w:pPr>
      <w:r>
        <w:rPr>
          <w:rFonts w:eastAsia="Arial" w:cs="Arial"/>
          <w:b/>
          <w:bCs/>
          <w:sz w:val="22"/>
          <w:szCs w:val="22"/>
        </w:rPr>
        <w:t xml:space="preserve">a.  </w:t>
      </w:r>
      <w:r>
        <w:rPr>
          <w:rFonts w:eastAsia="Arial" w:cs="Arial"/>
          <w:sz w:val="22"/>
          <w:szCs w:val="22"/>
        </w:rPr>
        <w:t>Staff shall accompany the individual to medical appointments when required by the care plan or requested by the individual or guardian. The individual's right to have a support person present shall be honored.</w:t>
      </w:r>
    </w:p>
    <w:p>
      <w:pPr>
        <w:pStyle w:val="Normal"/>
        <w:spacing w:before="30" w:after="30"/>
        <w:ind w:hanging="360" w:start="720"/>
        <w:rPr/>
      </w:pPr>
      <w:r>
        <w:rPr>
          <w:rFonts w:eastAsia="Arial" w:cs="Arial"/>
          <w:b/>
          <w:bCs/>
          <w:sz w:val="22"/>
          <w:szCs w:val="22"/>
        </w:rPr>
        <w:t xml:space="preserve">b.  </w:t>
      </w:r>
      <w:r>
        <w:rPr>
          <w:rFonts w:eastAsia="Arial" w:cs="Arial"/>
          <w:sz w:val="22"/>
          <w:szCs w:val="22"/>
        </w:rPr>
        <w:t>Staff attending appointments shall communicate relevant observations (recent health changes, behaviors, concerns) to the provider and shall document the outcome of all appointments in the clinical record within twenty-four (24) hours.</w:t>
      </w:r>
    </w:p>
    <w:p>
      <w:pPr>
        <w:pStyle w:val="Normal"/>
        <w:spacing w:before="30" w:after="30"/>
        <w:ind w:hanging="360" w:start="720"/>
        <w:rPr/>
      </w:pPr>
      <w:r>
        <w:rPr>
          <w:rFonts w:eastAsia="Arial" w:cs="Arial"/>
          <w:b/>
          <w:bCs/>
          <w:sz w:val="22"/>
          <w:szCs w:val="22"/>
        </w:rPr>
        <w:t xml:space="preserve">c.  </w:t>
      </w:r>
      <w:r>
        <w:rPr>
          <w:rFonts w:eastAsia="Arial" w:cs="Arial"/>
          <w:sz w:val="22"/>
          <w:szCs w:val="22"/>
        </w:rPr>
        <w:t>New orders, prescription changes, or referrals received at appointments shall be communicated to the Administrator immediately, entered on the MAR within two (2) hours, and communicated to all incoming shift staff.</w:t>
      </w:r>
    </w:p>
    <w:p>
      <w:pPr>
        <w:pStyle w:val="Normal"/>
        <w:spacing w:before="140" w:after="60"/>
        <w:rPr/>
      </w:pPr>
      <w:r>
        <w:rPr>
          <w:rFonts w:eastAsia="Arial" w:cs="Arial"/>
          <w:b/>
          <w:bCs/>
          <w:sz w:val="22"/>
          <w:szCs w:val="22"/>
          <w:u w:val="single"/>
        </w:rPr>
        <w:t>D. Emergency Medical Response</w:t>
      </w:r>
    </w:p>
    <w:p>
      <w:pPr>
        <w:pStyle w:val="Normal"/>
        <w:spacing w:before="30" w:after="30"/>
        <w:ind w:hanging="360" w:start="720"/>
        <w:rPr/>
      </w:pPr>
      <w:r>
        <w:rPr>
          <w:rFonts w:eastAsia="Arial" w:cs="Arial"/>
          <w:b/>
          <w:bCs/>
          <w:sz w:val="22"/>
          <w:szCs w:val="22"/>
        </w:rPr>
        <w:t xml:space="preserve">a.  </w:t>
      </w:r>
      <w:r>
        <w:rPr>
          <w:rFonts w:eastAsia="Arial" w:cs="Arial"/>
          <w:sz w:val="22"/>
          <w:szCs w:val="22"/>
        </w:rPr>
        <w:t>In any life-threatening emergency (unresponsiveness, severe respiratory distress, chest pain, uncontrolled bleeding, seizure in a person without a known seizure disorder, or severe injury), staff shall call 911 immediately.</w:t>
      </w:r>
    </w:p>
    <w:p>
      <w:pPr>
        <w:pStyle w:val="Normal"/>
        <w:spacing w:before="30" w:after="30"/>
        <w:ind w:hanging="360" w:start="720"/>
        <w:rPr/>
      </w:pPr>
      <w:r>
        <w:rPr>
          <w:rFonts w:eastAsia="Arial" w:cs="Arial"/>
          <w:b/>
          <w:bCs/>
          <w:sz w:val="22"/>
          <w:szCs w:val="22"/>
        </w:rPr>
        <w:t xml:space="preserve">b.  </w:t>
      </w:r>
      <w:r>
        <w:rPr>
          <w:rFonts w:eastAsia="Arial" w:cs="Arial"/>
          <w:sz w:val="22"/>
          <w:szCs w:val="22"/>
        </w:rPr>
        <w:t>Staff shall remain with the individual and follow dispatcher instructions until emergency services arrive. Staff shall have the individual's emergency information packet — current medication list, diagnoses, advance directive status, and insurance information — ready for emergency responders upon arrival.</w:t>
      </w:r>
    </w:p>
    <w:p>
      <w:pPr>
        <w:pStyle w:val="Normal"/>
        <w:spacing w:before="30" w:after="30"/>
        <w:ind w:hanging="360" w:start="720"/>
        <w:rPr/>
      </w:pPr>
      <w:r>
        <w:rPr>
          <w:rFonts w:eastAsia="Arial" w:cs="Arial"/>
          <w:b/>
          <w:bCs/>
          <w:sz w:val="22"/>
          <w:szCs w:val="22"/>
        </w:rPr>
        <w:t xml:space="preserve">c.  </w:t>
      </w:r>
      <w:r>
        <w:rPr>
          <w:rFonts w:eastAsia="Arial" w:cs="Arial"/>
          <w:sz w:val="22"/>
          <w:szCs w:val="22"/>
        </w:rPr>
        <w:t>The Administrator shall be notified of any emergency medical event immediately or as soon as safely possible. An incident report (Policy 5.00) shall be completed for all emergency medical events.</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Health Monitoring Documentation / Flow Sheet</w:t>
      </w:r>
    </w:p>
    <w:p>
      <w:pPr>
        <w:pStyle w:val="ListParagraph"/>
        <w:numPr>
          <w:ilvl w:val="0"/>
          <w:numId w:val="1"/>
        </w:numPr>
        <w:spacing w:before="30" w:after="30"/>
        <w:rPr/>
      </w:pPr>
      <w:r>
        <w:rPr>
          <w:rFonts w:eastAsia="Arial" w:cs="Arial"/>
          <w:sz w:val="22"/>
          <w:szCs w:val="22"/>
        </w:rPr>
        <w:t>Healthcare Provider Contact List</w:t>
      </w:r>
    </w:p>
    <w:p>
      <w:pPr>
        <w:pStyle w:val="ListParagraph"/>
        <w:numPr>
          <w:ilvl w:val="0"/>
          <w:numId w:val="1"/>
        </w:numPr>
        <w:spacing w:before="30" w:after="30"/>
        <w:rPr/>
      </w:pPr>
      <w:r>
        <w:rPr>
          <w:rFonts w:eastAsia="Arial" w:cs="Arial"/>
          <w:sz w:val="22"/>
          <w:szCs w:val="22"/>
        </w:rPr>
        <w:t>Progress Note Form</w:t>
      </w:r>
    </w:p>
    <w:p>
      <w:pPr>
        <w:pStyle w:val="ListParagraph"/>
        <w:numPr>
          <w:ilvl w:val="0"/>
          <w:numId w:val="1"/>
        </w:numPr>
        <w:spacing w:before="30" w:after="30"/>
        <w:rPr/>
      </w:pPr>
      <w:r>
        <w:rPr>
          <w:rFonts w:eastAsia="Arial" w:cs="Arial"/>
          <w:sz w:val="22"/>
          <w:szCs w:val="22"/>
        </w:rPr>
        <w:t>Appointment Summary Form</w:t>
      </w:r>
    </w:p>
    <w:p>
      <w:pPr>
        <w:pStyle w:val="ListParagraph"/>
        <w:numPr>
          <w:ilvl w:val="0"/>
          <w:numId w:val="1"/>
        </w:numPr>
        <w:spacing w:before="30" w:after="30"/>
        <w:rPr/>
      </w:pPr>
      <w:r>
        <w:rPr>
          <w:rFonts w:eastAsia="Arial" w:cs="Arial"/>
          <w:sz w:val="22"/>
          <w:szCs w:val="22"/>
        </w:rPr>
        <w:t>Individual Emergency Information Packet</w:t>
      </w:r>
    </w:p>
    <w:p>
      <w:pPr>
        <w:pStyle w:val="ListParagraph"/>
        <w:numPr>
          <w:ilvl w:val="0"/>
          <w:numId w:val="1"/>
        </w:numPr>
        <w:spacing w:before="30" w:after="30"/>
        <w:rPr/>
      </w:pPr>
      <w:r>
        <w:rPr>
          <w:rFonts w:eastAsia="Arial" w:cs="Arial"/>
          <w:sz w:val="22"/>
          <w:szCs w:val="22"/>
        </w:rPr>
        <w:t>Incident Report Form (Policy 5.00)</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#3.05: Behavioral Support &amp; Positive Behavior Strategies</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Clinical / Care Services</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3.05</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CTS.04 (JC Behavioral Care); State HCBS Behavioral Support Requirements; Individual Behavior Support Plan (BSP); 42 CFR 441.301</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[Provider Name /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establish standards for delivering respectful, effective, person-centered behavioral support using positive strategies; to prohibit aversive, punitive, or restrictive interventions without proper authorization; and to ensure that all staff are trained in de-escalation as the primary response to behavioral challenges.</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This Provider shall support individuals using the positive behavior strategies identified in the individual's Behavior Support Plan (BSP) or PCP/ISP. Aversive techniques, unauthorized physical restraints, and punitive interventions are strictly prohibited. De-escalation is the first and preferred response to all behavioral challenges. Staff shall be trained in de-escalation and positive behavior support before working independently with any individual who has a behavioral support plan.</w:t>
      </w:r>
    </w:p>
    <w:p>
      <w:pPr>
        <w:pStyle w:val="Normal"/>
        <w:spacing w:before="120" w:after="40"/>
        <w:rPr/>
      </w:pPr>
      <w:r>
        <w:rPr>
          <w:rFonts w:eastAsia="Arial" w:cs="Arial"/>
          <w:b/>
          <w:bCs/>
          <w:color w:val="2E5DA8"/>
          <w:sz w:val="22"/>
          <w:szCs w:val="22"/>
        </w:rPr>
        <w:t>PROHIBITED PRACTICES — ABSOLUTE</w:t>
      </w:r>
    </w:p>
    <w:p>
      <w:pPr>
        <w:pStyle w:val="Normal"/>
        <w:spacing w:before="40" w:after="60"/>
        <w:rPr/>
      </w:pPr>
      <w:r>
        <w:rPr>
          <w:rFonts w:eastAsia="Arial" w:cs="Arial"/>
          <w:sz w:val="22"/>
          <w:szCs w:val="22"/>
        </w:rPr>
        <w:t>The following are prohibited under all circumstances without exception:</w:t>
      </w:r>
    </w:p>
    <w:p>
      <w:pPr>
        <w:pStyle w:val="ListParagraph"/>
        <w:numPr>
          <w:ilvl w:val="0"/>
          <w:numId w:val="1"/>
        </w:numPr>
        <w:spacing w:before="30" w:after="30"/>
        <w:rPr/>
      </w:pPr>
      <w:r>
        <w:rPr>
          <w:rFonts w:eastAsia="Arial" w:cs="Arial"/>
          <w:sz w:val="22"/>
          <w:szCs w:val="22"/>
        </w:rPr>
        <w:t>Any form of physical punishment or use of pain as a consequence</w:t>
      </w:r>
    </w:p>
    <w:p>
      <w:pPr>
        <w:pStyle w:val="ListParagraph"/>
        <w:numPr>
          <w:ilvl w:val="0"/>
          <w:numId w:val="1"/>
        </w:numPr>
        <w:spacing w:before="30" w:after="30"/>
        <w:rPr/>
      </w:pPr>
      <w:r>
        <w:rPr>
          <w:rFonts w:eastAsia="Arial" w:cs="Arial"/>
          <w:sz w:val="22"/>
          <w:szCs w:val="22"/>
        </w:rPr>
        <w:t>Withholding of food, water, clothing, shelter, communication, or basic care as a consequence</w:t>
      </w:r>
    </w:p>
    <w:p>
      <w:pPr>
        <w:pStyle w:val="ListParagraph"/>
        <w:numPr>
          <w:ilvl w:val="0"/>
          <w:numId w:val="1"/>
        </w:numPr>
        <w:spacing w:before="30" w:after="30"/>
        <w:rPr/>
      </w:pPr>
      <w:r>
        <w:rPr>
          <w:rFonts w:eastAsia="Arial" w:cs="Arial"/>
          <w:sz w:val="22"/>
          <w:szCs w:val="22"/>
        </w:rPr>
        <w:t>Seclusion — placing an individual alone in a locked room or space</w:t>
      </w:r>
    </w:p>
    <w:p>
      <w:pPr>
        <w:pStyle w:val="ListParagraph"/>
        <w:numPr>
          <w:ilvl w:val="0"/>
          <w:numId w:val="1"/>
        </w:numPr>
        <w:spacing w:before="30" w:after="30"/>
        <w:rPr/>
      </w:pPr>
      <w:r>
        <w:rPr>
          <w:rFonts w:eastAsia="Arial" w:cs="Arial"/>
          <w:sz w:val="22"/>
          <w:szCs w:val="22"/>
        </w:rPr>
        <w:t>Unauthorized mechanical restraint (the use of any device to restrict movement without a properly authorized, reviewed, and consented BSP restraint procedure)</w:t>
      </w:r>
    </w:p>
    <w:p>
      <w:pPr>
        <w:pStyle w:val="ListParagraph"/>
        <w:numPr>
          <w:ilvl w:val="0"/>
          <w:numId w:val="1"/>
        </w:numPr>
        <w:spacing w:before="30" w:after="30"/>
        <w:rPr/>
      </w:pPr>
      <w:r>
        <w:rPr>
          <w:rFonts w:eastAsia="Arial" w:cs="Arial"/>
          <w:sz w:val="22"/>
          <w:szCs w:val="22"/>
        </w:rPr>
        <w:t>Physical restraint, unless specifically authorized in a reviewed BSP with all required regulatory safeguards in place and only by staff currently trained in the authorized method</w:t>
      </w:r>
    </w:p>
    <w:p>
      <w:pPr>
        <w:pStyle w:val="ListParagraph"/>
        <w:numPr>
          <w:ilvl w:val="0"/>
          <w:numId w:val="1"/>
        </w:numPr>
        <w:spacing w:before="30" w:after="30"/>
        <w:rPr/>
      </w:pPr>
      <w:r>
        <w:rPr>
          <w:rFonts w:eastAsia="Arial" w:cs="Arial"/>
          <w:sz w:val="22"/>
          <w:szCs w:val="22"/>
        </w:rPr>
        <w:t>Threats, intimidation, or use of fear as a behavioral management tool</w:t>
      </w:r>
    </w:p>
    <w:p>
      <w:pPr>
        <w:pStyle w:val="ListParagraph"/>
        <w:numPr>
          <w:ilvl w:val="0"/>
          <w:numId w:val="1"/>
        </w:numPr>
        <w:spacing w:before="30" w:after="30"/>
        <w:rPr/>
      </w:pPr>
      <w:r>
        <w:rPr>
          <w:rFonts w:eastAsia="Arial" w:cs="Arial"/>
          <w:sz w:val="22"/>
          <w:szCs w:val="22"/>
        </w:rPr>
        <w:t>Humiliation, ridicule, or verbal degradation in any form</w:t>
      </w:r>
    </w:p>
    <w:p>
      <w:pPr>
        <w:pStyle w:val="ListParagraph"/>
        <w:numPr>
          <w:ilvl w:val="0"/>
          <w:numId w:val="1"/>
        </w:numPr>
        <w:spacing w:before="30" w:after="30"/>
        <w:rPr/>
      </w:pPr>
      <w:r>
        <w:rPr>
          <w:rFonts w:eastAsia="Arial" w:cs="Arial"/>
          <w:sz w:val="22"/>
          <w:szCs w:val="22"/>
        </w:rPr>
        <w:t>Any technique not explicitly authorized in the individual's current BSP</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BSP Implementation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Staff shall review and demonstrate understanding of each individual's BSP or behavioral strategies documented in the PCP/ISP before providing unsupervised care to that individual.</w:t>
      </w:r>
    </w:p>
    <w:p>
      <w:pPr>
        <w:pStyle w:val="Normal"/>
        <w:spacing w:before="30" w:after="30"/>
        <w:ind w:hanging="360" w:start="720"/>
        <w:rPr/>
      </w:pPr>
      <w:r>
        <w:rPr>
          <w:rFonts w:eastAsia="Arial" w:cs="Arial"/>
          <w:b/>
          <w:bCs/>
          <w:sz w:val="22"/>
          <w:szCs w:val="22"/>
        </w:rPr>
        <w:t xml:space="preserve">b.  </w:t>
      </w:r>
      <w:r>
        <w:rPr>
          <w:rFonts w:eastAsia="Arial" w:cs="Arial"/>
          <w:sz w:val="22"/>
          <w:szCs w:val="22"/>
        </w:rPr>
        <w:t>Positive strategies shall be applied consistently across all staff, all settings, and all times of day.</w:t>
      </w:r>
    </w:p>
    <w:p>
      <w:pPr>
        <w:pStyle w:val="Normal"/>
        <w:spacing w:before="30" w:after="30"/>
        <w:ind w:hanging="360" w:start="720"/>
        <w:rPr/>
      </w:pPr>
      <w:r>
        <w:rPr>
          <w:rFonts w:eastAsia="Arial" w:cs="Arial"/>
          <w:b/>
          <w:bCs/>
          <w:sz w:val="22"/>
          <w:szCs w:val="22"/>
        </w:rPr>
        <w:t xml:space="preserve">c.  </w:t>
      </w:r>
      <w:r>
        <w:rPr>
          <w:rFonts w:eastAsia="Arial" w:cs="Arial"/>
          <w:sz w:val="22"/>
          <w:szCs w:val="22"/>
        </w:rPr>
        <w:t>Staff shall document behavioral observations in the progress note at each shift, noting: antecedents, behavior observed (specific, objective description), staff response, individual's response to the intervention, and outcome.</w:t>
      </w:r>
    </w:p>
    <w:p>
      <w:pPr>
        <w:pStyle w:val="Normal"/>
        <w:spacing w:before="140" w:after="60"/>
        <w:rPr/>
      </w:pPr>
      <w:r>
        <w:rPr>
          <w:rFonts w:eastAsia="Arial" w:cs="Arial"/>
          <w:b/>
          <w:bCs/>
          <w:sz w:val="22"/>
          <w:szCs w:val="22"/>
          <w:u w:val="single"/>
        </w:rPr>
        <w:t>B. De-escalation as the Primary Response</w:t>
      </w:r>
    </w:p>
    <w:p>
      <w:pPr>
        <w:pStyle w:val="Normal"/>
        <w:spacing w:before="30" w:after="30"/>
        <w:ind w:hanging="360" w:start="720"/>
        <w:rPr/>
      </w:pPr>
      <w:r>
        <w:rPr>
          <w:rFonts w:eastAsia="Arial" w:cs="Arial"/>
          <w:b/>
          <w:bCs/>
          <w:sz w:val="22"/>
          <w:szCs w:val="22"/>
        </w:rPr>
        <w:t xml:space="preserve">a.  </w:t>
      </w:r>
      <w:r>
        <w:rPr>
          <w:rFonts w:eastAsia="Arial" w:cs="Arial"/>
          <w:sz w:val="22"/>
          <w:szCs w:val="22"/>
        </w:rPr>
        <w:t>Staff shall use verbal de-escalation strategies as the first and preferred response to any escalating behavior. De-escalation includes: using a calm voice and non-threatening body language, offering choices, reducing environmental stimuli, validating the individual's feelings, and giving the individual space when safe to do so.</w:t>
      </w:r>
    </w:p>
    <w:p>
      <w:pPr>
        <w:pStyle w:val="Normal"/>
        <w:spacing w:before="30" w:after="30"/>
        <w:ind w:hanging="360" w:start="720"/>
        <w:rPr/>
      </w:pPr>
      <w:r>
        <w:rPr>
          <w:rFonts w:eastAsia="Arial" w:cs="Arial"/>
          <w:b/>
          <w:bCs/>
          <w:sz w:val="22"/>
          <w:szCs w:val="22"/>
        </w:rPr>
        <w:t xml:space="preserve">b.  </w:t>
      </w:r>
      <w:r>
        <w:rPr>
          <w:rFonts w:eastAsia="Arial" w:cs="Arial"/>
          <w:sz w:val="22"/>
          <w:szCs w:val="22"/>
        </w:rPr>
        <w:t>Physical intervention shall be used only as an absolute last resort to prevent imminent harm, only within the scope of authorized procedures, and only by staff trained in the authorized method. All physical interventions shall be documented immediately and reviewed by the Administrator within twenty-four (24) hours.</w:t>
      </w:r>
    </w:p>
    <w:p>
      <w:pPr>
        <w:pStyle w:val="Normal"/>
        <w:spacing w:before="140" w:after="60"/>
        <w:rPr/>
      </w:pPr>
      <w:r>
        <w:rPr>
          <w:rFonts w:eastAsia="Arial" w:cs="Arial"/>
          <w:b/>
          <w:bCs/>
          <w:sz w:val="22"/>
          <w:szCs w:val="22"/>
          <w:u w:val="single"/>
        </w:rPr>
        <w:t>C. Behavioral Incident Reporting</w:t>
      </w:r>
    </w:p>
    <w:p>
      <w:pPr>
        <w:pStyle w:val="Normal"/>
        <w:spacing w:before="30" w:after="30"/>
        <w:ind w:hanging="360" w:start="720"/>
        <w:rPr/>
      </w:pPr>
      <w:r>
        <w:rPr>
          <w:rFonts w:eastAsia="Arial" w:cs="Arial"/>
          <w:b/>
          <w:bCs/>
          <w:sz w:val="22"/>
          <w:szCs w:val="22"/>
        </w:rPr>
        <w:t xml:space="preserve">a.  </w:t>
      </w:r>
      <w:r>
        <w:rPr>
          <w:rFonts w:eastAsia="Arial" w:cs="Arial"/>
          <w:sz w:val="22"/>
          <w:szCs w:val="22"/>
        </w:rPr>
        <w:t>Any behavioral incident shall be documented on a Behavioral Incident Report within the shift and communicated to the Administrator.</w:t>
      </w:r>
    </w:p>
    <w:p>
      <w:pPr>
        <w:pStyle w:val="Normal"/>
        <w:spacing w:before="30" w:after="30"/>
        <w:ind w:hanging="360" w:start="720"/>
        <w:rPr/>
      </w:pPr>
      <w:r>
        <w:rPr>
          <w:rFonts w:eastAsia="Arial" w:cs="Arial"/>
          <w:b/>
          <w:bCs/>
          <w:sz w:val="22"/>
          <w:szCs w:val="22"/>
        </w:rPr>
        <w:t xml:space="preserve">b.  </w:t>
      </w:r>
      <w:r>
        <w:rPr>
          <w:rFonts w:eastAsia="Arial" w:cs="Arial"/>
          <w:sz w:val="22"/>
          <w:szCs w:val="22"/>
        </w:rPr>
        <w:t>Patterns of behavioral incidents shall be reviewed at the Quality Management meeting and used to inform BSP revision requests.</w:t>
      </w:r>
    </w:p>
    <w:p>
      <w:pPr>
        <w:pStyle w:val="Normal"/>
        <w:spacing w:before="140" w:after="60"/>
        <w:rPr/>
      </w:pPr>
      <w:r>
        <w:rPr>
          <w:rFonts w:eastAsia="Arial" w:cs="Arial"/>
          <w:b/>
          <w:bCs/>
          <w:sz w:val="22"/>
          <w:szCs w:val="22"/>
          <w:u w:val="single"/>
        </w:rPr>
        <w:t>D. BSP Review Requests</w:t>
      </w:r>
    </w:p>
    <w:p>
      <w:pPr>
        <w:pStyle w:val="Normal"/>
        <w:spacing w:before="30" w:after="30"/>
        <w:ind w:hanging="360" w:start="720"/>
        <w:rPr/>
      </w:pPr>
      <w:r>
        <w:rPr>
          <w:rFonts w:eastAsia="Arial" w:cs="Arial"/>
          <w:b/>
          <w:bCs/>
          <w:sz w:val="22"/>
          <w:szCs w:val="22"/>
        </w:rPr>
        <w:t xml:space="preserve">a.  </w:t>
      </w:r>
      <w:r>
        <w:rPr>
          <w:rFonts w:eastAsia="Arial" w:cs="Arial"/>
          <w:sz w:val="22"/>
          <w:szCs w:val="22"/>
        </w:rPr>
        <w:t>The Administrator shall request an urgent BSP review with the interdisciplinary team when: the plan is not reducing target behaviors over a thirty (30) day period, a new significant behavior emerges, staff express consistent difficulty with implementation, or a restraint is used.</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Behavioral Incident Report</w:t>
      </w:r>
    </w:p>
    <w:p>
      <w:pPr>
        <w:pStyle w:val="ListParagraph"/>
        <w:numPr>
          <w:ilvl w:val="0"/>
          <w:numId w:val="1"/>
        </w:numPr>
        <w:spacing w:before="30" w:after="30"/>
        <w:rPr/>
      </w:pPr>
      <w:r>
        <w:rPr>
          <w:rFonts w:eastAsia="Arial" w:cs="Arial"/>
          <w:sz w:val="22"/>
          <w:szCs w:val="22"/>
        </w:rPr>
        <w:t>Current BSP — maintained by Case Management/Support Coordinator</w:t>
      </w:r>
    </w:p>
    <w:p>
      <w:pPr>
        <w:pStyle w:val="ListParagraph"/>
        <w:numPr>
          <w:ilvl w:val="0"/>
          <w:numId w:val="1"/>
        </w:numPr>
        <w:spacing w:before="30" w:after="30"/>
        <w:rPr/>
      </w:pPr>
      <w:r>
        <w:rPr>
          <w:rFonts w:eastAsia="Arial" w:cs="Arial"/>
          <w:sz w:val="22"/>
          <w:szCs w:val="22"/>
        </w:rPr>
        <w:t>Progress Note Form</w:t>
      </w:r>
    </w:p>
    <w:p>
      <w:pPr>
        <w:pStyle w:val="ListParagraph"/>
        <w:numPr>
          <w:ilvl w:val="0"/>
          <w:numId w:val="1"/>
        </w:numPr>
        <w:spacing w:before="30" w:after="30"/>
        <w:rPr/>
      </w:pPr>
      <w:r>
        <w:rPr>
          <w:rFonts w:eastAsia="Arial" w:cs="Arial"/>
          <w:sz w:val="22"/>
          <w:szCs w:val="22"/>
        </w:rPr>
        <w:t>Incident Report Form (Policy 5.00)</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#3.06: Management of Individual Funds &amp; Personal Property</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Administration / Finance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3.06</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CTS.05 (JC Fiduciary Responsibility); State HCBS Waiver Financial Management Requirements; State Statute — Individual Rights to Personal Property</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[Provider Name /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ensure that any funds or property entrusted to this Provider on behalf of an individual are managed with full transparency, strict accountability, complete separation from Provider operating funds, and in compliance with applicable state requirements.</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This Provider acts as a fiduciary for any individual funds managed on behalf of an individual. Fiduciary duty is among the highest obligations in law. Individual funds shall at all times be kept separate from Provider operating funds, properly accounted for, and available for the individual's use at their request. No Provider, staff member, or household member shall borrow from, accept gifts from, or use any individual funds for any personal purpose. Violation of this policy constitutes financial exploitation and may be reported to Adult Protective Services.</w:t>
      </w:r>
    </w:p>
    <w:p>
      <w:pPr>
        <w:pStyle w:val="Normal"/>
        <w:spacing w:before="120" w:after="40"/>
        <w:rPr/>
      </w:pPr>
      <w:r>
        <w:rPr>
          <w:rFonts w:eastAsia="Arial" w:cs="Arial"/>
          <w:b/>
          <w:bCs/>
          <w:color w:val="2E5DA8"/>
          <w:sz w:val="22"/>
          <w:szCs w:val="22"/>
        </w:rPr>
        <w:t>DEFINITIONS</w:t>
      </w:r>
    </w:p>
    <w:p>
      <w:pPr>
        <w:pStyle w:val="ListParagraph"/>
        <w:numPr>
          <w:ilvl w:val="0"/>
          <w:numId w:val="1"/>
        </w:numPr>
        <w:spacing w:before="30" w:after="30"/>
        <w:rPr/>
      </w:pPr>
      <w:r>
        <w:rPr>
          <w:rFonts w:eastAsia="Arial" w:cs="Arial"/>
          <w:sz w:val="22"/>
          <w:szCs w:val="22"/>
        </w:rPr>
        <w:t>Personal Funds: Any money belonging to the individual, including income, benefits, personal spending allowances, or any other personal financial resource.</w:t>
      </w:r>
    </w:p>
    <w:p>
      <w:pPr>
        <w:pStyle w:val="ListParagraph"/>
        <w:numPr>
          <w:ilvl w:val="0"/>
          <w:numId w:val="1"/>
        </w:numPr>
        <w:spacing w:before="30" w:after="30"/>
        <w:rPr/>
      </w:pPr>
      <w:r>
        <w:rPr>
          <w:rFonts w:eastAsia="Arial" w:cs="Arial"/>
          <w:sz w:val="22"/>
          <w:szCs w:val="22"/>
        </w:rPr>
        <w:t>Fiduciary: An individual or organization that manages money or property on another's behalf under the highest legal obligation of good faith, loyalty, and care.</w:t>
      </w:r>
    </w:p>
    <w:p>
      <w:pPr>
        <w:pStyle w:val="ListParagraph"/>
        <w:numPr>
          <w:ilvl w:val="0"/>
          <w:numId w:val="1"/>
        </w:numPr>
        <w:spacing w:before="30" w:after="30"/>
        <w:rPr/>
      </w:pPr>
      <w:r>
        <w:rPr>
          <w:rFonts w:eastAsia="Arial" w:cs="Arial"/>
          <w:sz w:val="22"/>
          <w:szCs w:val="22"/>
        </w:rPr>
        <w:t>Financial Exploitation: Unauthorized use, misappropriation, theft, or mismanagement of an individual's money or property.</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Fund Accounts and Separation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Individual personal funds entrusted to this Provider shall be held in a dedicated, labeled account or secured lock box. Funds shall never be commingled with Provider operating funds under any circumstances.</w:t>
      </w:r>
    </w:p>
    <w:p>
      <w:pPr>
        <w:pStyle w:val="Normal"/>
        <w:spacing w:before="30" w:after="30"/>
        <w:ind w:hanging="360" w:start="720"/>
        <w:rPr/>
      </w:pPr>
      <w:r>
        <w:rPr>
          <w:rFonts w:eastAsia="Arial" w:cs="Arial"/>
          <w:b/>
          <w:bCs/>
          <w:sz w:val="22"/>
          <w:szCs w:val="22"/>
        </w:rPr>
        <w:t xml:space="preserve">b.  </w:t>
      </w:r>
      <w:r>
        <w:rPr>
          <w:rFonts w:eastAsia="Arial" w:cs="Arial"/>
          <w:sz w:val="22"/>
          <w:szCs w:val="22"/>
        </w:rPr>
        <w:t>Any individual account holding funds in excess of the threshold established by state regulation shall be maintained in a federally insured interest-bearing account. Interest earned belongs to the individual.</w:t>
      </w:r>
    </w:p>
    <w:p>
      <w:pPr>
        <w:pStyle w:val="Normal"/>
        <w:spacing w:before="140" w:after="60"/>
        <w:rPr/>
      </w:pPr>
      <w:r>
        <w:rPr>
          <w:rFonts w:eastAsia="Arial" w:cs="Arial"/>
          <w:b/>
          <w:bCs/>
          <w:sz w:val="22"/>
          <w:szCs w:val="22"/>
          <w:u w:val="single"/>
        </w:rPr>
        <w:t>B. Disbursement Authorization and Documentation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All disbursements from individual funds require written or documented verbal authorization from the individual and/or their legal guardian prior to expenditure.</w:t>
      </w:r>
    </w:p>
    <w:p>
      <w:pPr>
        <w:pStyle w:val="Normal"/>
        <w:spacing w:before="30" w:after="30"/>
        <w:ind w:hanging="360" w:start="720"/>
        <w:rPr/>
      </w:pPr>
      <w:r>
        <w:rPr>
          <w:rFonts w:eastAsia="Arial" w:cs="Arial"/>
          <w:b/>
          <w:bCs/>
          <w:sz w:val="22"/>
          <w:szCs w:val="22"/>
        </w:rPr>
        <w:t xml:space="preserve">b.  </w:t>
      </w:r>
      <w:r>
        <w:rPr>
          <w:rFonts w:eastAsia="Arial" w:cs="Arial"/>
          <w:sz w:val="22"/>
          <w:szCs w:val="22"/>
        </w:rPr>
        <w:t>A receipt shall be obtained for every expenditure and filed in the individual's financial record. If no receipt is available (e.g., vending machine), the amount, date, and purpose shall be documented and signed by both the staff member who assisted and the individual.</w:t>
      </w:r>
    </w:p>
    <w:p>
      <w:pPr>
        <w:pStyle w:val="Normal"/>
        <w:spacing w:before="30" w:after="30"/>
        <w:ind w:hanging="360" w:start="720"/>
        <w:rPr/>
      </w:pPr>
      <w:r>
        <w:rPr>
          <w:rFonts w:eastAsia="Arial" w:cs="Arial"/>
          <w:b/>
          <w:bCs/>
          <w:sz w:val="22"/>
          <w:szCs w:val="22"/>
        </w:rPr>
        <w:t xml:space="preserve">c.  </w:t>
      </w:r>
      <w:r>
        <w:rPr>
          <w:rFonts w:eastAsia="Arial" w:cs="Arial"/>
          <w:sz w:val="22"/>
          <w:szCs w:val="22"/>
        </w:rPr>
        <w:t>No Provider or staff member shall accept cash, gifts, bequests, or other transfers of personal property from individuals or their families. Any unsolicited gift shall be reported to the Administrator and handled per state policy.</w:t>
      </w:r>
    </w:p>
    <w:p>
      <w:pPr>
        <w:pStyle w:val="Normal"/>
        <w:spacing w:before="140" w:after="60"/>
        <w:rPr/>
      </w:pPr>
      <w:r>
        <w:rPr>
          <w:rFonts w:eastAsia="Arial" w:cs="Arial"/>
          <w:b/>
          <w:bCs/>
          <w:sz w:val="22"/>
          <w:szCs w:val="22"/>
          <w:u w:val="single"/>
        </w:rPr>
        <w:t>C. Accounting, Reporting, and Transparency</w:t>
      </w:r>
    </w:p>
    <w:p>
      <w:pPr>
        <w:pStyle w:val="Normal"/>
        <w:spacing w:before="30" w:after="30"/>
        <w:ind w:hanging="360" w:start="720"/>
        <w:rPr/>
      </w:pPr>
      <w:r>
        <w:rPr>
          <w:rFonts w:eastAsia="Arial" w:cs="Arial"/>
          <w:b/>
          <w:bCs/>
          <w:sz w:val="22"/>
          <w:szCs w:val="22"/>
        </w:rPr>
        <w:t xml:space="preserve">a.  </w:t>
      </w:r>
      <w:r>
        <w:rPr>
          <w:rFonts w:eastAsia="Arial" w:cs="Arial"/>
          <w:sz w:val="22"/>
          <w:szCs w:val="22"/>
        </w:rPr>
        <w:t>A written monthly account statement shall be provided to each individual (or legal guardian) whose funds are managed by this Provider. The statement shall include: opening balance, all deposits with dates and sources, all withdrawals with dates, amounts, and purposes, and closing balance.</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complete financial record shall be available for inspection by the individual, the individual's guardian, the Support Coordinator/Case Manager, and state regulatory or licensing authorities at any time upon request.</w:t>
      </w:r>
    </w:p>
    <w:p>
      <w:pPr>
        <w:pStyle w:val="Normal"/>
        <w:spacing w:before="30" w:after="30"/>
        <w:ind w:hanging="360" w:start="720"/>
        <w:rPr/>
      </w:pPr>
      <w:r>
        <w:rPr>
          <w:rFonts w:eastAsia="Arial" w:cs="Arial"/>
          <w:b/>
          <w:bCs/>
          <w:sz w:val="22"/>
          <w:szCs w:val="22"/>
        </w:rPr>
        <w:t xml:space="preserve">c.  </w:t>
      </w:r>
      <w:r>
        <w:rPr>
          <w:rFonts w:eastAsia="Arial" w:cs="Arial"/>
          <w:sz w:val="22"/>
          <w:szCs w:val="22"/>
        </w:rPr>
        <w:t>Financial records shall be retained for a minimum of three (3) years, or longer if required by state law.</w:t>
      </w:r>
    </w:p>
    <w:p>
      <w:pPr>
        <w:pStyle w:val="Normal"/>
        <w:spacing w:before="140" w:after="60"/>
        <w:rPr/>
      </w:pPr>
      <w:r>
        <w:rPr>
          <w:rFonts w:eastAsia="Arial" w:cs="Arial"/>
          <w:b/>
          <w:bCs/>
          <w:sz w:val="22"/>
          <w:szCs w:val="22"/>
          <w:u w:val="single"/>
        </w:rPr>
        <w:t>D. Property Inventory</w:t>
      </w:r>
    </w:p>
    <w:p>
      <w:pPr>
        <w:pStyle w:val="Normal"/>
        <w:spacing w:before="30" w:after="30"/>
        <w:ind w:hanging="360" w:start="720"/>
        <w:rPr/>
      </w:pPr>
      <w:r>
        <w:rPr>
          <w:rFonts w:eastAsia="Arial" w:cs="Arial"/>
          <w:b/>
          <w:bCs/>
          <w:sz w:val="22"/>
          <w:szCs w:val="22"/>
        </w:rPr>
        <w:t xml:space="preserve">a.  </w:t>
      </w:r>
      <w:r>
        <w:rPr>
          <w:rFonts w:eastAsia="Arial" w:cs="Arial"/>
          <w:sz w:val="22"/>
          <w:szCs w:val="22"/>
        </w:rPr>
        <w:t>An inventory of the individual's significant personal property shall be completed at admission and updated when items are added or removed. The individual and/or guardian shall sign the inventory at each annual review.</w:t>
      </w:r>
    </w:p>
    <w:p>
      <w:pPr>
        <w:pStyle w:val="Normal"/>
        <w:spacing w:before="30" w:after="30"/>
        <w:ind w:hanging="360" w:start="720"/>
        <w:rPr/>
      </w:pPr>
      <w:r>
        <w:rPr>
          <w:rFonts w:eastAsia="Arial" w:cs="Arial"/>
          <w:b/>
          <w:bCs/>
          <w:sz w:val="22"/>
          <w:szCs w:val="22"/>
        </w:rPr>
        <w:t xml:space="preserve">b.  </w:t>
      </w:r>
      <w:r>
        <w:rPr>
          <w:rFonts w:eastAsia="Arial" w:cs="Arial"/>
          <w:sz w:val="22"/>
          <w:szCs w:val="22"/>
        </w:rPr>
        <w:t>Any loss, damage, or theft of personal property shall be reported to the Administrator immediately and documented. Stolen property shall be reported to law enforcement.</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Individual Fund Account / Ledger</w:t>
      </w:r>
    </w:p>
    <w:p>
      <w:pPr>
        <w:pStyle w:val="ListParagraph"/>
        <w:numPr>
          <w:ilvl w:val="0"/>
          <w:numId w:val="1"/>
        </w:numPr>
        <w:spacing w:before="30" w:after="30"/>
        <w:rPr/>
      </w:pPr>
      <w:r>
        <w:rPr>
          <w:rFonts w:eastAsia="Arial" w:cs="Arial"/>
          <w:sz w:val="22"/>
          <w:szCs w:val="22"/>
        </w:rPr>
        <w:t>Disbursement Authorization and Receipt Form</w:t>
      </w:r>
    </w:p>
    <w:p>
      <w:pPr>
        <w:pStyle w:val="ListParagraph"/>
        <w:numPr>
          <w:ilvl w:val="0"/>
          <w:numId w:val="1"/>
        </w:numPr>
        <w:spacing w:before="30" w:after="30"/>
        <w:rPr/>
      </w:pPr>
      <w:r>
        <w:rPr>
          <w:rFonts w:eastAsia="Arial" w:cs="Arial"/>
          <w:sz w:val="22"/>
          <w:szCs w:val="22"/>
        </w:rPr>
        <w:t>Monthly Account Statement</w:t>
      </w:r>
    </w:p>
    <w:p>
      <w:pPr>
        <w:pStyle w:val="ListParagraph"/>
        <w:numPr>
          <w:ilvl w:val="0"/>
          <w:numId w:val="1"/>
        </w:numPr>
        <w:spacing w:before="30" w:after="30"/>
        <w:rPr/>
      </w:pPr>
      <w:r>
        <w:rPr>
          <w:rFonts w:eastAsia="Arial" w:cs="Arial"/>
          <w:sz w:val="22"/>
          <w:szCs w:val="22"/>
        </w:rPr>
        <w:t>Personal Property Inventory Form</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bl>
    <w:p>
      <w:pPr>
        <w:pStyle w:val="Normal"/>
        <w:rPr/>
      </w:pPr>
      <w:r>
        <w:rPr/>
        <w:br/>
      </w:r>
    </w:p>
    <w:p>
      <w:pPr>
        <w:pStyle w:val="Normal"/>
        <w:shd w:val="clear" w:fill="1F3864"/>
        <w:spacing w:before="0" w:after="0"/>
        <w:jc w:val="center"/>
        <w:rPr/>
      </w:pPr>
      <w:r>
        <w:rPr>
          <w:rFonts w:eastAsia="Arial" w:cs="Arial"/>
          <w:b/>
          <w:bCs/>
          <w:color w:val="FFFFFF"/>
          <w:sz w:val="32"/>
          <w:szCs w:val="32"/>
        </w:rPr>
        <w:t>SECTION D: MEDICATION MANAGEMENT</w:t>
      </w:r>
    </w:p>
    <w:p>
      <w:pPr>
        <w:pStyle w:val="Normal"/>
        <w:spacing w:before="0" w:after="200"/>
        <w:rPr/>
      </w:pPr>
      <w:r>
        <w:rP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#4.00: Medication Management — Ordering, Storage, Administration &amp; Monitoring</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Clinical / Medication Management</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4.00</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MM.01–MM.09 (JC Medication Management); State QMAP / Medication Administration Regulations; Controlled Substances Act 21 U.S.C. §801; HIPAA; Individual Physician Orders</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[Provider Name /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establish a comprehensive, safe medication management system that covers the full medication sub-process chain from procurement through monitoring and evaluation, in alignment with Joint Commission Medication Management standards. This policy ensures that medications are managed safely at every stage, that transitions of care include medication reconciliation, that high-alert medications receive enhanced safeguards, and that all adverse drug events are identified, reported, and acted upon.</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Medications shall be managed safely across all sub-processes. Only authorized, appropriately trained personnel shall administer medications. The Medication Administration Record (MAR) is the controlling document for all medication activities. Medication management processes shall be reviewed through the Quality Management Program and improved based on error, adverse event, and near-miss data.</w:t>
      </w:r>
    </w:p>
    <w:p>
      <w:pPr>
        <w:pStyle w:val="Normal"/>
        <w:spacing w:before="120" w:after="40"/>
        <w:rPr/>
      </w:pPr>
      <w:r>
        <w:rPr>
          <w:rFonts w:eastAsia="Arial" w:cs="Arial"/>
          <w:b/>
          <w:bCs/>
          <w:color w:val="2E5DA8"/>
          <w:sz w:val="22"/>
          <w:szCs w:val="22"/>
        </w:rPr>
        <w:t>DEFINITIONS</w:t>
      </w:r>
    </w:p>
    <w:p>
      <w:pPr>
        <w:pStyle w:val="ListParagraph"/>
        <w:numPr>
          <w:ilvl w:val="0"/>
          <w:numId w:val="1"/>
        </w:numPr>
        <w:spacing w:before="30" w:after="30"/>
        <w:rPr/>
      </w:pPr>
      <w:r>
        <w:rPr>
          <w:rFonts w:eastAsia="Arial" w:cs="Arial"/>
          <w:sz w:val="22"/>
          <w:szCs w:val="22"/>
        </w:rPr>
        <w:t>MAR (Medication Administration Record): The written or electronic record documenting all medications prescribed, scheduled, and administered, including date, time, dose, route, and administering staff's initials.</w:t>
      </w:r>
    </w:p>
    <w:p>
      <w:pPr>
        <w:pStyle w:val="ListParagraph"/>
        <w:numPr>
          <w:ilvl w:val="0"/>
          <w:numId w:val="1"/>
        </w:numPr>
        <w:spacing w:before="30" w:after="30"/>
        <w:rPr/>
      </w:pPr>
      <w:r>
        <w:rPr>
          <w:rFonts w:eastAsia="Arial" w:cs="Arial"/>
          <w:sz w:val="22"/>
          <w:szCs w:val="22"/>
        </w:rPr>
        <w:t>High-Alert Medication: A medication that bears a heightened risk of causing significant patient harm when used in error. Common high-alert medications in community residential settings include: anticoagulants (warfarin), insulin, opioid analgesics, sedatives/hypnotics, antiepileptics, and psychotropic medications.</w:t>
      </w:r>
    </w:p>
    <w:p>
      <w:pPr>
        <w:pStyle w:val="ListParagraph"/>
        <w:numPr>
          <w:ilvl w:val="0"/>
          <w:numId w:val="1"/>
        </w:numPr>
        <w:spacing w:before="30" w:after="30"/>
        <w:rPr/>
      </w:pPr>
      <w:r>
        <w:rPr>
          <w:rFonts w:eastAsia="Arial" w:cs="Arial"/>
          <w:sz w:val="22"/>
          <w:szCs w:val="22"/>
        </w:rPr>
        <w:t>Adverse Drug Event (ADE): Any injury resulting from medical intervention related to a drug, including adverse drug reactions, medication errors resulting in harm, and allergic reactions. ADEs are distinct from medication errors — an ADE may occur even without an error (adverse reaction to a correctly administered medication).</w:t>
      </w:r>
    </w:p>
    <w:p>
      <w:pPr>
        <w:pStyle w:val="ListParagraph"/>
        <w:numPr>
          <w:ilvl w:val="0"/>
          <w:numId w:val="1"/>
        </w:numPr>
        <w:spacing w:before="30" w:after="30"/>
        <w:rPr/>
      </w:pPr>
      <w:r>
        <w:rPr>
          <w:rFonts w:eastAsia="Arial" w:cs="Arial"/>
          <w:sz w:val="22"/>
          <w:szCs w:val="22"/>
        </w:rPr>
        <w:t>Medication Reconciliation: The process of comparing a patient's current medication orders to all medications the patient has been taking in order to avoid medication errors at transitions of care.</w:t>
      </w:r>
    </w:p>
    <w:p>
      <w:pPr>
        <w:pStyle w:val="ListParagraph"/>
        <w:numPr>
          <w:ilvl w:val="0"/>
          <w:numId w:val="1"/>
        </w:numPr>
        <w:spacing w:before="30" w:after="30"/>
        <w:rPr/>
      </w:pPr>
      <w:r>
        <w:rPr>
          <w:rFonts w:eastAsia="Arial" w:cs="Arial"/>
          <w:sz w:val="22"/>
          <w:szCs w:val="22"/>
        </w:rPr>
        <w:t>PRN (Pro Re Nata): A medication ordered to be given on an as-needed basis based on specific clinical criteria.</w:t>
      </w:r>
    </w:p>
    <w:p>
      <w:pPr>
        <w:pStyle w:val="Normal"/>
        <w:spacing w:before="120" w:after="40"/>
        <w:rPr/>
      </w:pPr>
      <w:r>
        <w:rPr>
          <w:rFonts w:eastAsia="Arial" w:cs="Arial"/>
          <w:b/>
          <w:bCs/>
          <w:color w:val="2E5DA8"/>
          <w:sz w:val="22"/>
          <w:szCs w:val="22"/>
        </w:rPr>
        <w:t>MEDICATION MANAGEMENT SUB-PROCESS FRAMEWORK</w:t>
      </w:r>
    </w:p>
    <w:p>
      <w:pPr>
        <w:pStyle w:val="Normal"/>
        <w:spacing w:before="40" w:after="60"/>
        <w:rPr/>
      </w:pPr>
      <w:r>
        <w:rPr>
          <w:rFonts w:eastAsia="Arial" w:cs="Arial"/>
          <w:sz w:val="22"/>
          <w:szCs w:val="22"/>
        </w:rPr>
        <w:t>The JC Medication Management standards require organizations to address medications across the full sub-process chain. This Provider's medication management framework encompasses the following sub-processes:</w:t>
      </w:r>
    </w:p>
    <w:p>
      <w:pPr>
        <w:pStyle w:val="Normal"/>
        <w:spacing w:before="30" w:after="30"/>
        <w:ind w:hanging="360" w:start="720"/>
        <w:rPr/>
      </w:pPr>
      <w:r>
        <w:rPr>
          <w:rFonts w:eastAsia="Arial" w:cs="Arial"/>
          <w:b/>
          <w:bCs/>
          <w:sz w:val="22"/>
          <w:szCs w:val="22"/>
        </w:rPr>
        <w:t xml:space="preserve">a.  </w:t>
      </w:r>
      <w:r>
        <w:rPr>
          <w:rFonts w:eastAsia="Arial" w:cs="Arial"/>
          <w:sz w:val="22"/>
          <w:szCs w:val="22"/>
        </w:rPr>
        <w:t>Selection &amp; Procurement — identifying needed medications, ordering from licensed pharmacies</w:t>
      </w:r>
    </w:p>
    <w:p>
      <w:pPr>
        <w:pStyle w:val="Normal"/>
        <w:spacing w:before="30" w:after="30"/>
        <w:ind w:hanging="360" w:start="720"/>
        <w:rPr/>
      </w:pPr>
      <w:r>
        <w:rPr>
          <w:rFonts w:eastAsia="Arial" w:cs="Arial"/>
          <w:b/>
          <w:bCs/>
          <w:sz w:val="22"/>
          <w:szCs w:val="22"/>
        </w:rPr>
        <w:t xml:space="preserve">b.  </w:t>
      </w:r>
      <w:r>
        <w:rPr>
          <w:rFonts w:eastAsia="Arial" w:cs="Arial"/>
          <w:sz w:val="22"/>
          <w:szCs w:val="22"/>
        </w:rPr>
        <w:t>Storage — securing medications appropriately by type, temperature requirements, and controlled substance classification</w:t>
      </w:r>
    </w:p>
    <w:p>
      <w:pPr>
        <w:pStyle w:val="Normal"/>
        <w:spacing w:before="30" w:after="30"/>
        <w:ind w:hanging="360" w:start="720"/>
        <w:rPr/>
      </w:pPr>
      <w:r>
        <w:rPr>
          <w:rFonts w:eastAsia="Arial" w:cs="Arial"/>
          <w:b/>
          <w:bCs/>
          <w:sz w:val="22"/>
          <w:szCs w:val="22"/>
        </w:rPr>
        <w:t xml:space="preserve">c.  </w:t>
      </w:r>
      <w:r>
        <w:rPr>
          <w:rFonts w:eastAsia="Arial" w:cs="Arial"/>
          <w:sz w:val="22"/>
          <w:szCs w:val="22"/>
        </w:rPr>
        <w:t>Ordering &amp; Transcribing — receiving and accurately documenting prescriber orders on the MAR</w:t>
      </w:r>
    </w:p>
    <w:p>
      <w:pPr>
        <w:pStyle w:val="Normal"/>
        <w:spacing w:before="30" w:after="30"/>
        <w:ind w:hanging="360" w:start="720"/>
        <w:rPr/>
      </w:pPr>
      <w:r>
        <w:rPr>
          <w:rFonts w:eastAsia="Arial" w:cs="Arial"/>
          <w:b/>
          <w:bCs/>
          <w:sz w:val="22"/>
          <w:szCs w:val="22"/>
        </w:rPr>
        <w:t xml:space="preserve">d.  </w:t>
      </w:r>
      <w:r>
        <w:rPr>
          <w:rFonts w:eastAsia="Arial" w:cs="Arial"/>
          <w:sz w:val="22"/>
          <w:szCs w:val="22"/>
        </w:rPr>
        <w:t>Dispensing — receiving medications from the pharmacy, verifying accuracy, and making available for administration</w:t>
      </w:r>
    </w:p>
    <w:p>
      <w:pPr>
        <w:pStyle w:val="Normal"/>
        <w:spacing w:before="30" w:after="30"/>
        <w:ind w:hanging="360" w:start="720"/>
        <w:rPr/>
      </w:pPr>
      <w:r>
        <w:rPr>
          <w:rFonts w:eastAsia="Arial" w:cs="Arial"/>
          <w:b/>
          <w:bCs/>
          <w:sz w:val="22"/>
          <w:szCs w:val="22"/>
        </w:rPr>
        <w:t xml:space="preserve">e.  </w:t>
      </w:r>
      <w:r>
        <w:rPr>
          <w:rFonts w:eastAsia="Arial" w:cs="Arial"/>
          <w:sz w:val="22"/>
          <w:szCs w:val="22"/>
        </w:rPr>
        <w:t>Administration — the actual preparation and delivery of the medication to the individual</w:t>
      </w:r>
    </w:p>
    <w:p>
      <w:pPr>
        <w:pStyle w:val="Normal"/>
        <w:spacing w:before="30" w:after="30"/>
        <w:ind w:hanging="360" w:start="720"/>
        <w:rPr/>
      </w:pPr>
      <w:r>
        <w:rPr>
          <w:rFonts w:eastAsia="Arial" w:cs="Arial"/>
          <w:b/>
          <w:bCs/>
          <w:sz w:val="22"/>
          <w:szCs w:val="22"/>
        </w:rPr>
        <w:t xml:space="preserve">f.  </w:t>
      </w:r>
      <w:r>
        <w:rPr>
          <w:rFonts w:eastAsia="Arial" w:cs="Arial"/>
          <w:sz w:val="22"/>
          <w:szCs w:val="22"/>
        </w:rPr>
        <w:t>Monitoring &amp; Evaluation — assessing the individual's response to medications, identifying ADEs, and communicating with prescribers</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Medication Procurement</w:t>
      </w:r>
    </w:p>
    <w:p>
      <w:pPr>
        <w:pStyle w:val="Normal"/>
        <w:spacing w:before="30" w:after="30"/>
        <w:ind w:hanging="360" w:start="720"/>
        <w:rPr/>
      </w:pPr>
      <w:r>
        <w:rPr>
          <w:rFonts w:eastAsia="Arial" w:cs="Arial"/>
          <w:b/>
          <w:bCs/>
          <w:sz w:val="22"/>
          <w:szCs w:val="22"/>
        </w:rPr>
        <w:t xml:space="preserve">a.  </w:t>
      </w:r>
      <w:r>
        <w:rPr>
          <w:rFonts w:eastAsia="Arial" w:cs="Arial"/>
          <w:sz w:val="22"/>
          <w:szCs w:val="22"/>
        </w:rPr>
        <w:t>Medications shall be ordered exclusively from licensed pharmacies with which this Provider maintains an active account.</w:t>
      </w:r>
    </w:p>
    <w:p>
      <w:pPr>
        <w:pStyle w:val="Normal"/>
        <w:spacing w:before="30" w:after="30"/>
        <w:ind w:hanging="360" w:start="720"/>
        <w:rPr/>
      </w:pPr>
      <w:r>
        <w:rPr>
          <w:rFonts w:eastAsia="Arial" w:cs="Arial"/>
          <w:b/>
          <w:bCs/>
          <w:sz w:val="22"/>
          <w:szCs w:val="22"/>
        </w:rPr>
        <w:t xml:space="preserve">b.  </w:t>
      </w:r>
      <w:r>
        <w:rPr>
          <w:rFonts w:eastAsia="Arial" w:cs="Arial"/>
          <w:sz w:val="22"/>
          <w:szCs w:val="22"/>
        </w:rPr>
        <w:t>New medication orders and prescription changes shall be communicated to the pharmacy within two (2) hours of receipt.</w:t>
      </w:r>
    </w:p>
    <w:p>
      <w:pPr>
        <w:pStyle w:val="Normal"/>
        <w:spacing w:before="30" w:after="30"/>
        <w:ind w:hanging="360" w:start="720"/>
        <w:rPr/>
      </w:pPr>
      <w:r>
        <w:rPr>
          <w:rFonts w:eastAsia="Arial" w:cs="Arial"/>
          <w:b/>
          <w:bCs/>
          <w:sz w:val="22"/>
          <w:szCs w:val="22"/>
        </w:rPr>
        <w:t xml:space="preserve">c.  </w:t>
      </w:r>
      <w:r>
        <w:rPr>
          <w:rFonts w:eastAsia="Arial" w:cs="Arial"/>
          <w:sz w:val="22"/>
          <w:szCs w:val="22"/>
        </w:rPr>
        <w:t>Refills for regularly scheduled medications shall be initiated at least seven (7) days before the current supply is exhausted.</w:t>
      </w:r>
    </w:p>
    <w:p>
      <w:pPr>
        <w:pStyle w:val="Normal"/>
        <w:spacing w:before="30" w:after="30"/>
        <w:ind w:hanging="360" w:start="720"/>
        <w:rPr/>
      </w:pPr>
      <w:r>
        <w:rPr>
          <w:rFonts w:eastAsia="Arial" w:cs="Arial"/>
          <w:b/>
          <w:bCs/>
          <w:sz w:val="22"/>
          <w:szCs w:val="22"/>
        </w:rPr>
        <w:t xml:space="preserve">d.  </w:t>
      </w:r>
      <w:r>
        <w:rPr>
          <w:rFonts w:eastAsia="Arial" w:cs="Arial"/>
          <w:sz w:val="22"/>
          <w:szCs w:val="22"/>
        </w:rPr>
        <w:t>No medication shall be obtained from any source other than a licensed pharmacy (e.g., no borrowing medications from other individuals or household members).</w:t>
      </w:r>
    </w:p>
    <w:p>
      <w:pPr>
        <w:pStyle w:val="Normal"/>
        <w:spacing w:before="140" w:after="60"/>
        <w:rPr/>
      </w:pPr>
      <w:r>
        <w:rPr>
          <w:rFonts w:eastAsia="Arial" w:cs="Arial"/>
          <w:b/>
          <w:bCs/>
          <w:sz w:val="22"/>
          <w:szCs w:val="22"/>
          <w:u w:val="single"/>
        </w:rPr>
        <w:t>B. Medication Storage</w:t>
      </w:r>
    </w:p>
    <w:p>
      <w:pPr>
        <w:pStyle w:val="Normal"/>
        <w:spacing w:before="30" w:after="30"/>
        <w:ind w:hanging="360" w:start="720"/>
        <w:rPr/>
      </w:pPr>
      <w:r>
        <w:rPr>
          <w:rFonts w:eastAsia="Arial" w:cs="Arial"/>
          <w:b/>
          <w:bCs/>
          <w:sz w:val="22"/>
          <w:szCs w:val="22"/>
        </w:rPr>
        <w:t xml:space="preserve">a.  </w:t>
      </w:r>
      <w:r>
        <w:rPr>
          <w:rFonts w:eastAsia="Arial" w:cs="Arial"/>
          <w:sz w:val="22"/>
          <w:szCs w:val="22"/>
        </w:rPr>
        <w:t>All medications shall be stored in a locked medication cabinet or container in a location that is temperature-appropriate per pharmacy instructions, inaccessible to unauthorized individuals, and separate from household cleaning products and hazardous materials.</w:t>
      </w:r>
    </w:p>
    <w:p>
      <w:pPr>
        <w:pStyle w:val="Normal"/>
        <w:spacing w:before="30" w:after="30"/>
        <w:ind w:hanging="360" w:start="720"/>
        <w:rPr/>
      </w:pPr>
      <w:r>
        <w:rPr>
          <w:rFonts w:eastAsia="Arial" w:cs="Arial"/>
          <w:b/>
          <w:bCs/>
          <w:sz w:val="22"/>
          <w:szCs w:val="22"/>
        </w:rPr>
        <w:t xml:space="preserve">b.  </w:t>
      </w:r>
      <w:r>
        <w:rPr>
          <w:rFonts w:eastAsia="Arial" w:cs="Arial"/>
          <w:sz w:val="22"/>
          <w:szCs w:val="22"/>
        </w:rPr>
        <w:t>Medications requiring refrigeration shall be stored in a dedicated, locked refrigerator or locked section of a refrigerator, maintaining proper temperature (generally 35°F–46°F / 2°C–8°C). Temperature shall be logged daily.</w:t>
      </w:r>
    </w:p>
    <w:p>
      <w:pPr>
        <w:pStyle w:val="Normal"/>
        <w:spacing w:before="30" w:after="30"/>
        <w:ind w:hanging="360" w:start="720"/>
        <w:rPr/>
      </w:pPr>
      <w:r>
        <w:rPr>
          <w:rFonts w:eastAsia="Arial" w:cs="Arial"/>
          <w:b/>
          <w:bCs/>
          <w:sz w:val="22"/>
          <w:szCs w:val="22"/>
        </w:rPr>
        <w:t xml:space="preserve">c.  </w:t>
      </w:r>
      <w:r>
        <w:rPr>
          <w:rFonts w:eastAsia="Arial" w:cs="Arial"/>
          <w:sz w:val="22"/>
          <w:szCs w:val="22"/>
        </w:rPr>
        <w:t>Controlled substances and high-alert medications shall be stored in a double-locked container per Policy 4.01.</w:t>
      </w:r>
    </w:p>
    <w:p>
      <w:pPr>
        <w:pStyle w:val="Normal"/>
        <w:spacing w:before="30" w:after="30"/>
        <w:ind w:hanging="360" w:start="720"/>
        <w:rPr/>
      </w:pPr>
      <w:r>
        <w:rPr>
          <w:rFonts w:eastAsia="Arial" w:cs="Arial"/>
          <w:b/>
          <w:bCs/>
          <w:sz w:val="22"/>
          <w:szCs w:val="22"/>
        </w:rPr>
        <w:t xml:space="preserve">d.  </w:t>
      </w:r>
      <w:r>
        <w:rPr>
          <w:rFonts w:eastAsia="Arial" w:cs="Arial"/>
          <w:sz w:val="22"/>
          <w:szCs w:val="22"/>
        </w:rPr>
        <w:t>Expired, discontinued, or unneeded medications shall be segregated immediately, labeled 'Do Not Use,' and disposed of per state and federal pharmacy law within thirty (30) days of discontinuation. Disposal shall be documented.</w:t>
      </w:r>
    </w:p>
    <w:p>
      <w:pPr>
        <w:pStyle w:val="Normal"/>
        <w:spacing w:before="140" w:after="60"/>
        <w:rPr/>
      </w:pPr>
      <w:r>
        <w:rPr>
          <w:rFonts w:eastAsia="Arial" w:cs="Arial"/>
          <w:b/>
          <w:bCs/>
          <w:sz w:val="22"/>
          <w:szCs w:val="22"/>
          <w:u w:val="single"/>
        </w:rPr>
        <w:t>C. Medication Ordering and Transcription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New medication orders shall be received in writing whenever possible. Verbal orders are only accepted in urgent situations and must be followed by written order within twenty-four (24) hours.</w:t>
      </w:r>
    </w:p>
    <w:p>
      <w:pPr>
        <w:pStyle w:val="Normal"/>
        <w:spacing w:before="30" w:after="30"/>
        <w:ind w:hanging="360" w:start="720"/>
        <w:rPr/>
      </w:pPr>
      <w:r>
        <w:rPr>
          <w:rFonts w:eastAsia="Arial" w:cs="Arial"/>
          <w:b/>
          <w:bCs/>
          <w:sz w:val="22"/>
          <w:szCs w:val="22"/>
        </w:rPr>
        <w:t xml:space="preserve">b.  </w:t>
      </w:r>
      <w:r>
        <w:rPr>
          <w:rFonts w:eastAsia="Arial" w:cs="Arial"/>
          <w:sz w:val="22"/>
          <w:szCs w:val="22"/>
        </w:rPr>
        <w:t>All orders shall be transcribed to the MAR within two (2) hours of receipt. MAR entries shall include: medication name (generic and brand), dose, route, frequency, prescriber name, and start date.</w:t>
      </w:r>
    </w:p>
    <w:p>
      <w:pPr>
        <w:pStyle w:val="Normal"/>
        <w:spacing w:before="30" w:after="30"/>
        <w:ind w:hanging="360" w:start="720"/>
        <w:rPr/>
      </w:pPr>
      <w:r>
        <w:rPr>
          <w:rFonts w:eastAsia="Arial" w:cs="Arial"/>
          <w:b/>
          <w:bCs/>
          <w:sz w:val="22"/>
          <w:szCs w:val="22"/>
        </w:rPr>
        <w:t xml:space="preserve">c.  </w:t>
      </w:r>
      <w:r>
        <w:rPr>
          <w:rFonts w:eastAsia="Arial" w:cs="Arial"/>
          <w:sz w:val="22"/>
          <w:szCs w:val="22"/>
        </w:rPr>
        <w:t>Any discrepancy between the pharmacy label and the written physician order shall be clarified with the prescribing physician and/or pharmacist before the medication is administered. No medication shall be given if an unresolved discrepancy exists.</w:t>
      </w:r>
    </w:p>
    <w:p>
      <w:pPr>
        <w:pStyle w:val="Normal"/>
        <w:spacing w:before="140" w:after="60"/>
        <w:rPr/>
      </w:pPr>
      <w:r>
        <w:rPr>
          <w:rFonts w:eastAsia="Arial" w:cs="Arial"/>
          <w:b/>
          <w:bCs/>
          <w:sz w:val="22"/>
          <w:szCs w:val="22"/>
          <w:u w:val="single"/>
        </w:rPr>
        <w:t>D. Medication Administration — The Six Rights</w:t>
      </w:r>
    </w:p>
    <w:p>
      <w:pPr>
        <w:pStyle w:val="Normal"/>
        <w:spacing w:before="40" w:after="60"/>
        <w:rPr/>
      </w:pPr>
      <w:r>
        <w:rPr>
          <w:rFonts w:eastAsia="Arial" w:cs="Arial"/>
          <w:sz w:val="22"/>
          <w:szCs w:val="22"/>
        </w:rPr>
        <w:t>Before every medication administration, the administering staff shall verify all Six Rights:</w:t>
      </w:r>
    </w:p>
    <w:p>
      <w:pPr>
        <w:pStyle w:val="Normal"/>
        <w:spacing w:before="30" w:after="30"/>
        <w:ind w:hanging="360" w:start="720"/>
        <w:rPr/>
      </w:pPr>
      <w:r>
        <w:rPr>
          <w:rFonts w:eastAsia="Arial" w:cs="Arial"/>
          <w:b/>
          <w:bCs/>
          <w:sz w:val="22"/>
          <w:szCs w:val="22"/>
        </w:rPr>
        <w:t xml:space="preserve">a.  </w:t>
      </w:r>
      <w:r>
        <w:rPr>
          <w:rFonts w:eastAsia="Arial" w:cs="Arial"/>
          <w:sz w:val="22"/>
          <w:szCs w:val="22"/>
        </w:rPr>
        <w:t>Right Individual — confirm identity using at least two identifiers (name and one additional: date of birth, photo ID, or specific identifier from the MAR)</w:t>
      </w:r>
    </w:p>
    <w:p>
      <w:pPr>
        <w:pStyle w:val="Normal"/>
        <w:spacing w:before="30" w:after="30"/>
        <w:ind w:hanging="360" w:start="720"/>
        <w:rPr/>
      </w:pPr>
      <w:r>
        <w:rPr>
          <w:rFonts w:eastAsia="Arial" w:cs="Arial"/>
          <w:b/>
          <w:bCs/>
          <w:sz w:val="22"/>
          <w:szCs w:val="22"/>
        </w:rPr>
        <w:t xml:space="preserve">b.  </w:t>
      </w:r>
      <w:r>
        <w:rPr>
          <w:rFonts w:eastAsia="Arial" w:cs="Arial"/>
          <w:sz w:val="22"/>
          <w:szCs w:val="22"/>
        </w:rPr>
        <w:t>Right Medication — confirm the medication name matches the MAR; do not administer look-alike or sound-alike medications without additional verification</w:t>
      </w:r>
    </w:p>
    <w:p>
      <w:pPr>
        <w:pStyle w:val="Normal"/>
        <w:spacing w:before="30" w:after="30"/>
        <w:ind w:hanging="360" w:start="720"/>
        <w:rPr/>
      </w:pPr>
      <w:r>
        <w:rPr>
          <w:rFonts w:eastAsia="Arial" w:cs="Arial"/>
          <w:b/>
          <w:bCs/>
          <w:sz w:val="22"/>
          <w:szCs w:val="22"/>
        </w:rPr>
        <w:t xml:space="preserve">c.  </w:t>
      </w:r>
      <w:r>
        <w:rPr>
          <w:rFonts w:eastAsia="Arial" w:cs="Arial"/>
          <w:sz w:val="22"/>
          <w:szCs w:val="22"/>
        </w:rPr>
        <w:t>Right Dose — confirm the dose matches the MAR and physician order exactly</w:t>
      </w:r>
    </w:p>
    <w:p>
      <w:pPr>
        <w:pStyle w:val="Normal"/>
        <w:spacing w:before="30" w:after="30"/>
        <w:ind w:hanging="360" w:start="720"/>
        <w:rPr/>
      </w:pPr>
      <w:r>
        <w:rPr>
          <w:rFonts w:eastAsia="Arial" w:cs="Arial"/>
          <w:b/>
          <w:bCs/>
          <w:sz w:val="22"/>
          <w:szCs w:val="22"/>
        </w:rPr>
        <w:t xml:space="preserve">d.  </w:t>
      </w:r>
      <w:r>
        <w:rPr>
          <w:rFonts w:eastAsia="Arial" w:cs="Arial"/>
          <w:sz w:val="22"/>
          <w:szCs w:val="22"/>
        </w:rPr>
        <w:t>Right Route — confirm the administration route as ordered; never substitute a route without prescriber authorization</w:t>
      </w:r>
    </w:p>
    <w:p>
      <w:pPr>
        <w:pStyle w:val="Normal"/>
        <w:spacing w:before="30" w:after="30"/>
        <w:ind w:hanging="360" w:start="720"/>
        <w:rPr/>
      </w:pPr>
      <w:r>
        <w:rPr>
          <w:rFonts w:eastAsia="Arial" w:cs="Arial"/>
          <w:b/>
          <w:bCs/>
          <w:sz w:val="22"/>
          <w:szCs w:val="22"/>
        </w:rPr>
        <w:t xml:space="preserve">e.  </w:t>
      </w:r>
      <w:r>
        <w:rPr>
          <w:rFonts w:eastAsia="Arial" w:cs="Arial"/>
          <w:sz w:val="22"/>
          <w:szCs w:val="22"/>
        </w:rPr>
        <w:t>Right Time — confirm the scheduled time; medications shall not be administered more than one (1) hour before or after the scheduled time without prescriber authorization</w:t>
      </w:r>
    </w:p>
    <w:p>
      <w:pPr>
        <w:pStyle w:val="Normal"/>
        <w:spacing w:before="30" w:after="30"/>
        <w:ind w:hanging="360" w:start="720"/>
        <w:rPr/>
      </w:pPr>
      <w:r>
        <w:rPr>
          <w:rFonts w:eastAsia="Arial" w:cs="Arial"/>
          <w:b/>
          <w:bCs/>
          <w:sz w:val="22"/>
          <w:szCs w:val="22"/>
        </w:rPr>
        <w:t xml:space="preserve">f.  </w:t>
      </w:r>
      <w:r>
        <w:rPr>
          <w:rFonts w:eastAsia="Arial" w:cs="Arial"/>
          <w:sz w:val="22"/>
          <w:szCs w:val="22"/>
        </w:rPr>
        <w:t>Right Documentation — document in the MAR immediately after administration; never document before administering</w:t>
      </w:r>
    </w:p>
    <w:p>
      <w:pPr>
        <w:pStyle w:val="Normal"/>
        <w:spacing w:before="40" w:after="60"/>
        <w:rPr/>
      </w:pPr>
      <w:r>
        <w:rPr>
          <w:rFonts w:eastAsia="Arial" w:cs="Arial"/>
          <w:sz w:val="22"/>
          <w:szCs w:val="22"/>
        </w:rPr>
        <w:t>Following verification of the Six Rights, the administering staff shall also:</w:t>
      </w:r>
    </w:p>
    <w:p>
      <w:pPr>
        <w:pStyle w:val="ListParagraph"/>
        <w:numPr>
          <w:ilvl w:val="0"/>
          <w:numId w:val="1"/>
        </w:numPr>
        <w:spacing w:before="30" w:after="30"/>
        <w:rPr/>
      </w:pPr>
      <w:r>
        <w:rPr>
          <w:rFonts w:eastAsia="Arial" w:cs="Arial"/>
          <w:sz w:val="22"/>
          <w:szCs w:val="22"/>
        </w:rPr>
        <w:t>Observe the individual take the medication (unless non-observation is specified in the care plan for a specific medication and individual)</w:t>
      </w:r>
    </w:p>
    <w:p>
      <w:pPr>
        <w:pStyle w:val="ListParagraph"/>
        <w:numPr>
          <w:ilvl w:val="0"/>
          <w:numId w:val="1"/>
        </w:numPr>
        <w:spacing w:before="30" w:after="30"/>
        <w:rPr/>
      </w:pPr>
      <w:r>
        <w:rPr>
          <w:rFonts w:eastAsia="Arial" w:cs="Arial"/>
          <w:sz w:val="22"/>
          <w:szCs w:val="22"/>
        </w:rPr>
        <w:t>Document the administration in the MAR immediately, including time, dose, and initials</w:t>
      </w:r>
    </w:p>
    <w:p>
      <w:pPr>
        <w:pStyle w:val="ListParagraph"/>
        <w:numPr>
          <w:ilvl w:val="0"/>
          <w:numId w:val="1"/>
        </w:numPr>
        <w:spacing w:before="30" w:after="30"/>
        <w:rPr/>
      </w:pPr>
      <w:r>
        <w:rPr>
          <w:rFonts w:eastAsia="Arial" w:cs="Arial"/>
          <w:sz w:val="22"/>
          <w:szCs w:val="22"/>
        </w:rPr>
        <w:t>For PRN medications: document the clinical indication for administration, the time administered, and the individual's response within one (1) hour</w:t>
      </w:r>
    </w:p>
    <w:p>
      <w:pPr>
        <w:pStyle w:val="Normal"/>
        <w:spacing w:before="140" w:after="60"/>
        <w:rPr/>
      </w:pPr>
      <w:r>
        <w:rPr>
          <w:rFonts w:eastAsia="Arial" w:cs="Arial"/>
          <w:b/>
          <w:bCs/>
          <w:sz w:val="22"/>
          <w:szCs w:val="22"/>
          <w:u w:val="single"/>
        </w:rPr>
        <w:t>E. Medication Reconciliation at Transitions of Care</w:t>
      </w:r>
    </w:p>
    <w:p>
      <w:pPr>
        <w:pStyle w:val="Normal"/>
        <w:spacing w:before="40" w:after="60"/>
        <w:rPr/>
      </w:pPr>
      <w:r>
        <w:rPr>
          <w:rFonts w:eastAsia="Arial" w:cs="Arial"/>
          <w:sz w:val="22"/>
          <w:szCs w:val="22"/>
        </w:rPr>
        <w:t>Medication reconciliation shall be performed at all transitions of care to prevent medication errors from omissions, duplications, dosing errors, or drug interactions:</w:t>
      </w:r>
    </w:p>
    <w:p>
      <w:pPr>
        <w:pStyle w:val="Normal"/>
        <w:spacing w:before="30" w:after="30"/>
        <w:ind w:hanging="360" w:start="720"/>
        <w:rPr/>
      </w:pPr>
      <w:r>
        <w:rPr>
          <w:rFonts w:eastAsia="Arial" w:cs="Arial"/>
          <w:b/>
          <w:bCs/>
          <w:sz w:val="22"/>
          <w:szCs w:val="22"/>
        </w:rPr>
        <w:t xml:space="preserve">a.  </w:t>
      </w:r>
      <w:r>
        <w:rPr>
          <w:rFonts w:eastAsia="Arial" w:cs="Arial"/>
          <w:sz w:val="22"/>
          <w:szCs w:val="22"/>
        </w:rPr>
        <w:t>AT ADMISSION: Staff shall reconcile the complete list of medications the individual was taking at their prior setting with the medications ordered at this placement. Any discrepancies shall be reported to the prescribing physician within four (4) hours of identification.</w:t>
      </w:r>
    </w:p>
    <w:p>
      <w:pPr>
        <w:pStyle w:val="Normal"/>
        <w:spacing w:before="30" w:after="30"/>
        <w:ind w:hanging="360" w:start="720"/>
        <w:rPr/>
      </w:pPr>
      <w:r>
        <w:rPr>
          <w:rFonts w:eastAsia="Arial" w:cs="Arial"/>
          <w:b/>
          <w:bCs/>
          <w:sz w:val="22"/>
          <w:szCs w:val="22"/>
        </w:rPr>
        <w:t xml:space="preserve">b.  </w:t>
      </w:r>
      <w:r>
        <w:rPr>
          <w:rFonts w:eastAsia="Arial" w:cs="Arial"/>
          <w:sz w:val="22"/>
          <w:szCs w:val="22"/>
        </w:rPr>
        <w:t>AT DISCHARGE / TRANSFER: Staff shall provide the receiving setting with a complete, current medication list including: medication name, dose, route, frequency, prescriber, and the time and date of the last administration. The list shall be signed and dated by the staff member preparing it.</w:t>
      </w:r>
    </w:p>
    <w:p>
      <w:pPr>
        <w:pStyle w:val="Normal"/>
        <w:spacing w:before="30" w:after="30"/>
        <w:ind w:hanging="360" w:start="720"/>
        <w:rPr/>
      </w:pPr>
      <w:r>
        <w:rPr>
          <w:rFonts w:eastAsia="Arial" w:cs="Arial"/>
          <w:b/>
          <w:bCs/>
          <w:sz w:val="22"/>
          <w:szCs w:val="22"/>
        </w:rPr>
        <w:t xml:space="preserve">c.  </w:t>
      </w:r>
      <w:r>
        <w:rPr>
          <w:rFonts w:eastAsia="Arial" w:cs="Arial"/>
          <w:sz w:val="22"/>
          <w:szCs w:val="22"/>
        </w:rPr>
        <w:t>AFTER HOSPITALIZATION: When an individual returns from a hospital stay, a full medication reconciliation shall be completed before the next scheduled medication administration. Hospital discharge medication lists shall be compared to pre-hospitalization medications. Any new medications or changes shall be verified with the prescribing provider before administration.</w:t>
      </w:r>
    </w:p>
    <w:p>
      <w:pPr>
        <w:pStyle w:val="Normal"/>
        <w:spacing w:before="30" w:after="30"/>
        <w:ind w:hanging="360" w:start="720"/>
        <w:rPr/>
      </w:pPr>
      <w:r>
        <w:rPr>
          <w:rFonts w:eastAsia="Arial" w:cs="Arial"/>
          <w:b/>
          <w:bCs/>
          <w:sz w:val="22"/>
          <w:szCs w:val="22"/>
        </w:rPr>
        <w:t xml:space="preserve">d.  </w:t>
      </w:r>
      <w:r>
        <w:rPr>
          <w:rFonts w:eastAsia="Arial" w:cs="Arial"/>
          <w:sz w:val="22"/>
          <w:szCs w:val="22"/>
        </w:rPr>
        <w:t>All medication reconciliation activities shall be documented in the clinical record.</w:t>
      </w:r>
    </w:p>
    <w:p>
      <w:pPr>
        <w:pStyle w:val="Normal"/>
        <w:spacing w:before="140" w:after="60"/>
        <w:rPr/>
      </w:pPr>
      <w:r>
        <w:rPr>
          <w:rFonts w:eastAsia="Arial" w:cs="Arial"/>
          <w:b/>
          <w:bCs/>
          <w:sz w:val="22"/>
          <w:szCs w:val="22"/>
          <w:u w:val="single"/>
        </w:rPr>
        <w:t>F. High-Alert Medications — Enhanced Safeguards</w:t>
      </w:r>
    </w:p>
    <w:p>
      <w:pPr>
        <w:pStyle w:val="Normal"/>
        <w:spacing w:before="40" w:after="60"/>
        <w:rPr/>
      </w:pPr>
      <w:r>
        <w:rPr>
          <w:rFonts w:eastAsia="Arial" w:cs="Arial"/>
          <w:sz w:val="22"/>
          <w:szCs w:val="22"/>
        </w:rPr>
        <w:t>High-alert medications require additional verification steps beyond the standard Six Rights. The following are considered high-alert in this setting:</w:t>
      </w:r>
    </w:p>
    <w:p>
      <w:pPr>
        <w:pStyle w:val="ListParagraph"/>
        <w:numPr>
          <w:ilvl w:val="0"/>
          <w:numId w:val="1"/>
        </w:numPr>
        <w:spacing w:before="30" w:after="30"/>
        <w:rPr/>
      </w:pPr>
      <w:r>
        <w:rPr>
          <w:rFonts w:eastAsia="Arial" w:cs="Arial"/>
          <w:sz w:val="22"/>
          <w:szCs w:val="22"/>
        </w:rPr>
        <w:t>Anticoagulants (e.g., warfarin, heparin, direct oral anticoagulants)</w:t>
      </w:r>
    </w:p>
    <w:p>
      <w:pPr>
        <w:pStyle w:val="ListParagraph"/>
        <w:numPr>
          <w:ilvl w:val="0"/>
          <w:numId w:val="1"/>
        </w:numPr>
        <w:spacing w:before="30" w:after="30"/>
        <w:rPr/>
      </w:pPr>
      <w:r>
        <w:rPr>
          <w:rFonts w:eastAsia="Arial" w:cs="Arial"/>
          <w:sz w:val="22"/>
          <w:szCs w:val="22"/>
        </w:rPr>
        <w:t>Insulin and other injectable hypoglycemic agents</w:t>
      </w:r>
    </w:p>
    <w:p>
      <w:pPr>
        <w:pStyle w:val="ListParagraph"/>
        <w:numPr>
          <w:ilvl w:val="0"/>
          <w:numId w:val="1"/>
        </w:numPr>
        <w:spacing w:before="30" w:after="30"/>
        <w:rPr/>
      </w:pPr>
      <w:r>
        <w:rPr>
          <w:rFonts w:eastAsia="Arial" w:cs="Arial"/>
          <w:sz w:val="22"/>
          <w:szCs w:val="22"/>
        </w:rPr>
        <w:t>Opioid analgesics and opioid-containing combination products</w:t>
      </w:r>
    </w:p>
    <w:p>
      <w:pPr>
        <w:pStyle w:val="ListParagraph"/>
        <w:numPr>
          <w:ilvl w:val="0"/>
          <w:numId w:val="1"/>
        </w:numPr>
        <w:spacing w:before="30" w:after="30"/>
        <w:rPr/>
      </w:pPr>
      <w:r>
        <w:rPr>
          <w:rFonts w:eastAsia="Arial" w:cs="Arial"/>
          <w:sz w:val="22"/>
          <w:szCs w:val="22"/>
        </w:rPr>
        <w:t>Sedatives, hypnotics, and benzodiazepines</w:t>
      </w:r>
    </w:p>
    <w:p>
      <w:pPr>
        <w:pStyle w:val="ListParagraph"/>
        <w:numPr>
          <w:ilvl w:val="0"/>
          <w:numId w:val="1"/>
        </w:numPr>
        <w:spacing w:before="30" w:after="30"/>
        <w:rPr/>
      </w:pPr>
      <w:r>
        <w:rPr>
          <w:rFonts w:eastAsia="Arial" w:cs="Arial"/>
          <w:sz w:val="22"/>
          <w:szCs w:val="22"/>
        </w:rPr>
        <w:t>Antiepileptic medications</w:t>
      </w:r>
    </w:p>
    <w:p>
      <w:pPr>
        <w:pStyle w:val="ListParagraph"/>
        <w:numPr>
          <w:ilvl w:val="0"/>
          <w:numId w:val="1"/>
        </w:numPr>
        <w:spacing w:before="30" w:after="30"/>
        <w:rPr/>
      </w:pPr>
      <w:r>
        <w:rPr>
          <w:rFonts w:eastAsia="Arial" w:cs="Arial"/>
          <w:sz w:val="22"/>
          <w:szCs w:val="22"/>
        </w:rPr>
        <w:t>Psychotropic medications (antipsychotics, mood stabilizers, lithium)</w:t>
      </w:r>
    </w:p>
    <w:p>
      <w:pPr>
        <w:pStyle w:val="ListParagraph"/>
        <w:numPr>
          <w:ilvl w:val="0"/>
          <w:numId w:val="1"/>
        </w:numPr>
        <w:spacing w:before="30" w:after="30"/>
        <w:rPr/>
      </w:pPr>
      <w:r>
        <w:rPr>
          <w:rFonts w:eastAsia="Arial" w:cs="Arial"/>
          <w:sz w:val="22"/>
          <w:szCs w:val="22"/>
        </w:rPr>
        <w:t>Any medication with a narrow therapeutic index</w:t>
      </w:r>
    </w:p>
    <w:p>
      <w:pPr>
        <w:pStyle w:val="Normal"/>
        <w:spacing w:before="40" w:after="60"/>
        <w:rPr/>
      </w:pPr>
      <w:r>
        <w:rPr>
          <w:rFonts w:eastAsia="Arial" w:cs="Arial"/>
          <w:sz w:val="22"/>
          <w:szCs w:val="22"/>
        </w:rPr>
        <w:t>For each high-alert medication administration, the Provider/staff shall:</w:t>
      </w:r>
    </w:p>
    <w:p>
      <w:pPr>
        <w:pStyle w:val="Normal"/>
        <w:spacing w:before="30" w:after="30"/>
        <w:ind w:hanging="360" w:start="720"/>
        <w:rPr/>
      </w:pPr>
      <w:r>
        <w:rPr>
          <w:rFonts w:eastAsia="Arial" w:cs="Arial"/>
          <w:b/>
          <w:bCs/>
          <w:sz w:val="22"/>
          <w:szCs w:val="22"/>
        </w:rPr>
        <w:t xml:space="preserve">a.  </w:t>
      </w:r>
      <w:r>
        <w:rPr>
          <w:rFonts w:eastAsia="Arial" w:cs="Arial"/>
          <w:sz w:val="22"/>
          <w:szCs w:val="22"/>
        </w:rPr>
        <w:t>Complete all Six Rights verification as standard</w:t>
      </w:r>
    </w:p>
    <w:p>
      <w:pPr>
        <w:pStyle w:val="Normal"/>
        <w:spacing w:before="30" w:after="30"/>
        <w:ind w:hanging="360" w:start="720"/>
        <w:rPr/>
      </w:pPr>
      <w:r>
        <w:rPr>
          <w:rFonts w:eastAsia="Arial" w:cs="Arial"/>
          <w:b/>
          <w:bCs/>
          <w:sz w:val="22"/>
          <w:szCs w:val="22"/>
        </w:rPr>
        <w:t xml:space="preserve">b.  </w:t>
      </w:r>
      <w:r>
        <w:rPr>
          <w:rFonts w:eastAsia="Arial" w:cs="Arial"/>
          <w:sz w:val="22"/>
          <w:szCs w:val="22"/>
        </w:rPr>
        <w:t>Double-check the dose calculation (if applicable) with a second staff member or pharmacist before administration whenever a second qualified person is available</w:t>
      </w:r>
    </w:p>
    <w:p>
      <w:pPr>
        <w:pStyle w:val="Normal"/>
        <w:spacing w:before="30" w:after="30"/>
        <w:ind w:hanging="360" w:start="720"/>
        <w:rPr/>
      </w:pPr>
      <w:r>
        <w:rPr>
          <w:rFonts w:eastAsia="Arial" w:cs="Arial"/>
          <w:b/>
          <w:bCs/>
          <w:sz w:val="22"/>
          <w:szCs w:val="22"/>
        </w:rPr>
        <w:t xml:space="preserve">c.  </w:t>
      </w:r>
      <w:r>
        <w:rPr>
          <w:rFonts w:eastAsia="Arial" w:cs="Arial"/>
          <w:sz w:val="22"/>
          <w:szCs w:val="22"/>
        </w:rPr>
        <w:t>Check and document relevant clinical parameters specified by the prescriber (e.g., blood glucose before insulin, INR before warfarin, heart rate before certain cardiac medications)</w:t>
      </w:r>
    </w:p>
    <w:p>
      <w:pPr>
        <w:pStyle w:val="Normal"/>
        <w:spacing w:before="30" w:after="30"/>
        <w:ind w:hanging="360" w:start="720"/>
        <w:rPr/>
      </w:pPr>
      <w:r>
        <w:rPr>
          <w:rFonts w:eastAsia="Arial" w:cs="Arial"/>
          <w:b/>
          <w:bCs/>
          <w:sz w:val="22"/>
          <w:szCs w:val="22"/>
        </w:rPr>
        <w:t xml:space="preserve">d.  </w:t>
      </w:r>
      <w:r>
        <w:rPr>
          <w:rFonts w:eastAsia="Arial" w:cs="Arial"/>
          <w:sz w:val="22"/>
          <w:szCs w:val="22"/>
        </w:rPr>
        <w:t>Document the clinical parameter check in the MAR alongside the administration record</w:t>
      </w:r>
    </w:p>
    <w:p>
      <w:pPr>
        <w:pStyle w:val="Normal"/>
        <w:spacing w:before="30" w:after="30"/>
        <w:ind w:hanging="360" w:start="720"/>
        <w:rPr/>
      </w:pPr>
      <w:r>
        <w:rPr>
          <w:rFonts w:eastAsia="Arial" w:cs="Arial"/>
          <w:b/>
          <w:bCs/>
          <w:sz w:val="22"/>
          <w:szCs w:val="22"/>
        </w:rPr>
        <w:t xml:space="preserve">e.  </w:t>
      </w:r>
      <w:r>
        <w:rPr>
          <w:rFonts w:eastAsia="Arial" w:cs="Arial"/>
          <w:sz w:val="22"/>
          <w:szCs w:val="22"/>
        </w:rPr>
        <w:t>Know and document the signs of toxicity or adverse effects specific to each high-alert medication, and report any such signs immediately to the prescribing provider</w:t>
      </w:r>
    </w:p>
    <w:p>
      <w:pPr>
        <w:pStyle w:val="Normal"/>
        <w:spacing w:before="140" w:after="60"/>
        <w:rPr/>
      </w:pPr>
      <w:r>
        <w:rPr>
          <w:rFonts w:eastAsia="Arial" w:cs="Arial"/>
          <w:b/>
          <w:bCs/>
          <w:sz w:val="22"/>
          <w:szCs w:val="22"/>
          <w:u w:val="single"/>
        </w:rPr>
        <w:t>G. Adverse Drug Event (ADE) Monitoring and Reporting</w:t>
      </w:r>
    </w:p>
    <w:p>
      <w:pPr>
        <w:pStyle w:val="Normal"/>
        <w:spacing w:before="40" w:after="60"/>
        <w:rPr/>
      </w:pPr>
      <w:r>
        <w:rPr>
          <w:rFonts w:eastAsia="Arial" w:cs="Arial"/>
          <w:sz w:val="22"/>
          <w:szCs w:val="22"/>
        </w:rPr>
        <w:t>Adverse Drug Events are distinct from medication errors and require active monitoring:</w:t>
      </w:r>
    </w:p>
    <w:p>
      <w:pPr>
        <w:pStyle w:val="Normal"/>
        <w:spacing w:before="30" w:after="30"/>
        <w:ind w:hanging="360" w:start="720"/>
        <w:rPr/>
      </w:pPr>
      <w:r>
        <w:rPr>
          <w:rFonts w:eastAsia="Arial" w:cs="Arial"/>
          <w:b/>
          <w:bCs/>
          <w:sz w:val="22"/>
          <w:szCs w:val="22"/>
        </w:rPr>
        <w:t xml:space="preserve">a.  </w:t>
      </w:r>
      <w:r>
        <w:rPr>
          <w:rFonts w:eastAsia="Arial" w:cs="Arial"/>
          <w:sz w:val="22"/>
          <w:szCs w:val="22"/>
        </w:rPr>
        <w:t>Staff shall monitor each individual for adverse effects of prescribed medications at every shift, using the individual's established baseline as the reference point. Changes in behavior, physical condition, or vital signs that may indicate an adverse drug reaction shall be documented and reported.</w:t>
      </w:r>
    </w:p>
    <w:p>
      <w:pPr>
        <w:pStyle w:val="Normal"/>
        <w:spacing w:before="30" w:after="30"/>
        <w:ind w:hanging="360" w:start="720"/>
        <w:rPr/>
      </w:pPr>
      <w:r>
        <w:rPr>
          <w:rFonts w:eastAsia="Arial" w:cs="Arial"/>
          <w:b/>
          <w:bCs/>
          <w:sz w:val="22"/>
          <w:szCs w:val="22"/>
        </w:rPr>
        <w:t xml:space="preserve">b.  </w:t>
      </w:r>
      <w:r>
        <w:rPr>
          <w:rFonts w:eastAsia="Arial" w:cs="Arial"/>
          <w:sz w:val="22"/>
          <w:szCs w:val="22"/>
        </w:rPr>
        <w:t>Any suspected adverse drug reaction — rash, allergic response, change in mental status, new physical symptom following medication change — shall be reported to the prescribing provider within four (4) hours and documented in the clinical record.</w:t>
      </w:r>
    </w:p>
    <w:p>
      <w:pPr>
        <w:pStyle w:val="Normal"/>
        <w:spacing w:before="30" w:after="30"/>
        <w:ind w:hanging="360" w:start="720"/>
        <w:rPr/>
      </w:pPr>
      <w:r>
        <w:rPr>
          <w:rFonts w:eastAsia="Arial" w:cs="Arial"/>
          <w:b/>
          <w:bCs/>
          <w:sz w:val="22"/>
          <w:szCs w:val="22"/>
        </w:rPr>
        <w:t xml:space="preserve">c.  </w:t>
      </w:r>
      <w:r>
        <w:rPr>
          <w:rFonts w:eastAsia="Arial" w:cs="Arial"/>
          <w:sz w:val="22"/>
          <w:szCs w:val="22"/>
        </w:rPr>
        <w:t>All ADEs, whether or not an error was involved, shall be documented on an Adverse Drug Event Report and reviewed by the Administrator within twenty-four (24) hours.</w:t>
      </w:r>
    </w:p>
    <w:p>
      <w:pPr>
        <w:pStyle w:val="Normal"/>
        <w:spacing w:before="30" w:after="30"/>
        <w:ind w:hanging="360" w:start="720"/>
        <w:rPr/>
      </w:pPr>
      <w:r>
        <w:rPr>
          <w:rFonts w:eastAsia="Arial" w:cs="Arial"/>
          <w:b/>
          <w:bCs/>
          <w:sz w:val="22"/>
          <w:szCs w:val="22"/>
        </w:rPr>
        <w:t xml:space="preserve">d.  </w:t>
      </w:r>
      <w:r>
        <w:rPr>
          <w:rFonts w:eastAsia="Arial" w:cs="Arial"/>
          <w:sz w:val="22"/>
          <w:szCs w:val="22"/>
        </w:rPr>
        <w:t>Aggregate ADE data shall be tracked monthly in the Quality Management log and reviewed at the quarterly QM meeting to identify patterns. Recurring ADEs with specific medications shall trigger a review with the prescribing provider.</w:t>
      </w:r>
    </w:p>
    <w:p>
      <w:pPr>
        <w:pStyle w:val="Normal"/>
        <w:spacing w:before="30" w:after="30"/>
        <w:ind w:hanging="360" w:start="720"/>
        <w:rPr/>
      </w:pPr>
      <w:r>
        <w:rPr>
          <w:rFonts w:eastAsia="Arial" w:cs="Arial"/>
          <w:b/>
          <w:bCs/>
          <w:sz w:val="22"/>
          <w:szCs w:val="22"/>
        </w:rPr>
        <w:t xml:space="preserve">e.  </w:t>
      </w:r>
      <w:r>
        <w:rPr>
          <w:rFonts w:eastAsia="Arial" w:cs="Arial"/>
          <w:sz w:val="22"/>
          <w:szCs w:val="22"/>
        </w:rPr>
        <w:t>The prescribing provider shall be contacted immediately (911 if life-threatening) for any ADE that results in: a significant change in the individual's condition, a visit to an emergency department or hospital, or an overdose or toxicity reaction.</w:t>
      </w:r>
    </w:p>
    <w:p>
      <w:pPr>
        <w:pStyle w:val="Normal"/>
        <w:spacing w:before="140" w:after="60"/>
        <w:rPr/>
      </w:pPr>
      <w:r>
        <w:rPr>
          <w:rFonts w:eastAsia="Arial" w:cs="Arial"/>
          <w:b/>
          <w:bCs/>
          <w:sz w:val="22"/>
          <w:szCs w:val="22"/>
          <w:u w:val="single"/>
        </w:rPr>
        <w:t>H. Medication Monitoring and Evaluation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Staff shall monitor and document the individual's response to all medications at each shift, noting: effectiveness for the intended purpose (e.g., pain relief, seizure control, mood stability), any concerning changes in condition, and any refusals or observed difficulties with administration.</w:t>
      </w:r>
    </w:p>
    <w:p>
      <w:pPr>
        <w:pStyle w:val="Normal"/>
        <w:spacing w:before="30" w:after="30"/>
        <w:ind w:hanging="360" w:start="720"/>
        <w:rPr/>
      </w:pPr>
      <w:r>
        <w:rPr>
          <w:rFonts w:eastAsia="Arial" w:cs="Arial"/>
          <w:b/>
          <w:bCs/>
          <w:sz w:val="22"/>
          <w:szCs w:val="22"/>
        </w:rPr>
        <w:t xml:space="preserve">b.  </w:t>
      </w:r>
      <w:r>
        <w:rPr>
          <w:rFonts w:eastAsia="Arial" w:cs="Arial"/>
          <w:sz w:val="22"/>
          <w:szCs w:val="22"/>
        </w:rPr>
        <w:t>Monitoring findings shall be communicated to the prescribing physician at all regularly scheduled appointments and immediately if a significant concern arises.</w:t>
      </w:r>
    </w:p>
    <w:p>
      <w:pPr>
        <w:pStyle w:val="Normal"/>
        <w:spacing w:before="30" w:after="30"/>
        <w:ind w:hanging="360" w:start="720"/>
        <w:rPr/>
      </w:pPr>
      <w:r>
        <w:rPr>
          <w:rFonts w:eastAsia="Arial" w:cs="Arial"/>
          <w:b/>
          <w:bCs/>
          <w:sz w:val="22"/>
          <w:szCs w:val="22"/>
        </w:rPr>
        <w:t xml:space="preserve">c.  </w:t>
      </w:r>
      <w:r>
        <w:rPr>
          <w:rFonts w:eastAsia="Arial" w:cs="Arial"/>
          <w:sz w:val="22"/>
          <w:szCs w:val="22"/>
        </w:rPr>
        <w:t>When a medication is discontinued, staff shall document the reason for discontinuation and monitor for withdrawal effects per prescriber instructions.</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Medication Administration Record (MAR)</w:t>
      </w:r>
    </w:p>
    <w:p>
      <w:pPr>
        <w:pStyle w:val="ListParagraph"/>
        <w:numPr>
          <w:ilvl w:val="0"/>
          <w:numId w:val="1"/>
        </w:numPr>
        <w:spacing w:before="30" w:after="30"/>
        <w:rPr/>
      </w:pPr>
      <w:r>
        <w:rPr>
          <w:rFonts w:eastAsia="Arial" w:cs="Arial"/>
          <w:sz w:val="22"/>
          <w:szCs w:val="22"/>
        </w:rPr>
        <w:t>High-Alert Medication Verification Log</w:t>
      </w:r>
    </w:p>
    <w:p>
      <w:pPr>
        <w:pStyle w:val="ListParagraph"/>
        <w:numPr>
          <w:ilvl w:val="0"/>
          <w:numId w:val="1"/>
        </w:numPr>
        <w:spacing w:before="30" w:after="30"/>
        <w:rPr/>
      </w:pPr>
      <w:r>
        <w:rPr>
          <w:rFonts w:eastAsia="Arial" w:cs="Arial"/>
          <w:sz w:val="22"/>
          <w:szCs w:val="22"/>
        </w:rPr>
        <w:t>Adverse Drug Event Report</w:t>
      </w:r>
    </w:p>
    <w:p>
      <w:pPr>
        <w:pStyle w:val="ListParagraph"/>
        <w:numPr>
          <w:ilvl w:val="0"/>
          <w:numId w:val="1"/>
        </w:numPr>
        <w:spacing w:before="30" w:after="30"/>
        <w:rPr/>
      </w:pPr>
      <w:r>
        <w:rPr>
          <w:rFonts w:eastAsia="Arial" w:cs="Arial"/>
          <w:sz w:val="22"/>
          <w:szCs w:val="22"/>
        </w:rPr>
        <w:t>Medication Reconciliation Form</w:t>
      </w:r>
    </w:p>
    <w:p>
      <w:pPr>
        <w:pStyle w:val="ListParagraph"/>
        <w:numPr>
          <w:ilvl w:val="0"/>
          <w:numId w:val="1"/>
        </w:numPr>
        <w:spacing w:before="30" w:after="30"/>
        <w:rPr/>
      </w:pPr>
      <w:r>
        <w:rPr>
          <w:rFonts w:eastAsia="Arial" w:cs="Arial"/>
          <w:sz w:val="22"/>
          <w:szCs w:val="22"/>
        </w:rPr>
        <w:t>Controlled Substances Count Sheet — Appendix C</w:t>
      </w:r>
    </w:p>
    <w:p>
      <w:pPr>
        <w:pStyle w:val="ListParagraph"/>
        <w:numPr>
          <w:ilvl w:val="0"/>
          <w:numId w:val="1"/>
        </w:numPr>
        <w:spacing w:before="30" w:after="30"/>
        <w:rPr/>
      </w:pPr>
      <w:r>
        <w:rPr>
          <w:rFonts w:eastAsia="Arial" w:cs="Arial"/>
          <w:sz w:val="22"/>
          <w:szCs w:val="22"/>
        </w:rPr>
        <w:t>Medication Error Report — Policy 4.03</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#4.01: Controlled Substances &amp; Narcotics Management</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Clinical / Medication Management</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4.01</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21 U.S.C. §801 (Controlled Substances Act); DEA 21 CFR Part 1301; MM.04 (JC Controlled Substances); State Controlled Substance Regulations; Policy 4.00</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[Provider Name /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establish strict controls for the procurement, storage, counting, administration, waste, and disposal of all controlled substances and narcotics, in compliance with federal DEA regulations and applicable state law, and to ensure that any discrepancy, loss, or diversion is identified and reported promptly.</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Controlled substances are among the highest-risk medications in any residential setting. This Provider shall maintain a double-locked storage system, a perpetual inventory record, and a shift-change count protocol verified by two authorized individuals. Any count discrepancy, loss, theft, or suspected diversion shall be treated as a critical safety event, investigated immediately, and reported to law enforcement and the prescribing physician.</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Storage</w:t>
      </w:r>
    </w:p>
    <w:p>
      <w:pPr>
        <w:pStyle w:val="Normal"/>
        <w:spacing w:before="30" w:after="30"/>
        <w:ind w:hanging="360" w:start="720"/>
        <w:rPr/>
      </w:pPr>
      <w:r>
        <w:rPr>
          <w:rFonts w:eastAsia="Arial" w:cs="Arial"/>
          <w:b/>
          <w:bCs/>
          <w:sz w:val="22"/>
          <w:szCs w:val="22"/>
        </w:rPr>
        <w:t xml:space="preserve">a.  </w:t>
      </w:r>
      <w:r>
        <w:rPr>
          <w:rFonts w:eastAsia="Arial" w:cs="Arial"/>
          <w:sz w:val="22"/>
          <w:szCs w:val="22"/>
        </w:rPr>
        <w:t>Controlled substances shall be stored in a double-locked, fixed security container accessible only to authorized, trained staff. Keys or access codes shall not be shared and shall be transferred person-to-person at each shift change.</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controlled substance count sheet shall be maintained in or adjacent to the locked storage, accessible only to authorized staff.</w:t>
      </w:r>
    </w:p>
    <w:p>
      <w:pPr>
        <w:pStyle w:val="Normal"/>
        <w:spacing w:before="140" w:after="60"/>
        <w:rPr/>
      </w:pPr>
      <w:r>
        <w:rPr>
          <w:rFonts w:eastAsia="Arial" w:cs="Arial"/>
          <w:b/>
          <w:bCs/>
          <w:sz w:val="22"/>
          <w:szCs w:val="22"/>
          <w:u w:val="single"/>
        </w:rPr>
        <w:t>B. Shift-Change Count Protocol</w:t>
      </w:r>
    </w:p>
    <w:p>
      <w:pPr>
        <w:pStyle w:val="Normal"/>
        <w:spacing w:before="30" w:after="30"/>
        <w:ind w:hanging="360" w:start="720"/>
        <w:rPr/>
      </w:pPr>
      <w:r>
        <w:rPr>
          <w:rFonts w:eastAsia="Arial" w:cs="Arial"/>
          <w:b/>
          <w:bCs/>
          <w:sz w:val="22"/>
          <w:szCs w:val="22"/>
        </w:rPr>
        <w:t xml:space="preserve">a.  </w:t>
      </w:r>
      <w:r>
        <w:rPr>
          <w:rFonts w:eastAsia="Arial" w:cs="Arial"/>
          <w:sz w:val="22"/>
          <w:szCs w:val="22"/>
        </w:rPr>
        <w:t>At every shift change, the outgoing and incoming staff member shall together count all controlled substances and verify the count against the Narcotics &amp; Controlled Substances Count Sheet (Appendix C).</w:t>
      </w:r>
    </w:p>
    <w:p>
      <w:pPr>
        <w:pStyle w:val="Normal"/>
        <w:spacing w:before="30" w:after="30"/>
        <w:ind w:hanging="360" w:start="720"/>
        <w:rPr/>
      </w:pPr>
      <w:r>
        <w:rPr>
          <w:rFonts w:eastAsia="Arial" w:cs="Arial"/>
          <w:b/>
          <w:bCs/>
          <w:sz w:val="22"/>
          <w:szCs w:val="22"/>
        </w:rPr>
        <w:t xml:space="preserve">b.  </w:t>
      </w:r>
      <w:r>
        <w:rPr>
          <w:rFonts w:eastAsia="Arial" w:cs="Arial"/>
          <w:sz w:val="22"/>
          <w:szCs w:val="22"/>
        </w:rPr>
        <w:t>Both staff shall sign the count sheet attesting to the accuracy of the count, the time, and any notes regarding condition of the supply.</w:t>
      </w:r>
    </w:p>
    <w:p>
      <w:pPr>
        <w:pStyle w:val="Normal"/>
        <w:spacing w:before="30" w:after="30"/>
        <w:ind w:hanging="360" w:start="720"/>
        <w:rPr/>
      </w:pPr>
      <w:r>
        <w:rPr>
          <w:rFonts w:eastAsia="Arial" w:cs="Arial"/>
          <w:b/>
          <w:bCs/>
          <w:sz w:val="22"/>
          <w:szCs w:val="22"/>
        </w:rPr>
        <w:t xml:space="preserve">c.  </w:t>
      </w:r>
      <w:r>
        <w:rPr>
          <w:rFonts w:eastAsia="Arial" w:cs="Arial"/>
          <w:sz w:val="22"/>
          <w:szCs w:val="22"/>
        </w:rPr>
        <w:t>If a count discrepancy is found: do not administer additional doses from the affected supply, immediately contact the Administrator, document all circumstances on the count sheet and in an Incident Report, and do not alter, destroy, or move any records or supplies until the investigation is complete.</w:t>
      </w:r>
    </w:p>
    <w:p>
      <w:pPr>
        <w:pStyle w:val="Normal"/>
        <w:spacing w:before="140" w:after="60"/>
        <w:rPr/>
      </w:pPr>
      <w:r>
        <w:rPr>
          <w:rFonts w:eastAsia="Arial" w:cs="Arial"/>
          <w:b/>
          <w:bCs/>
          <w:sz w:val="22"/>
          <w:szCs w:val="22"/>
          <w:u w:val="single"/>
        </w:rPr>
        <w:t>C. Administration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Controlled substance administration shall follow all procedures in Policy 4.00 (Six Rights, high-alert safeguards) with the additional requirement that when a second qualified staff member is present, they shall witness and co-sign the administration in the MAR and on the count sheet.</w:t>
      </w:r>
    </w:p>
    <w:p>
      <w:pPr>
        <w:pStyle w:val="Normal"/>
        <w:spacing w:before="30" w:after="30"/>
        <w:ind w:hanging="360" w:start="720"/>
        <w:rPr/>
      </w:pPr>
      <w:r>
        <w:rPr>
          <w:rFonts w:eastAsia="Arial" w:cs="Arial"/>
          <w:b/>
          <w:bCs/>
          <w:sz w:val="22"/>
          <w:szCs w:val="22"/>
        </w:rPr>
        <w:t xml:space="preserve">b.  </w:t>
      </w:r>
      <w:r>
        <w:rPr>
          <w:rFonts w:eastAsia="Arial" w:cs="Arial"/>
          <w:sz w:val="22"/>
          <w:szCs w:val="22"/>
        </w:rPr>
        <w:t>Single staff administrations shall be documented with the staff name, time, dose, and the count before and after administration.</w:t>
      </w:r>
    </w:p>
    <w:p>
      <w:pPr>
        <w:pStyle w:val="Normal"/>
        <w:spacing w:before="140" w:after="60"/>
        <w:rPr/>
      </w:pPr>
      <w:r>
        <w:rPr>
          <w:rFonts w:eastAsia="Arial" w:cs="Arial"/>
          <w:b/>
          <w:bCs/>
          <w:sz w:val="22"/>
          <w:szCs w:val="22"/>
          <w:u w:val="single"/>
        </w:rPr>
        <w:t>D. Waste Documentation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Any partial dose that must be wasted (e.g., pre-filled syringe with excess medication) shall be wasted in the presence of a witness when available, with both the administering staff and witness signing the waste record.</w:t>
      </w:r>
    </w:p>
    <w:p>
      <w:pPr>
        <w:pStyle w:val="Normal"/>
        <w:spacing w:before="30" w:after="30"/>
        <w:ind w:hanging="360" w:start="720"/>
        <w:rPr/>
      </w:pPr>
      <w:r>
        <w:rPr>
          <w:rFonts w:eastAsia="Arial" w:cs="Arial"/>
          <w:b/>
          <w:bCs/>
          <w:sz w:val="22"/>
          <w:szCs w:val="22"/>
        </w:rPr>
        <w:t xml:space="preserve">b.  </w:t>
      </w:r>
      <w:r>
        <w:rPr>
          <w:rFonts w:eastAsia="Arial" w:cs="Arial"/>
          <w:sz w:val="22"/>
          <w:szCs w:val="22"/>
        </w:rPr>
        <w:t>If no witness is available, the administering staff shall document the waste with the amount, method of destruction, date, and time, and shall notify the Administrator.</w:t>
      </w:r>
    </w:p>
    <w:p>
      <w:pPr>
        <w:pStyle w:val="Normal"/>
        <w:spacing w:before="140" w:after="60"/>
        <w:rPr/>
      </w:pPr>
      <w:r>
        <w:rPr>
          <w:rFonts w:eastAsia="Arial" w:cs="Arial"/>
          <w:b/>
          <w:bCs/>
          <w:sz w:val="22"/>
          <w:szCs w:val="22"/>
          <w:u w:val="single"/>
        </w:rPr>
        <w:t>E. Disposal of Discontinued or Expired Controlled Substances</w:t>
      </w:r>
    </w:p>
    <w:p>
      <w:pPr>
        <w:pStyle w:val="Normal"/>
        <w:spacing w:before="30" w:after="30"/>
        <w:ind w:hanging="360" w:start="720"/>
        <w:rPr/>
      </w:pPr>
      <w:r>
        <w:rPr>
          <w:rFonts w:eastAsia="Arial" w:cs="Arial"/>
          <w:b/>
          <w:bCs/>
          <w:sz w:val="22"/>
          <w:szCs w:val="22"/>
        </w:rPr>
        <w:t xml:space="preserve">a.  </w:t>
      </w:r>
      <w:r>
        <w:rPr>
          <w:rFonts w:eastAsia="Arial" w:cs="Arial"/>
          <w:sz w:val="22"/>
          <w:szCs w:val="22"/>
        </w:rPr>
        <w:t>Discontinued, expired, or returned controlled substances shall be disposed of using a DEA-authorized method: an authorized take-back program, DEA-compliant destruction kit, or licensed reverse distributor.</w:t>
      </w:r>
    </w:p>
    <w:p>
      <w:pPr>
        <w:pStyle w:val="Normal"/>
        <w:spacing w:before="30" w:after="30"/>
        <w:ind w:hanging="360" w:start="720"/>
        <w:rPr/>
      </w:pPr>
      <w:r>
        <w:rPr>
          <w:rFonts w:eastAsia="Arial" w:cs="Arial"/>
          <w:b/>
          <w:bCs/>
          <w:sz w:val="22"/>
          <w:szCs w:val="22"/>
        </w:rPr>
        <w:t xml:space="preserve">b.  </w:t>
      </w:r>
      <w:r>
        <w:rPr>
          <w:rFonts w:eastAsia="Arial" w:cs="Arial"/>
          <w:sz w:val="22"/>
          <w:szCs w:val="22"/>
        </w:rPr>
        <w:t>Disposal shall be witnessed by two authorized individuals whenever possible and documented with: medication name, dose, quantity disposed, date, method, and signatures of both witnesses.</w:t>
      </w:r>
    </w:p>
    <w:p>
      <w:pPr>
        <w:pStyle w:val="Normal"/>
        <w:spacing w:before="140" w:after="60"/>
        <w:rPr/>
      </w:pPr>
      <w:r>
        <w:rPr>
          <w:rFonts w:eastAsia="Arial" w:cs="Arial"/>
          <w:b/>
          <w:bCs/>
          <w:sz w:val="22"/>
          <w:szCs w:val="22"/>
          <w:u w:val="single"/>
        </w:rPr>
        <w:t>F. Reporting of Discrepancies, Theft, or Diversion</w:t>
      </w:r>
    </w:p>
    <w:p>
      <w:pPr>
        <w:pStyle w:val="Normal"/>
        <w:spacing w:before="30" w:after="30"/>
        <w:ind w:hanging="360" w:start="720"/>
        <w:rPr/>
      </w:pPr>
      <w:r>
        <w:rPr>
          <w:rFonts w:eastAsia="Arial" w:cs="Arial"/>
          <w:b/>
          <w:bCs/>
          <w:sz w:val="22"/>
          <w:szCs w:val="22"/>
        </w:rPr>
        <w:t xml:space="preserve">a.  </w:t>
      </w:r>
      <w:r>
        <w:rPr>
          <w:rFonts w:eastAsia="Arial" w:cs="Arial"/>
          <w:sz w:val="22"/>
          <w:szCs w:val="22"/>
        </w:rPr>
        <w:t>Any unresolved count discrepancy, suspected theft, or suspected diversion shall be reported to: the Administrator immediately, law enforcement as required by state law, the prescribing physician, and the DEA if required by federal regulation.</w:t>
      </w:r>
    </w:p>
    <w:p>
      <w:pPr>
        <w:pStyle w:val="Normal"/>
        <w:spacing w:before="30" w:after="30"/>
        <w:ind w:hanging="360" w:start="720"/>
        <w:rPr/>
      </w:pPr>
      <w:r>
        <w:rPr>
          <w:rFonts w:eastAsia="Arial" w:cs="Arial"/>
          <w:b/>
          <w:bCs/>
          <w:sz w:val="22"/>
          <w:szCs w:val="22"/>
        </w:rPr>
        <w:t xml:space="preserve">b.  </w:t>
      </w:r>
      <w:r>
        <w:rPr>
          <w:rFonts w:eastAsia="Arial" w:cs="Arial"/>
          <w:sz w:val="22"/>
          <w:szCs w:val="22"/>
        </w:rPr>
        <w:t>All documentation related to the incident shall be preserved and made available for investigation.</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Narcotics &amp; Controlled Substances Count Sheet — Appendix C</w:t>
      </w:r>
    </w:p>
    <w:p>
      <w:pPr>
        <w:pStyle w:val="ListParagraph"/>
        <w:numPr>
          <w:ilvl w:val="0"/>
          <w:numId w:val="1"/>
        </w:numPr>
        <w:spacing w:before="30" w:after="30"/>
        <w:rPr/>
      </w:pPr>
      <w:r>
        <w:rPr>
          <w:rFonts w:eastAsia="Arial" w:cs="Arial"/>
          <w:sz w:val="22"/>
          <w:szCs w:val="22"/>
        </w:rPr>
        <w:t>Waste Documentation Record</w:t>
      </w:r>
    </w:p>
    <w:p>
      <w:pPr>
        <w:pStyle w:val="ListParagraph"/>
        <w:numPr>
          <w:ilvl w:val="0"/>
          <w:numId w:val="1"/>
        </w:numPr>
        <w:spacing w:before="30" w:after="30"/>
        <w:rPr/>
      </w:pPr>
      <w:r>
        <w:rPr>
          <w:rFonts w:eastAsia="Arial" w:cs="Arial"/>
          <w:sz w:val="22"/>
          <w:szCs w:val="22"/>
        </w:rPr>
        <w:t>Incident Report Form — Policy 5.00</w:t>
      </w:r>
    </w:p>
    <w:p>
      <w:pPr>
        <w:pStyle w:val="ListParagraph"/>
        <w:numPr>
          <w:ilvl w:val="0"/>
          <w:numId w:val="1"/>
        </w:numPr>
        <w:spacing w:before="30" w:after="30"/>
        <w:rPr/>
      </w:pPr>
      <w:r>
        <w:rPr>
          <w:rFonts w:eastAsia="Arial" w:cs="Arial"/>
          <w:sz w:val="22"/>
          <w:szCs w:val="22"/>
        </w:rPr>
        <w:t>Adverse Drug Event Report — Policy 4.00</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#4.02: Self-Administration of Medications</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Clinical / Medication Management</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4.02</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MM.04 (JC Self-Administration); State QMAP / Medication Administration Regulations; Individual PCP/ISP; Physician Order</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[Provider Name /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define the criteria, authorization process, level of supervision, and safeguards for self-administration of medications by individuals in this setting, and to ensure that self-administration is appropriately monitored for safety and accuracy.</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An individual may self-administer medications only when a licensed prescribing practitioner has documented that the individual is capable of safe self-administration of specific medications, and when this authorization is reflected in the individual's current PCP/ISP. Self-administration is a skill and a right — it shall be actively supported when safe and appropriate. Staff shall provide oversight without removing the individual's autonomy.</w:t>
      </w:r>
    </w:p>
    <w:p>
      <w:pPr>
        <w:pStyle w:val="Normal"/>
        <w:spacing w:before="120" w:after="40"/>
        <w:rPr/>
      </w:pPr>
      <w:r>
        <w:rPr>
          <w:rFonts w:eastAsia="Arial" w:cs="Arial"/>
          <w:b/>
          <w:bCs/>
          <w:color w:val="2E5DA8"/>
          <w:sz w:val="22"/>
          <w:szCs w:val="22"/>
        </w:rPr>
        <w:t>CRITERIA FOR SELF-ADMINISTRATION AUTHORIZATION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A licensed prescribing practitioner has issued a written order stating the individual is capable of self-administering specified medications.</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PCP/ISP reflects self-medication administration as a support goal or current strategy.</w:t>
      </w:r>
    </w:p>
    <w:p>
      <w:pPr>
        <w:pStyle w:val="Normal"/>
        <w:spacing w:before="30" w:after="30"/>
        <w:ind w:hanging="360" w:start="720"/>
        <w:rPr/>
      </w:pPr>
      <w:r>
        <w:rPr>
          <w:rFonts w:eastAsia="Arial" w:cs="Arial"/>
          <w:b/>
          <w:bCs/>
          <w:sz w:val="22"/>
          <w:szCs w:val="22"/>
        </w:rPr>
        <w:t xml:space="preserve">c.  </w:t>
      </w:r>
      <w:r>
        <w:rPr>
          <w:rFonts w:eastAsia="Arial" w:cs="Arial"/>
          <w:sz w:val="22"/>
          <w:szCs w:val="22"/>
        </w:rPr>
        <w:t>The individual can correctly identify each medication, understand the purpose and dose, and recognize their own medications by appearance.</w:t>
      </w:r>
    </w:p>
    <w:p>
      <w:pPr>
        <w:pStyle w:val="Normal"/>
        <w:spacing w:before="30" w:after="30"/>
        <w:ind w:hanging="360" w:start="720"/>
        <w:rPr/>
      </w:pPr>
      <w:r>
        <w:rPr>
          <w:rFonts w:eastAsia="Arial" w:cs="Arial"/>
          <w:b/>
          <w:bCs/>
          <w:sz w:val="22"/>
          <w:szCs w:val="22"/>
        </w:rPr>
        <w:t xml:space="preserve">d.  </w:t>
      </w:r>
      <w:r>
        <w:rPr>
          <w:rFonts w:eastAsia="Arial" w:cs="Arial"/>
          <w:sz w:val="22"/>
          <w:szCs w:val="22"/>
        </w:rPr>
        <w:t>The individual has demonstrated a consistent pattern of safe self-administration without error over a documented observation period.</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Authorization Process</w:t>
      </w:r>
    </w:p>
    <w:p>
      <w:pPr>
        <w:pStyle w:val="Normal"/>
        <w:spacing w:before="30" w:after="30"/>
        <w:ind w:hanging="360" w:start="720"/>
        <w:rPr/>
      </w:pPr>
      <w:r>
        <w:rPr>
          <w:rFonts w:eastAsia="Arial" w:cs="Arial"/>
          <w:b/>
          <w:bCs/>
          <w:sz w:val="22"/>
          <w:szCs w:val="22"/>
        </w:rPr>
        <w:t xml:space="preserve">a.  </w:t>
      </w:r>
      <w:r>
        <w:rPr>
          <w:rFonts w:eastAsia="Arial" w:cs="Arial"/>
          <w:sz w:val="22"/>
          <w:szCs w:val="22"/>
        </w:rPr>
        <w:t>The Provider/Administrator shall obtain the prescribing practitioner's written self-administration order and file it in the clinical record and MAR before self-administration begins.</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PCP/ISP shall be updated to reflect self-administration at the next plan meeting or via an interim plan update.</w:t>
      </w:r>
    </w:p>
    <w:p>
      <w:pPr>
        <w:pStyle w:val="Normal"/>
        <w:spacing w:before="140" w:after="60"/>
        <w:rPr/>
      </w:pPr>
      <w:r>
        <w:rPr>
          <w:rFonts w:eastAsia="Arial" w:cs="Arial"/>
          <w:b/>
          <w:bCs/>
          <w:sz w:val="22"/>
          <w:szCs w:val="22"/>
          <w:u w:val="single"/>
        </w:rPr>
        <w:t>B. Staff Monitoring During Self-Administration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Even when self-administration is authorized, staff shall observe or be in proximity to confirm: the correct medication and dose are selected, the medication is taken at the scheduled time, and the individual does not exhibit signs of confusion about their medications.</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degree of staff oversight (direct observation vs. proximity vs. medication access only) shall be specified in the PCP/ISP and the physician's order.</w:t>
      </w:r>
    </w:p>
    <w:p>
      <w:pPr>
        <w:pStyle w:val="Normal"/>
        <w:spacing w:before="30" w:after="30"/>
        <w:ind w:hanging="360" w:start="720"/>
        <w:rPr/>
      </w:pPr>
      <w:r>
        <w:rPr>
          <w:rFonts w:eastAsia="Arial" w:cs="Arial"/>
          <w:b/>
          <w:bCs/>
          <w:sz w:val="22"/>
          <w:szCs w:val="22"/>
        </w:rPr>
        <w:t xml:space="preserve">c.  </w:t>
      </w:r>
      <w:r>
        <w:rPr>
          <w:rFonts w:eastAsia="Arial" w:cs="Arial"/>
          <w:sz w:val="22"/>
          <w:szCs w:val="22"/>
        </w:rPr>
        <w:t>Each self-administration shall be documented in the MAR with a notation that the individual self-administered under staff observation (or per the level of supervision specified).</w:t>
      </w:r>
    </w:p>
    <w:p>
      <w:pPr>
        <w:pStyle w:val="Normal"/>
        <w:spacing w:before="140" w:after="60"/>
        <w:rPr/>
      </w:pPr>
      <w:r>
        <w:rPr>
          <w:rFonts w:eastAsia="Arial" w:cs="Arial"/>
          <w:b/>
          <w:bCs/>
          <w:sz w:val="22"/>
          <w:szCs w:val="22"/>
          <w:u w:val="single"/>
        </w:rPr>
        <w:t>C. Mismanagement Response Protocol</w:t>
      </w:r>
    </w:p>
    <w:p>
      <w:pPr>
        <w:pStyle w:val="Normal"/>
        <w:spacing w:before="30" w:after="30"/>
        <w:ind w:hanging="360" w:start="720"/>
        <w:rPr/>
      </w:pPr>
      <w:r>
        <w:rPr>
          <w:rFonts w:eastAsia="Arial" w:cs="Arial"/>
          <w:b/>
          <w:bCs/>
          <w:sz w:val="22"/>
          <w:szCs w:val="22"/>
        </w:rPr>
        <w:t xml:space="preserve">a.  </w:t>
      </w:r>
      <w:r>
        <w:rPr>
          <w:rFonts w:eastAsia="Arial" w:cs="Arial"/>
          <w:sz w:val="22"/>
          <w:szCs w:val="22"/>
        </w:rPr>
        <w:t>If an individual self-administering medications is found to have: taken the wrong medication, taken the wrong dose, missed doses consistently, stockpiled medications, or taken medications belonging to another household member — the following steps shall be taken immediately:</w:t>
      </w:r>
    </w:p>
    <w:p>
      <w:pPr>
        <w:pStyle w:val="ListParagraph"/>
        <w:numPr>
          <w:ilvl w:val="1"/>
          <w:numId w:val="1"/>
        </w:numPr>
        <w:spacing w:before="30" w:after="30"/>
        <w:rPr/>
      </w:pPr>
      <w:r>
        <w:rPr>
          <w:rFonts w:eastAsia="Arial" w:cs="Arial"/>
          <w:sz w:val="22"/>
          <w:szCs w:val="22"/>
        </w:rPr>
        <w:t>Notify the Administrator</w:t>
      </w:r>
    </w:p>
    <w:p>
      <w:pPr>
        <w:pStyle w:val="ListParagraph"/>
        <w:numPr>
          <w:ilvl w:val="1"/>
          <w:numId w:val="1"/>
        </w:numPr>
        <w:spacing w:before="30" w:after="30"/>
        <w:rPr/>
      </w:pPr>
      <w:r>
        <w:rPr>
          <w:rFonts w:eastAsia="Arial" w:cs="Arial"/>
          <w:sz w:val="22"/>
          <w:szCs w:val="22"/>
        </w:rPr>
        <w:t>Contact the prescribing physician for clinical guidance</w:t>
      </w:r>
    </w:p>
    <w:p>
      <w:pPr>
        <w:pStyle w:val="ListParagraph"/>
        <w:numPr>
          <w:ilvl w:val="1"/>
          <w:numId w:val="1"/>
        </w:numPr>
        <w:spacing w:before="30" w:after="30"/>
        <w:rPr/>
      </w:pPr>
      <w:r>
        <w:rPr>
          <w:rFonts w:eastAsia="Arial" w:cs="Arial"/>
          <w:sz w:val="22"/>
          <w:szCs w:val="22"/>
        </w:rPr>
        <w:t>Document the incident on a Medication Error Report (Policy 4.03) and an Adverse Drug Event Report if any harm occurred</w:t>
      </w:r>
    </w:p>
    <w:p>
      <w:pPr>
        <w:pStyle w:val="ListParagraph"/>
        <w:numPr>
          <w:ilvl w:val="1"/>
          <w:numId w:val="1"/>
        </w:numPr>
        <w:spacing w:before="30" w:after="30"/>
        <w:rPr/>
      </w:pPr>
      <w:r>
        <w:rPr>
          <w:rFonts w:eastAsia="Arial" w:cs="Arial"/>
          <w:sz w:val="22"/>
          <w:szCs w:val="22"/>
        </w:rPr>
        <w:t>Do not allow further self-administration pending physician review and team decision</w:t>
      </w:r>
    </w:p>
    <w:p>
      <w:pPr>
        <w:pStyle w:val="Normal"/>
        <w:spacing w:before="30" w:after="30"/>
        <w:ind w:hanging="360" w:start="720"/>
        <w:rPr/>
      </w:pPr>
      <w:r>
        <w:rPr>
          <w:rFonts w:eastAsia="Arial" w:cs="Arial"/>
          <w:b/>
          <w:bCs/>
          <w:sz w:val="22"/>
          <w:szCs w:val="22"/>
        </w:rPr>
        <w:t xml:space="preserve">b.  </w:t>
      </w:r>
      <w:r>
        <w:rPr>
          <w:rFonts w:eastAsia="Arial" w:cs="Arial"/>
          <w:sz w:val="22"/>
          <w:szCs w:val="22"/>
        </w:rPr>
        <w:t>Self-administration authorization may be suspended by the Administrator pending physician review whenever a safety concern is identified. Suspension shall be documented and the individual and guardian notified.</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Physician Order for Self-Administration</w:t>
      </w:r>
    </w:p>
    <w:p>
      <w:pPr>
        <w:pStyle w:val="ListParagraph"/>
        <w:numPr>
          <w:ilvl w:val="0"/>
          <w:numId w:val="1"/>
        </w:numPr>
        <w:spacing w:before="30" w:after="30"/>
        <w:rPr/>
      </w:pPr>
      <w:r>
        <w:rPr>
          <w:rFonts w:eastAsia="Arial" w:cs="Arial"/>
          <w:sz w:val="22"/>
          <w:szCs w:val="22"/>
        </w:rPr>
        <w:t>Medication Administration Record (MAR)</w:t>
      </w:r>
    </w:p>
    <w:p>
      <w:pPr>
        <w:pStyle w:val="ListParagraph"/>
        <w:numPr>
          <w:ilvl w:val="0"/>
          <w:numId w:val="1"/>
        </w:numPr>
        <w:spacing w:before="30" w:after="30"/>
        <w:rPr/>
      </w:pPr>
      <w:r>
        <w:rPr>
          <w:rFonts w:eastAsia="Arial" w:cs="Arial"/>
          <w:sz w:val="22"/>
          <w:szCs w:val="22"/>
        </w:rPr>
        <w:t>Medication Error / Incident Report — Policy 4.03</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#4.03: Medication Errors &amp; Adverse Drug Events — Reporting, Investigation &amp; Prevention</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Clinical / Quality Management</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4.03</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MM.08 (JC Medication Error Reporting); PI.01 (JC Performance Improvement); State Incident Reporting Requirements; Policy 4.00</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[Provider Name /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ensure that all medication errors and adverse drug events (ADEs) are identified quickly, reported promptly, managed safely, documented thoroughly, investigated systematically, and used to drive genuine improvements in medication management processes.</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Every medication error and ADE, regardless of whether harm occurred, shall be reported immediately, documented fully, and reviewed by the Administrator. Near-misses (errors caught before reaching the individual) are equally valuable and shall be documented and reviewed without punitive consequence to the reporting staff. Aggregate error and ADE data shall be reviewed quarterly as part of the Quality Management Program.</w:t>
      </w:r>
    </w:p>
    <w:p>
      <w:pPr>
        <w:pStyle w:val="Normal"/>
        <w:spacing w:before="120" w:after="40"/>
        <w:rPr/>
      </w:pPr>
      <w:r>
        <w:rPr>
          <w:rFonts w:eastAsia="Arial" w:cs="Arial"/>
          <w:b/>
          <w:bCs/>
          <w:color w:val="2E5DA8"/>
          <w:sz w:val="22"/>
          <w:szCs w:val="22"/>
        </w:rPr>
        <w:t>DEFINITIONS</w:t>
      </w:r>
    </w:p>
    <w:p>
      <w:pPr>
        <w:pStyle w:val="ListParagraph"/>
        <w:numPr>
          <w:ilvl w:val="0"/>
          <w:numId w:val="1"/>
        </w:numPr>
        <w:spacing w:before="30" w:after="30"/>
        <w:rPr/>
      </w:pPr>
      <w:r>
        <w:rPr>
          <w:rFonts w:eastAsia="Arial" w:cs="Arial"/>
          <w:sz w:val="22"/>
          <w:szCs w:val="22"/>
        </w:rPr>
        <w:t>Medication Error: Any deviation from the prescribed medication order — including wrong medication, wrong dose, wrong route, wrong time, wrong individual, missed dose, unauthorized medication, dose given to wrong person, or documentation error.</w:t>
      </w:r>
    </w:p>
    <w:p>
      <w:pPr>
        <w:pStyle w:val="ListParagraph"/>
        <w:numPr>
          <w:ilvl w:val="0"/>
          <w:numId w:val="1"/>
        </w:numPr>
        <w:spacing w:before="30" w:after="30"/>
        <w:rPr/>
      </w:pPr>
      <w:r>
        <w:rPr>
          <w:rFonts w:eastAsia="Arial" w:cs="Arial"/>
          <w:sz w:val="22"/>
          <w:szCs w:val="22"/>
        </w:rPr>
        <w:t>Near-Miss: A medication error that was caught before the medication reached the individual. Near-misses are as important as errors for quality improvement purposes.</w:t>
      </w:r>
    </w:p>
    <w:p>
      <w:pPr>
        <w:pStyle w:val="ListParagraph"/>
        <w:numPr>
          <w:ilvl w:val="0"/>
          <w:numId w:val="1"/>
        </w:numPr>
        <w:spacing w:before="30" w:after="30"/>
        <w:rPr/>
      </w:pPr>
      <w:r>
        <w:rPr>
          <w:rFonts w:eastAsia="Arial" w:cs="Arial"/>
          <w:sz w:val="22"/>
          <w:szCs w:val="22"/>
        </w:rPr>
        <w:t>Adverse Drug Event (ADE): Any injury resulting from a medication, whether or not an error was involved. ADEs include adverse reactions, allergic responses, toxicity events, and drug interactions. (See Policy 4.00, Section G for full ADE protocol.)</w:t>
      </w:r>
    </w:p>
    <w:p>
      <w:pPr>
        <w:pStyle w:val="ListParagraph"/>
        <w:numPr>
          <w:ilvl w:val="0"/>
          <w:numId w:val="1"/>
        </w:numPr>
        <w:spacing w:before="30" w:after="30"/>
        <w:rPr/>
      </w:pPr>
      <w:r>
        <w:rPr>
          <w:rFonts w:eastAsia="Arial" w:cs="Arial"/>
          <w:sz w:val="22"/>
          <w:szCs w:val="22"/>
        </w:rPr>
        <w:t>Root Cause Analysis (RCA): A structured investigation process that identifies the fundamental system-level causes of an event, rather than focusing solely on individual staff performance.</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Immediate Response to a Medication Error</w:t>
      </w:r>
    </w:p>
    <w:p>
      <w:pPr>
        <w:pStyle w:val="Normal"/>
        <w:spacing w:before="30" w:after="30"/>
        <w:ind w:hanging="360" w:start="720"/>
        <w:rPr/>
      </w:pPr>
      <w:r>
        <w:rPr>
          <w:rFonts w:eastAsia="Arial" w:cs="Arial"/>
          <w:b/>
          <w:bCs/>
          <w:sz w:val="22"/>
          <w:szCs w:val="22"/>
        </w:rPr>
        <w:t xml:space="preserve">a.  </w:t>
      </w:r>
      <w:r>
        <w:rPr>
          <w:rFonts w:eastAsia="Arial" w:cs="Arial"/>
          <w:sz w:val="22"/>
          <w:szCs w:val="22"/>
        </w:rPr>
        <w:t>The staff member who identifies or commits a medication error shall immediately notify the Administrator or on-call supervisor — before the end of the shift, without exception.</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Administrator shall contact the prescribing physician or on-call clinician to report the error and receive clinical instructions.</w:t>
      </w:r>
    </w:p>
    <w:p>
      <w:pPr>
        <w:pStyle w:val="Normal"/>
        <w:spacing w:before="30" w:after="30"/>
        <w:ind w:hanging="360" w:start="720"/>
        <w:rPr/>
      </w:pPr>
      <w:r>
        <w:rPr>
          <w:rFonts w:eastAsia="Arial" w:cs="Arial"/>
          <w:b/>
          <w:bCs/>
          <w:sz w:val="22"/>
          <w:szCs w:val="22"/>
        </w:rPr>
        <w:t xml:space="preserve">c.  </w:t>
      </w:r>
      <w:r>
        <w:rPr>
          <w:rFonts w:eastAsia="Arial" w:cs="Arial"/>
          <w:sz w:val="22"/>
          <w:szCs w:val="22"/>
        </w:rPr>
        <w:t>If the individual shows any adverse reaction: call 911 if life-threatening; contact Poison Control (1-800-222-1222) if toxicity is a concern; notify the Administrator simultaneously.</w:t>
      </w:r>
    </w:p>
    <w:p>
      <w:pPr>
        <w:pStyle w:val="Normal"/>
        <w:spacing w:before="30" w:after="30"/>
        <w:ind w:hanging="360" w:start="720"/>
        <w:rPr/>
      </w:pPr>
      <w:r>
        <w:rPr>
          <w:rFonts w:eastAsia="Arial" w:cs="Arial"/>
          <w:b/>
          <w:bCs/>
          <w:sz w:val="22"/>
          <w:szCs w:val="22"/>
        </w:rPr>
        <w:t xml:space="preserve">d.  </w:t>
      </w:r>
      <w:r>
        <w:rPr>
          <w:rFonts w:eastAsia="Arial" w:cs="Arial"/>
          <w:sz w:val="22"/>
          <w:szCs w:val="22"/>
        </w:rPr>
        <w:t>Staff shall observe and document the individual's condition closely following any error, noting any changes from baseline.</w:t>
      </w:r>
    </w:p>
    <w:p>
      <w:pPr>
        <w:pStyle w:val="Normal"/>
        <w:spacing w:before="140" w:after="60"/>
        <w:rPr/>
      </w:pPr>
      <w:r>
        <w:rPr>
          <w:rFonts w:eastAsia="Arial" w:cs="Arial"/>
          <w:b/>
          <w:bCs/>
          <w:sz w:val="22"/>
          <w:szCs w:val="22"/>
          <w:u w:val="single"/>
        </w:rPr>
        <w:t>B. Mandatory Documentation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A Medication Error Report shall be completed by the involved staff member within the shift the error occurred. The report shall include: medication involved, the prescribed order, exactly what occurred and what was different from the order, time of error, time discovered, the individual's condition at the time of discovery and one hour later, the prescribing physician's instructions, any intervention provided, and the name of the Administrator notified.</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MAR shall be annotated with a notation of the error, cross-referencing the Medication Error Report, without altering or obscuring the original entry.</w:t>
      </w:r>
    </w:p>
    <w:p>
      <w:pPr>
        <w:pStyle w:val="Normal"/>
        <w:spacing w:before="30" w:after="30"/>
        <w:ind w:hanging="360" w:start="720"/>
        <w:rPr/>
      </w:pPr>
      <w:r>
        <w:rPr>
          <w:rFonts w:eastAsia="Arial" w:cs="Arial"/>
          <w:b/>
          <w:bCs/>
          <w:sz w:val="22"/>
          <w:szCs w:val="22"/>
        </w:rPr>
        <w:t xml:space="preserve">c.  </w:t>
      </w:r>
      <w:r>
        <w:rPr>
          <w:rFonts w:eastAsia="Arial" w:cs="Arial"/>
          <w:sz w:val="22"/>
          <w:szCs w:val="22"/>
        </w:rPr>
        <w:t>Near-misses shall be documented on a Near-Miss Report form with equal detail. Near-miss documentation shall note what prevented the error from reaching the individual.</w:t>
      </w:r>
    </w:p>
    <w:p>
      <w:pPr>
        <w:pStyle w:val="Normal"/>
        <w:spacing w:before="140" w:after="60"/>
        <w:rPr/>
      </w:pPr>
      <w:r>
        <w:rPr>
          <w:rFonts w:eastAsia="Arial" w:cs="Arial"/>
          <w:b/>
          <w:bCs/>
          <w:sz w:val="22"/>
          <w:szCs w:val="22"/>
          <w:u w:val="single"/>
        </w:rPr>
        <w:t>C. Investigation — Root Cause Analysis</w:t>
      </w:r>
    </w:p>
    <w:p>
      <w:pPr>
        <w:pStyle w:val="Normal"/>
        <w:spacing w:before="30" w:after="30"/>
        <w:ind w:hanging="360" w:start="720"/>
        <w:rPr/>
      </w:pPr>
      <w:r>
        <w:rPr>
          <w:rFonts w:eastAsia="Arial" w:cs="Arial"/>
          <w:b/>
          <w:bCs/>
          <w:sz w:val="22"/>
          <w:szCs w:val="22"/>
        </w:rPr>
        <w:t xml:space="preserve">a.  </w:t>
      </w:r>
      <w:r>
        <w:rPr>
          <w:rFonts w:eastAsia="Arial" w:cs="Arial"/>
          <w:sz w:val="22"/>
          <w:szCs w:val="22"/>
        </w:rPr>
        <w:t>The Administrator shall review every Medication Error Report within twenty-four (24) hours and conduct a root cause investigation within seventy-two (72) hours of a serious error.</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root cause analysis shall examine: contributing system factors (labeling, storage, MAR design, workflow), contributing training factors (knowledge gaps, competency), contributing communication factors (order transmission, handoffs), and environmental factors.</w:t>
      </w:r>
    </w:p>
    <w:p>
      <w:pPr>
        <w:pStyle w:val="Normal"/>
        <w:spacing w:before="30" w:after="30"/>
        <w:ind w:hanging="360" w:start="720"/>
        <w:rPr/>
      </w:pPr>
      <w:r>
        <w:rPr>
          <w:rFonts w:eastAsia="Arial" w:cs="Arial"/>
          <w:b/>
          <w:bCs/>
          <w:sz w:val="22"/>
          <w:szCs w:val="22"/>
        </w:rPr>
        <w:t xml:space="preserve">c.  </w:t>
      </w:r>
      <w:r>
        <w:rPr>
          <w:rFonts w:eastAsia="Arial" w:cs="Arial"/>
          <w:sz w:val="22"/>
          <w:szCs w:val="22"/>
        </w:rPr>
        <w:t>The goal of the RCA is to identify system improvements, not to assign blame to individuals.</w:t>
      </w:r>
    </w:p>
    <w:p>
      <w:pPr>
        <w:pStyle w:val="Normal"/>
        <w:spacing w:before="140" w:after="60"/>
        <w:rPr/>
      </w:pPr>
      <w:r>
        <w:rPr>
          <w:rFonts w:eastAsia="Arial" w:cs="Arial"/>
          <w:b/>
          <w:bCs/>
          <w:sz w:val="22"/>
          <w:szCs w:val="22"/>
          <w:u w:val="single"/>
        </w:rPr>
        <w:t>D. Corrective Action and Follow-Up</w:t>
      </w:r>
    </w:p>
    <w:p>
      <w:pPr>
        <w:pStyle w:val="Normal"/>
        <w:spacing w:before="30" w:after="30"/>
        <w:ind w:hanging="360" w:start="720"/>
        <w:rPr/>
      </w:pPr>
      <w:r>
        <w:rPr>
          <w:rFonts w:eastAsia="Arial" w:cs="Arial"/>
          <w:b/>
          <w:bCs/>
          <w:sz w:val="22"/>
          <w:szCs w:val="22"/>
        </w:rPr>
        <w:t xml:space="preserve">a.  </w:t>
      </w:r>
      <w:r>
        <w:rPr>
          <w:rFonts w:eastAsia="Arial" w:cs="Arial"/>
          <w:sz w:val="22"/>
          <w:szCs w:val="22"/>
        </w:rPr>
        <w:t>Every medication error investigation shall produce a documented corrective action plan. Corrective actions shall address identified root causes and shall be implemented within thirty (30) days.</w:t>
      </w:r>
    </w:p>
    <w:p>
      <w:pPr>
        <w:pStyle w:val="Normal"/>
        <w:spacing w:before="30" w:after="30"/>
        <w:ind w:hanging="360" w:start="720"/>
        <w:rPr/>
      </w:pPr>
      <w:r>
        <w:rPr>
          <w:rFonts w:eastAsia="Arial" w:cs="Arial"/>
          <w:b/>
          <w:bCs/>
          <w:sz w:val="22"/>
          <w:szCs w:val="22"/>
        </w:rPr>
        <w:t xml:space="preserve">b.  </w:t>
      </w:r>
      <w:r>
        <w:rPr>
          <w:rFonts w:eastAsia="Arial" w:cs="Arial"/>
          <w:sz w:val="22"/>
          <w:szCs w:val="22"/>
        </w:rPr>
        <w:t>If the error reflects a training gap, the staff member shall receive documented additional training before their next medication administration assignment.</w:t>
      </w:r>
    </w:p>
    <w:p>
      <w:pPr>
        <w:pStyle w:val="Normal"/>
        <w:spacing w:before="30" w:after="30"/>
        <w:ind w:hanging="360" w:start="720"/>
        <w:rPr/>
      </w:pPr>
      <w:r>
        <w:rPr>
          <w:rFonts w:eastAsia="Arial" w:cs="Arial"/>
          <w:b/>
          <w:bCs/>
          <w:sz w:val="22"/>
          <w:szCs w:val="22"/>
        </w:rPr>
        <w:t xml:space="preserve">c.  </w:t>
      </w:r>
      <w:r>
        <w:rPr>
          <w:rFonts w:eastAsia="Arial" w:cs="Arial"/>
          <w:sz w:val="22"/>
          <w:szCs w:val="22"/>
        </w:rPr>
        <w:t>Repeated errors by the same staff member, or the same type of error by multiple staff members, shall be treated as a systemic issue requiring a process-level solution, not solely individual disciplinary action.</w:t>
      </w:r>
    </w:p>
    <w:p>
      <w:pPr>
        <w:pStyle w:val="Normal"/>
        <w:spacing w:before="140" w:after="60"/>
        <w:rPr/>
      </w:pPr>
      <w:r>
        <w:rPr>
          <w:rFonts w:eastAsia="Arial" w:cs="Arial"/>
          <w:b/>
          <w:bCs/>
          <w:sz w:val="22"/>
          <w:szCs w:val="22"/>
          <w:u w:val="single"/>
        </w:rPr>
        <w:t>E. Aggregate Data Review and Prevention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All medication errors, near-misses, and ADEs shall be logged in the Medication Safety Log and reviewed in the quarterly Quality Management meeting.</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QM review shall examine: error frequency by type, time, and staff; patterns suggesting system vulnerabilities; effectiveness of prior corrective actions; and ADE trends by medication category.</w:t>
      </w:r>
    </w:p>
    <w:p>
      <w:pPr>
        <w:pStyle w:val="Normal"/>
        <w:spacing w:before="30" w:after="30"/>
        <w:ind w:hanging="360" w:start="720"/>
        <w:rPr/>
      </w:pPr>
      <w:r>
        <w:rPr>
          <w:rFonts w:eastAsia="Arial" w:cs="Arial"/>
          <w:b/>
          <w:bCs/>
          <w:sz w:val="22"/>
          <w:szCs w:val="22"/>
        </w:rPr>
        <w:t xml:space="preserve">c.  </w:t>
      </w:r>
      <w:r>
        <w:rPr>
          <w:rFonts w:eastAsia="Arial" w:cs="Arial"/>
          <w:sz w:val="22"/>
          <w:szCs w:val="22"/>
        </w:rPr>
        <w:t>Findings shall generate documented improvement actions with assigned accountability and follow-up dates.</w:t>
      </w:r>
    </w:p>
    <w:p>
      <w:pPr>
        <w:pStyle w:val="Normal"/>
        <w:spacing w:before="140" w:after="60"/>
        <w:rPr/>
      </w:pPr>
      <w:r>
        <w:rPr>
          <w:rFonts w:eastAsia="Arial" w:cs="Arial"/>
          <w:b/>
          <w:bCs/>
          <w:sz w:val="22"/>
          <w:szCs w:val="22"/>
          <w:u w:val="single"/>
        </w:rPr>
        <w:t>F. Look-Alike / Sound-Alike Medication Precautions</w:t>
      </w:r>
    </w:p>
    <w:p>
      <w:pPr>
        <w:pStyle w:val="Normal"/>
        <w:spacing w:before="30" w:after="30"/>
        <w:ind w:hanging="360" w:start="720"/>
        <w:rPr/>
      </w:pPr>
      <w:r>
        <w:rPr>
          <w:rFonts w:eastAsia="Arial" w:cs="Arial"/>
          <w:b/>
          <w:bCs/>
          <w:sz w:val="22"/>
          <w:szCs w:val="22"/>
        </w:rPr>
        <w:t xml:space="preserve">a.  </w:t>
      </w:r>
      <w:r>
        <w:rPr>
          <w:rFonts w:eastAsia="Arial" w:cs="Arial"/>
          <w:sz w:val="22"/>
          <w:szCs w:val="22"/>
        </w:rPr>
        <w:t>Staff shall be educated at orientation and annually about the specific look-alike/sound-alike medications present in this setting. A current list of look-alike/sound-alike medication pairs shall be posted in the medication storage area.</w:t>
      </w:r>
    </w:p>
    <w:p>
      <w:pPr>
        <w:pStyle w:val="Normal"/>
        <w:spacing w:before="30" w:after="30"/>
        <w:ind w:hanging="360" w:start="720"/>
        <w:rPr/>
      </w:pPr>
      <w:r>
        <w:rPr>
          <w:rFonts w:eastAsia="Arial" w:cs="Arial"/>
          <w:b/>
          <w:bCs/>
          <w:sz w:val="22"/>
          <w:szCs w:val="22"/>
        </w:rPr>
        <w:t xml:space="preserve">b.  </w:t>
      </w:r>
      <w:r>
        <w:rPr>
          <w:rFonts w:eastAsia="Arial" w:cs="Arial"/>
          <w:sz w:val="22"/>
          <w:szCs w:val="22"/>
        </w:rPr>
        <w:t>When a new medication is ordered that looks or sounds like an existing medication, the Provider/Administrator shall alert all staff before administration begins.</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Medication Error Report</w:t>
      </w:r>
    </w:p>
    <w:p>
      <w:pPr>
        <w:pStyle w:val="ListParagraph"/>
        <w:numPr>
          <w:ilvl w:val="0"/>
          <w:numId w:val="1"/>
        </w:numPr>
        <w:spacing w:before="30" w:after="30"/>
        <w:rPr/>
      </w:pPr>
      <w:r>
        <w:rPr>
          <w:rFonts w:eastAsia="Arial" w:cs="Arial"/>
          <w:sz w:val="22"/>
          <w:szCs w:val="22"/>
        </w:rPr>
        <w:t>Near-Miss Report</w:t>
      </w:r>
    </w:p>
    <w:p>
      <w:pPr>
        <w:pStyle w:val="ListParagraph"/>
        <w:numPr>
          <w:ilvl w:val="0"/>
          <w:numId w:val="1"/>
        </w:numPr>
        <w:spacing w:before="30" w:after="30"/>
        <w:rPr/>
      </w:pPr>
      <w:r>
        <w:rPr>
          <w:rFonts w:eastAsia="Arial" w:cs="Arial"/>
          <w:sz w:val="22"/>
          <w:szCs w:val="22"/>
        </w:rPr>
        <w:t>Adverse Drug Event Report (Policy 4.00)</w:t>
      </w:r>
    </w:p>
    <w:p>
      <w:pPr>
        <w:pStyle w:val="ListParagraph"/>
        <w:numPr>
          <w:ilvl w:val="0"/>
          <w:numId w:val="1"/>
        </w:numPr>
        <w:spacing w:before="30" w:after="30"/>
        <w:rPr/>
      </w:pPr>
      <w:r>
        <w:rPr>
          <w:rFonts w:eastAsia="Arial" w:cs="Arial"/>
          <w:sz w:val="22"/>
          <w:szCs w:val="22"/>
        </w:rPr>
        <w:t>Medication Safety Log</w:t>
      </w:r>
    </w:p>
    <w:p>
      <w:pPr>
        <w:pStyle w:val="ListParagraph"/>
        <w:numPr>
          <w:ilvl w:val="0"/>
          <w:numId w:val="1"/>
        </w:numPr>
        <w:spacing w:before="30" w:after="30"/>
        <w:rPr/>
      </w:pPr>
      <w:r>
        <w:rPr>
          <w:rFonts w:eastAsia="Arial" w:cs="Arial"/>
          <w:sz w:val="22"/>
          <w:szCs w:val="22"/>
        </w:rPr>
        <w:t>Incident Report Form (Policy 5.00)</w:t>
      </w:r>
    </w:p>
    <w:p>
      <w:pPr>
        <w:pStyle w:val="ListParagraph"/>
        <w:numPr>
          <w:ilvl w:val="0"/>
          <w:numId w:val="1"/>
        </w:numPr>
        <w:spacing w:before="30" w:after="30"/>
        <w:rPr/>
      </w:pPr>
      <w:r>
        <w:rPr>
          <w:rFonts w:eastAsia="Arial" w:cs="Arial"/>
          <w:sz w:val="22"/>
          <w:szCs w:val="22"/>
        </w:rPr>
        <w:t>Quality Management Log (Policy 6.00)</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bl>
    <w:p>
      <w:pPr>
        <w:pStyle w:val="Normal"/>
        <w:rPr/>
      </w:pPr>
      <w:r>
        <w:rPr/>
        <w:br/>
      </w:r>
    </w:p>
    <w:p>
      <w:pPr>
        <w:pStyle w:val="Normal"/>
        <w:shd w:val="clear" w:fill="1F3864"/>
        <w:spacing w:before="0" w:after="0"/>
        <w:jc w:val="center"/>
        <w:rPr/>
      </w:pPr>
      <w:r>
        <w:rPr>
          <w:rFonts w:eastAsia="Arial" w:cs="Arial"/>
          <w:b/>
          <w:bCs/>
          <w:color w:val="FFFFFF"/>
          <w:sz w:val="32"/>
          <w:szCs w:val="32"/>
        </w:rPr>
        <w:t>SECTION E: HEALTH, SAFETY &amp; EMERGENCY RESPONSE</w:t>
      </w:r>
    </w:p>
    <w:p>
      <w:pPr>
        <w:pStyle w:val="Normal"/>
        <w:spacing w:before="0" w:after="200"/>
        <w:rPr/>
      </w:pPr>
      <w:r>
        <w:rP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#5.00: Incident Reporting, Critical Incidents &amp; Sentinel Events</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Administration / Quality Management</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5.00</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PI.01–PI.03 (JC Performance Improvement / Sentinel Events); State HCBS Incident Reporting Requirements; Mandatory Reporting Statutes; 42 CFR 441.301</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[Provider Name /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ensure that all incidents, critical incidents, and sentinel events involving individuals served are identified promptly, responded to safely, reported to required agencies within mandated timeframes, thoroughly documented, and investigated using root cause methodology to prevent recurrence and drive systemic quality improvement.</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All staff are mandatory reporters and shall report suspected abuse, neglect, or exploitation of at-risk individuals to the appropriate Adult Protective Services hotline immediately — before notifying the Administrator — without exception. All incidents shall be documented. Critical incidents shall be reported to the appropriate state agency within required timeframes. Sentinel events shall trigger a formal root cause analysis with an action plan. This Provider maintains a non-punitive reporting environment; staff shall never be disciplined for good-faith reporting of incidents or safety concerns.</w:t>
      </w:r>
    </w:p>
    <w:p>
      <w:pPr>
        <w:pStyle w:val="Normal"/>
        <w:spacing w:before="120" w:after="40"/>
        <w:rPr/>
      </w:pPr>
      <w:r>
        <w:rPr>
          <w:rFonts w:eastAsia="Arial" w:cs="Arial"/>
          <w:b/>
          <w:bCs/>
          <w:color w:val="2E5DA8"/>
          <w:sz w:val="22"/>
          <w:szCs w:val="22"/>
        </w:rPr>
        <w:t>DEFINITIONS</w:t>
      </w:r>
    </w:p>
    <w:p>
      <w:pPr>
        <w:pStyle w:val="ListParagraph"/>
        <w:numPr>
          <w:ilvl w:val="0"/>
          <w:numId w:val="1"/>
        </w:numPr>
        <w:spacing w:before="30" w:after="30"/>
        <w:rPr/>
      </w:pPr>
      <w:r>
        <w:rPr>
          <w:rFonts w:eastAsia="Arial" w:cs="Arial"/>
          <w:sz w:val="22"/>
          <w:szCs w:val="22"/>
        </w:rPr>
        <w:t>Incident: Any unplanned event involving an individual that results in or has the potential for physical or emotional harm, including falls, injuries, behavioral events, property damage, medication errors, or near-misses.</w:t>
      </w:r>
    </w:p>
    <w:p>
      <w:pPr>
        <w:pStyle w:val="ListParagraph"/>
        <w:numPr>
          <w:ilvl w:val="0"/>
          <w:numId w:val="1"/>
        </w:numPr>
        <w:spacing w:before="30" w:after="30"/>
        <w:rPr/>
      </w:pPr>
      <w:r>
        <w:rPr>
          <w:rFonts w:eastAsia="Arial" w:cs="Arial"/>
          <w:sz w:val="22"/>
          <w:szCs w:val="22"/>
        </w:rPr>
        <w:t>Critical Incident: A serious incident meeting state-specific criteria for mandatory reporting to the state waiver or licensing agency. Generally includes: death, serious injury, abuse/neglect/exploitation, elopement, hospitalization, law enforcement contact, suicide attempt, or significant behavioral event.</w:t>
      </w:r>
    </w:p>
    <w:p>
      <w:pPr>
        <w:pStyle w:val="ListParagraph"/>
        <w:numPr>
          <w:ilvl w:val="0"/>
          <w:numId w:val="1"/>
        </w:numPr>
        <w:spacing w:before="30" w:after="30"/>
        <w:rPr/>
      </w:pPr>
      <w:r>
        <w:rPr>
          <w:rFonts w:eastAsia="Arial" w:cs="Arial"/>
          <w:sz w:val="22"/>
          <w:szCs w:val="22"/>
        </w:rPr>
        <w:t>Sentinel Event: A patient safety event that results in death, serious physical injury, or serious psychological injury, or that is of sufficient concern to warrant immediate investigation. Sentinel events include: unexpected death, self-harm resulting in serious injury, assault resulting in injury, medication error resulting in serious harm, and elopement resulting in injury. Sentinel events require a root cause analysis regardless of whether state reporting is also required.</w:t>
      </w:r>
    </w:p>
    <w:p>
      <w:pPr>
        <w:pStyle w:val="ListParagraph"/>
        <w:numPr>
          <w:ilvl w:val="0"/>
          <w:numId w:val="1"/>
        </w:numPr>
        <w:spacing w:before="30" w:after="30"/>
        <w:rPr/>
      </w:pPr>
      <w:r>
        <w:rPr>
          <w:rFonts w:eastAsia="Arial" w:cs="Arial"/>
          <w:sz w:val="22"/>
          <w:szCs w:val="22"/>
        </w:rPr>
        <w:t>Mandatory Reporter: Any person required by law to report known or suspected abuse, neglect, or exploitation of at-risk adults or children. All employees and contracted personnel of this Provider are mandatory reporters.</w:t>
      </w:r>
    </w:p>
    <w:p>
      <w:pPr>
        <w:pStyle w:val="ListParagraph"/>
        <w:numPr>
          <w:ilvl w:val="0"/>
          <w:numId w:val="1"/>
        </w:numPr>
        <w:spacing w:before="30" w:after="30"/>
        <w:rPr/>
      </w:pPr>
      <w:r>
        <w:rPr>
          <w:rFonts w:eastAsia="Arial" w:cs="Arial"/>
          <w:sz w:val="22"/>
          <w:szCs w:val="22"/>
        </w:rPr>
        <w:t>Root Cause Analysis (RCA): A structured, systematic investigation of the fundamental causes of a sentinel event or serious incident, with the goal of identifying system-level improvements to prevent recurrence.</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Immediate Response — All Incidents</w:t>
      </w:r>
    </w:p>
    <w:p>
      <w:pPr>
        <w:pStyle w:val="Normal"/>
        <w:spacing w:before="30" w:after="30"/>
        <w:ind w:hanging="360" w:start="720"/>
        <w:rPr/>
      </w:pPr>
      <w:r>
        <w:rPr>
          <w:rFonts w:eastAsia="Arial" w:cs="Arial"/>
          <w:b/>
          <w:bCs/>
          <w:sz w:val="22"/>
          <w:szCs w:val="22"/>
        </w:rPr>
        <w:t xml:space="preserve">a.  </w:t>
      </w:r>
      <w:r>
        <w:rPr>
          <w:rFonts w:eastAsia="Arial" w:cs="Arial"/>
          <w:sz w:val="22"/>
          <w:szCs w:val="22"/>
        </w:rPr>
        <w:t>Ensure the safety and health of the individual first. Call 911 immediately for any life-threatening emergency.</w:t>
      </w:r>
    </w:p>
    <w:p>
      <w:pPr>
        <w:pStyle w:val="Normal"/>
        <w:spacing w:before="30" w:after="30"/>
        <w:ind w:hanging="360" w:start="720"/>
        <w:rPr/>
      </w:pPr>
      <w:r>
        <w:rPr>
          <w:rFonts w:eastAsia="Arial" w:cs="Arial"/>
          <w:b/>
          <w:bCs/>
          <w:sz w:val="22"/>
          <w:szCs w:val="22"/>
        </w:rPr>
        <w:t xml:space="preserve">b.  </w:t>
      </w:r>
      <w:r>
        <w:rPr>
          <w:rFonts w:eastAsia="Arial" w:cs="Arial"/>
          <w:sz w:val="22"/>
          <w:szCs w:val="22"/>
        </w:rPr>
        <w:t>Notify the Administrator or on-call supervisor by phone during the shift the incident occurs, without exception.</w:t>
      </w:r>
    </w:p>
    <w:p>
      <w:pPr>
        <w:pStyle w:val="Normal"/>
        <w:spacing w:before="30" w:after="30"/>
        <w:ind w:hanging="360" w:start="720"/>
        <w:rPr/>
      </w:pPr>
      <w:r>
        <w:rPr>
          <w:rFonts w:eastAsia="Arial" w:cs="Arial"/>
          <w:b/>
          <w:bCs/>
          <w:sz w:val="22"/>
          <w:szCs w:val="22"/>
        </w:rPr>
        <w:t xml:space="preserve">c.  </w:t>
      </w:r>
      <w:r>
        <w:rPr>
          <w:rFonts w:eastAsia="Arial" w:cs="Arial"/>
          <w:sz w:val="22"/>
          <w:szCs w:val="22"/>
        </w:rPr>
        <w:t>For suspected abuse, neglect, or exploitation: call the state APS hotline immediately (see Appendix B for state-specific number), then notify the Administrator. The APS report is an independent legal obligation and shall not be delayed.</w:t>
      </w:r>
    </w:p>
    <w:p>
      <w:pPr>
        <w:pStyle w:val="Normal"/>
        <w:spacing w:before="30" w:after="30"/>
        <w:ind w:hanging="360" w:start="720"/>
        <w:rPr/>
      </w:pPr>
      <w:r>
        <w:rPr>
          <w:rFonts w:eastAsia="Arial" w:cs="Arial"/>
          <w:b/>
          <w:bCs/>
          <w:sz w:val="22"/>
          <w:szCs w:val="22"/>
        </w:rPr>
        <w:t xml:space="preserve">d.  </w:t>
      </w:r>
      <w:r>
        <w:rPr>
          <w:rFonts w:eastAsia="Arial" w:cs="Arial"/>
          <w:sz w:val="22"/>
          <w:szCs w:val="22"/>
        </w:rPr>
        <w:t>Contact law enforcement if a crime is suspected or if instructed by APS.</w:t>
      </w:r>
    </w:p>
    <w:p>
      <w:pPr>
        <w:pStyle w:val="Normal"/>
        <w:spacing w:before="30" w:after="30"/>
        <w:ind w:hanging="360" w:start="720"/>
        <w:rPr/>
      </w:pPr>
      <w:r>
        <w:rPr>
          <w:rFonts w:eastAsia="Arial" w:cs="Arial"/>
          <w:b/>
          <w:bCs/>
          <w:sz w:val="22"/>
          <w:szCs w:val="22"/>
        </w:rPr>
        <w:t xml:space="preserve">e.  </w:t>
      </w:r>
      <w:r>
        <w:rPr>
          <w:rFonts w:eastAsia="Arial" w:cs="Arial"/>
          <w:sz w:val="22"/>
          <w:szCs w:val="22"/>
        </w:rPr>
        <w:t>Preserve the scene in the case of suspected abuse, crime, or unexplained injury. Do not clean up, move items, or alter the environment until law enforcement or APS has assessed the scene, unless necessary for the individual's immediate safety.</w:t>
      </w:r>
    </w:p>
    <w:p>
      <w:pPr>
        <w:pStyle w:val="Normal"/>
        <w:spacing w:before="140" w:after="60"/>
        <w:rPr/>
      </w:pPr>
      <w:r>
        <w:rPr>
          <w:rFonts w:eastAsia="Arial" w:cs="Arial"/>
          <w:b/>
          <w:bCs/>
          <w:sz w:val="22"/>
          <w:szCs w:val="22"/>
          <w:u w:val="single"/>
        </w:rPr>
        <w:t>B. Mandatory Reporting — Abuse, Neglect, Exploitation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All staff are mandatory reporters. Any staff member who witnesses, suspects, or receives a report of abuse, neglect, or exploitation shall call the state APS hotline immediately — even before notifying the Administrator.</w:t>
      </w:r>
    </w:p>
    <w:p>
      <w:pPr>
        <w:pStyle w:val="Normal"/>
        <w:spacing w:before="30" w:after="30"/>
        <w:ind w:hanging="360" w:start="720"/>
        <w:rPr/>
      </w:pPr>
      <w:r>
        <w:rPr>
          <w:rFonts w:eastAsia="Arial" w:cs="Arial"/>
          <w:b/>
          <w:bCs/>
          <w:sz w:val="22"/>
          <w:szCs w:val="22"/>
        </w:rPr>
        <w:t xml:space="preserve">b.  </w:t>
      </w:r>
      <w:r>
        <w:rPr>
          <w:rFonts w:eastAsia="Arial" w:cs="Arial"/>
          <w:sz w:val="22"/>
          <w:szCs w:val="22"/>
        </w:rPr>
        <w:t>No supervisor, administrator, or other staff member may instruct a mandatory reporter not to make a required APS report. Interference with mandatory reporting is itself a reportable violation and a terminable offense.</w:t>
      </w:r>
    </w:p>
    <w:p>
      <w:pPr>
        <w:pStyle w:val="Normal"/>
        <w:spacing w:before="30" w:after="30"/>
        <w:ind w:hanging="360" w:start="720"/>
        <w:rPr/>
      </w:pPr>
      <w:r>
        <w:rPr>
          <w:rFonts w:eastAsia="Arial" w:cs="Arial"/>
          <w:b/>
          <w:bCs/>
          <w:sz w:val="22"/>
          <w:szCs w:val="22"/>
        </w:rPr>
        <w:t xml:space="preserve">c.  </w:t>
      </w:r>
      <w:r>
        <w:rPr>
          <w:rFonts w:eastAsia="Arial" w:cs="Arial"/>
          <w:sz w:val="22"/>
          <w:szCs w:val="22"/>
        </w:rPr>
        <w:t>The staff making the APS report shall document: the time of the call, the APS representative's name, the case or report number assigned, and the instructions received.</w:t>
      </w:r>
    </w:p>
    <w:p>
      <w:pPr>
        <w:pStyle w:val="Normal"/>
        <w:spacing w:before="140" w:after="60"/>
        <w:rPr/>
      </w:pPr>
      <w:r>
        <w:rPr>
          <w:rFonts w:eastAsia="Arial" w:cs="Arial"/>
          <w:b/>
          <w:bCs/>
          <w:sz w:val="22"/>
          <w:szCs w:val="22"/>
          <w:u w:val="single"/>
        </w:rPr>
        <w:t>C. Incident Documentation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An Incident Report shall be completed before the end of the shift in which the incident occurred, or as soon as safely possible if shift demands prevent same-shift completion.</w:t>
      </w:r>
    </w:p>
    <w:p>
      <w:pPr>
        <w:pStyle w:val="Normal"/>
        <w:spacing w:before="30" w:after="30"/>
        <w:ind w:hanging="360" w:start="720"/>
        <w:rPr/>
      </w:pPr>
      <w:r>
        <w:rPr>
          <w:rFonts w:eastAsia="Arial" w:cs="Arial"/>
          <w:b/>
          <w:bCs/>
          <w:sz w:val="22"/>
          <w:szCs w:val="22"/>
        </w:rPr>
        <w:t xml:space="preserve">b.  </w:t>
      </w:r>
      <w:r>
        <w:rPr>
          <w:rFonts w:eastAsia="Arial" w:cs="Arial"/>
          <w:sz w:val="22"/>
          <w:szCs w:val="22"/>
        </w:rPr>
        <w:t>Incident Reports shall include: date, time, location; individual(s) involved; staff present; factual description of what occurred; immediate actions taken; individual's condition; witnesses; APS/law enforcement contacts made; and Administrator notification time.</w:t>
      </w:r>
    </w:p>
    <w:p>
      <w:pPr>
        <w:pStyle w:val="Normal"/>
        <w:spacing w:before="30" w:after="30"/>
        <w:ind w:hanging="360" w:start="720"/>
        <w:rPr/>
      </w:pPr>
      <w:r>
        <w:rPr>
          <w:rFonts w:eastAsia="Arial" w:cs="Arial"/>
          <w:b/>
          <w:bCs/>
          <w:sz w:val="22"/>
          <w:szCs w:val="22"/>
        </w:rPr>
        <w:t xml:space="preserve">c.  </w:t>
      </w:r>
      <w:r>
        <w:rPr>
          <w:rFonts w:eastAsia="Arial" w:cs="Arial"/>
          <w:sz w:val="22"/>
          <w:szCs w:val="22"/>
        </w:rPr>
        <w:t>The Administrator shall review and countersign all incident reports within twenty-four (24) hours.</w:t>
      </w:r>
    </w:p>
    <w:p>
      <w:pPr>
        <w:pStyle w:val="Normal"/>
        <w:spacing w:before="140" w:after="60"/>
        <w:rPr/>
      </w:pPr>
      <w:r>
        <w:rPr>
          <w:rFonts w:eastAsia="Arial" w:cs="Arial"/>
          <w:b/>
          <w:bCs/>
          <w:sz w:val="22"/>
          <w:szCs w:val="22"/>
          <w:u w:val="single"/>
        </w:rPr>
        <w:t>D. State Critical Incident Reporting</w:t>
      </w:r>
    </w:p>
    <w:p>
      <w:pPr>
        <w:pStyle w:val="Normal"/>
        <w:spacing w:before="30" w:after="30"/>
        <w:ind w:hanging="360" w:start="720"/>
        <w:rPr/>
      </w:pPr>
      <w:r>
        <w:rPr>
          <w:rFonts w:eastAsia="Arial" w:cs="Arial"/>
          <w:b/>
          <w:bCs/>
          <w:sz w:val="22"/>
          <w:szCs w:val="22"/>
        </w:rPr>
        <w:t xml:space="preserve">a.  </w:t>
      </w:r>
      <w:r>
        <w:rPr>
          <w:rFonts w:eastAsia="Arial" w:cs="Arial"/>
          <w:sz w:val="22"/>
          <w:szCs w:val="22"/>
        </w:rPr>
        <w:t>The Administrator shall submit required critical incident reports to the appropriate state agency within the mandated timeframe (see Policy 6.02 for state-specific requirements).</w:t>
      </w:r>
    </w:p>
    <w:p>
      <w:pPr>
        <w:pStyle w:val="Normal"/>
        <w:spacing w:before="30" w:after="30"/>
        <w:ind w:hanging="360" w:start="720"/>
        <w:rPr/>
      </w:pPr>
      <w:r>
        <w:rPr>
          <w:rFonts w:eastAsia="Arial" w:cs="Arial"/>
          <w:b/>
          <w:bCs/>
          <w:sz w:val="22"/>
          <w:szCs w:val="22"/>
        </w:rPr>
        <w:t xml:space="preserve">b.  </w:t>
      </w:r>
      <w:r>
        <w:rPr>
          <w:rFonts w:eastAsia="Arial" w:cs="Arial"/>
          <w:sz w:val="22"/>
          <w:szCs w:val="22"/>
        </w:rPr>
        <w:t>A follow-up written report shall be submitted with complete investigation findings and corrective actions within the timeframe required by the state.</w:t>
      </w:r>
    </w:p>
    <w:p>
      <w:pPr>
        <w:pStyle w:val="Normal"/>
        <w:spacing w:before="140" w:after="60"/>
        <w:rPr/>
      </w:pPr>
      <w:r>
        <w:rPr>
          <w:rFonts w:eastAsia="Arial" w:cs="Arial"/>
          <w:b/>
          <w:bCs/>
          <w:sz w:val="22"/>
          <w:szCs w:val="22"/>
          <w:u w:val="single"/>
        </w:rPr>
        <w:t>E. Sentinel Event Response</w:t>
      </w:r>
    </w:p>
    <w:p>
      <w:pPr>
        <w:pStyle w:val="Normal"/>
        <w:spacing w:before="30" w:after="30"/>
        <w:ind w:hanging="360" w:start="720"/>
        <w:rPr/>
      </w:pPr>
      <w:r>
        <w:rPr>
          <w:rFonts w:eastAsia="Arial" w:cs="Arial"/>
          <w:b/>
          <w:bCs/>
          <w:sz w:val="22"/>
          <w:szCs w:val="22"/>
        </w:rPr>
        <w:t xml:space="preserve">a.  </w:t>
      </w:r>
      <w:r>
        <w:rPr>
          <w:rFonts w:eastAsia="Arial" w:cs="Arial"/>
          <w:sz w:val="22"/>
          <w:szCs w:val="22"/>
        </w:rPr>
        <w:t>Upon identification of a sentinel event, the Administrator shall notify the appropriate supervisory agency immediately and initiate a formal root cause analysis (RCA) within seventy-two (72) hours.</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RCA shall be conducted by a team that includes the Administrator, involved staff, and the individual's Support Coordinator/Case Manager. The RCA shall examine contributing factors across people, processes, environment, equipment, and communication.</w:t>
      </w:r>
    </w:p>
    <w:p>
      <w:pPr>
        <w:pStyle w:val="Normal"/>
        <w:spacing w:before="30" w:after="30"/>
        <w:ind w:hanging="360" w:start="720"/>
        <w:rPr/>
      </w:pPr>
      <w:r>
        <w:rPr>
          <w:rFonts w:eastAsia="Arial" w:cs="Arial"/>
          <w:b/>
          <w:bCs/>
          <w:sz w:val="22"/>
          <w:szCs w:val="22"/>
        </w:rPr>
        <w:t xml:space="preserve">c.  </w:t>
      </w:r>
      <w:r>
        <w:rPr>
          <w:rFonts w:eastAsia="Arial" w:cs="Arial"/>
          <w:sz w:val="22"/>
          <w:szCs w:val="22"/>
        </w:rPr>
        <w:t>The RCA shall produce a written corrective action plan with specific, measurable actions, assigned responsibility, and implementation timeline. The plan shall be implemented within thirty (30) days.</w:t>
      </w:r>
    </w:p>
    <w:p>
      <w:pPr>
        <w:pStyle w:val="Normal"/>
        <w:spacing w:before="30" w:after="30"/>
        <w:ind w:hanging="360" w:start="720"/>
        <w:rPr/>
      </w:pPr>
      <w:r>
        <w:rPr>
          <w:rFonts w:eastAsia="Arial" w:cs="Arial"/>
          <w:b/>
          <w:bCs/>
          <w:sz w:val="22"/>
          <w:szCs w:val="22"/>
        </w:rPr>
        <w:t xml:space="preserve">d.  </w:t>
      </w:r>
      <w:r>
        <w:rPr>
          <w:rFonts w:eastAsia="Arial" w:cs="Arial"/>
          <w:sz w:val="22"/>
          <w:szCs w:val="22"/>
        </w:rPr>
        <w:t>The effectiveness of sentinel event corrective actions shall be measured and reported at the next quarterly QM meeting.</w:t>
      </w:r>
    </w:p>
    <w:p>
      <w:pPr>
        <w:pStyle w:val="Normal"/>
        <w:spacing w:before="140" w:after="60"/>
        <w:rPr/>
      </w:pPr>
      <w:r>
        <w:rPr>
          <w:rFonts w:eastAsia="Arial" w:cs="Arial"/>
          <w:b/>
          <w:bCs/>
          <w:sz w:val="22"/>
          <w:szCs w:val="22"/>
          <w:u w:val="single"/>
        </w:rPr>
        <w:t>F. Non-Punitive Reporting Culture</w:t>
      </w:r>
    </w:p>
    <w:p>
      <w:pPr>
        <w:pStyle w:val="Normal"/>
        <w:spacing w:before="30" w:after="30"/>
        <w:ind w:hanging="360" w:start="720"/>
        <w:rPr/>
      </w:pPr>
      <w:r>
        <w:rPr>
          <w:rFonts w:eastAsia="Arial" w:cs="Arial"/>
          <w:b/>
          <w:bCs/>
          <w:sz w:val="22"/>
          <w:szCs w:val="22"/>
        </w:rPr>
        <w:t xml:space="preserve">a.  </w:t>
      </w:r>
      <w:r>
        <w:rPr>
          <w:rFonts w:eastAsia="Arial" w:cs="Arial"/>
          <w:sz w:val="22"/>
          <w:szCs w:val="22"/>
        </w:rPr>
        <w:t>Staff shall never face disciplinary action for good-faith reporting of incidents, near-misses, or safety concerns. The Provider/Administrator shall actively encourage reporting as a mechanism of safety, not a source of punishment.</w:t>
      </w:r>
    </w:p>
    <w:p>
      <w:pPr>
        <w:pStyle w:val="Normal"/>
        <w:spacing w:before="30" w:after="30"/>
        <w:ind w:hanging="360" w:start="720"/>
        <w:rPr/>
      </w:pPr>
      <w:r>
        <w:rPr>
          <w:rFonts w:eastAsia="Arial" w:cs="Arial"/>
          <w:b/>
          <w:bCs/>
          <w:sz w:val="22"/>
          <w:szCs w:val="22"/>
        </w:rPr>
        <w:t xml:space="preserve">b.  </w:t>
      </w:r>
      <w:r>
        <w:rPr>
          <w:rFonts w:eastAsia="Arial" w:cs="Arial"/>
          <w:sz w:val="22"/>
          <w:szCs w:val="22"/>
        </w:rPr>
        <w:t>When staff self-report their own errors, the response shall be supportive and investigative — focused on system improvement — rather than punitive, unless the error involved deliberate falsification, criminal conduct, or gross negligence.</w:t>
      </w:r>
    </w:p>
    <w:p>
      <w:pPr>
        <w:pStyle w:val="Normal"/>
        <w:spacing w:before="30" w:after="30"/>
        <w:ind w:hanging="360" w:start="720"/>
        <w:rPr/>
      </w:pPr>
      <w:r>
        <w:rPr>
          <w:rFonts w:eastAsia="Arial" w:cs="Arial"/>
          <w:b/>
          <w:bCs/>
          <w:sz w:val="22"/>
          <w:szCs w:val="22"/>
        </w:rPr>
        <w:t xml:space="preserve">c.  </w:t>
      </w:r>
      <w:r>
        <w:rPr>
          <w:rFonts w:eastAsia="Arial" w:cs="Arial"/>
          <w:sz w:val="22"/>
          <w:szCs w:val="22"/>
        </w:rPr>
        <w:t>Staff who experience or witness retaliation for good-faith reporting shall report the retaliation to the supervising agency or state licensing authority.</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Incident Report Form</w:t>
      </w:r>
    </w:p>
    <w:p>
      <w:pPr>
        <w:pStyle w:val="ListParagraph"/>
        <w:numPr>
          <w:ilvl w:val="0"/>
          <w:numId w:val="1"/>
        </w:numPr>
        <w:spacing w:before="30" w:after="30"/>
        <w:rPr/>
      </w:pPr>
      <w:r>
        <w:rPr>
          <w:rFonts w:eastAsia="Arial" w:cs="Arial"/>
          <w:sz w:val="22"/>
          <w:szCs w:val="22"/>
        </w:rPr>
        <w:t>State Critical Incident Report (state-specific portal or form)</w:t>
      </w:r>
    </w:p>
    <w:p>
      <w:pPr>
        <w:pStyle w:val="ListParagraph"/>
        <w:numPr>
          <w:ilvl w:val="0"/>
          <w:numId w:val="1"/>
        </w:numPr>
        <w:spacing w:before="30" w:after="30"/>
        <w:rPr/>
      </w:pPr>
      <w:r>
        <w:rPr>
          <w:rFonts w:eastAsia="Arial" w:cs="Arial"/>
          <w:sz w:val="22"/>
          <w:szCs w:val="22"/>
        </w:rPr>
        <w:t>Sentinel Event RCA Template</w:t>
      </w:r>
    </w:p>
    <w:p>
      <w:pPr>
        <w:pStyle w:val="ListParagraph"/>
        <w:numPr>
          <w:ilvl w:val="0"/>
          <w:numId w:val="1"/>
        </w:numPr>
        <w:spacing w:before="30" w:after="30"/>
        <w:rPr/>
      </w:pPr>
      <w:r>
        <w:rPr>
          <w:rFonts w:eastAsia="Arial" w:cs="Arial"/>
          <w:sz w:val="22"/>
          <w:szCs w:val="22"/>
        </w:rPr>
        <w:t>APS Hotline Numbers — Appendix B</w:t>
      </w:r>
    </w:p>
    <w:p>
      <w:pPr>
        <w:pStyle w:val="ListParagraph"/>
        <w:numPr>
          <w:ilvl w:val="0"/>
          <w:numId w:val="1"/>
        </w:numPr>
        <w:spacing w:before="30" w:after="30"/>
        <w:rPr/>
      </w:pPr>
      <w:r>
        <w:rPr>
          <w:rFonts w:eastAsia="Arial" w:cs="Arial"/>
          <w:sz w:val="22"/>
          <w:szCs w:val="22"/>
        </w:rPr>
        <w:t>Quality Management Log (Policy 6.00)</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#5.01: Emergency Preparedness, Hazard Vulnerability Analysis &amp; Continuity of Care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Safety / Administration</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5.01</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EM.01–EM.03 (JC Emergency Management — Revised July 2025); State Emergency Management Requirements; FEMA Preparedness Standards; 42 CFR 441.301</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[Provider Name /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ensure that this Provider maintains a comprehensive, proactive emergency preparedness program aligned with the July 2025 revised Joint Commission Emergency Management standards, which shift the focus from checklist compliance to genuine readiness, resilience, and continuity of care. This policy requires annual hazard vulnerability analysis, realistic training exercises, structured after-action review, expanded coordination with community emergency partners, and continuity planning that ensures services to individuals are maintained or rapidly restored following any emergency.</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Emergency preparedness is a shared organizational responsibility — not a periodic compliance task. This Provider shall maintain a living Emergency Preparedness and Response Plan that is regularly tested, reviewed, and updated based on exercise findings, incident experience, and changes in the environment. The health, safety, and continuity of care for individuals served is the paramount priority in all emergency planning activities.</w:t>
      </w:r>
    </w:p>
    <w:p>
      <w:pPr>
        <w:pStyle w:val="Normal"/>
        <w:spacing w:before="120" w:after="40"/>
        <w:rPr/>
      </w:pPr>
      <w:r>
        <w:rPr>
          <w:rFonts w:eastAsia="Arial" w:cs="Arial"/>
          <w:b/>
          <w:bCs/>
          <w:color w:val="2E5DA8"/>
          <w:sz w:val="22"/>
          <w:szCs w:val="22"/>
        </w:rPr>
        <w:t>DEFINITIONS</w:t>
      </w:r>
    </w:p>
    <w:p>
      <w:pPr>
        <w:pStyle w:val="ListParagraph"/>
        <w:numPr>
          <w:ilvl w:val="0"/>
          <w:numId w:val="1"/>
        </w:numPr>
        <w:spacing w:before="30" w:after="30"/>
        <w:rPr/>
      </w:pPr>
      <w:r>
        <w:rPr>
          <w:rFonts w:eastAsia="Arial" w:cs="Arial"/>
          <w:sz w:val="22"/>
          <w:szCs w:val="22"/>
        </w:rPr>
        <w:t>Hazard Vulnerability Analysis (HVA): An annual structured process that identifies and prioritizes potential hazards that could affect this setting, the likelihood of occurrence, and the potential severity of impact on individuals, staff, and operations.</w:t>
      </w:r>
    </w:p>
    <w:p>
      <w:pPr>
        <w:pStyle w:val="ListParagraph"/>
        <w:numPr>
          <w:ilvl w:val="0"/>
          <w:numId w:val="1"/>
        </w:numPr>
        <w:spacing w:before="30" w:after="30"/>
        <w:rPr/>
      </w:pPr>
      <w:r>
        <w:rPr>
          <w:rFonts w:eastAsia="Arial" w:cs="Arial"/>
          <w:sz w:val="22"/>
          <w:szCs w:val="22"/>
        </w:rPr>
        <w:t>Continuity of Care Plan: The documented strategy for maintaining or rapidly restoring essential services to individuals when normal operations are disrupted by an emergency.</w:t>
      </w:r>
    </w:p>
    <w:p>
      <w:pPr>
        <w:pStyle w:val="ListParagraph"/>
        <w:numPr>
          <w:ilvl w:val="0"/>
          <w:numId w:val="1"/>
        </w:numPr>
        <w:spacing w:before="30" w:after="30"/>
        <w:rPr/>
      </w:pPr>
      <w:r>
        <w:rPr>
          <w:rFonts w:eastAsia="Arial" w:cs="Arial"/>
          <w:sz w:val="22"/>
          <w:szCs w:val="22"/>
        </w:rPr>
        <w:t>Tabletop Exercise: A discussion-based exercise where staff walk through a simulated emergency scenario to identify gaps in plans, roles, and communications without physically executing the response.</w:t>
      </w:r>
    </w:p>
    <w:p>
      <w:pPr>
        <w:pStyle w:val="ListParagraph"/>
        <w:numPr>
          <w:ilvl w:val="0"/>
          <w:numId w:val="1"/>
        </w:numPr>
        <w:spacing w:before="30" w:after="30"/>
        <w:rPr/>
      </w:pPr>
      <w:r>
        <w:rPr>
          <w:rFonts w:eastAsia="Arial" w:cs="Arial"/>
          <w:sz w:val="22"/>
          <w:szCs w:val="22"/>
        </w:rPr>
        <w:t>After-Action Report (AAR): A structured review conducted after each drill, exercise, or actual emergency that documents what was tested, what worked well, what needs improvement, and specific corrective actions with assigned accountability.</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Annual Hazard Vulnerability Analysis (HVA)</w:t>
      </w:r>
    </w:p>
    <w:p>
      <w:pPr>
        <w:pStyle w:val="Normal"/>
        <w:spacing w:before="30" w:after="30"/>
        <w:ind w:hanging="360" w:start="720"/>
        <w:rPr/>
      </w:pPr>
      <w:r>
        <w:rPr>
          <w:rFonts w:eastAsia="Arial" w:cs="Arial"/>
          <w:b/>
          <w:bCs/>
          <w:sz w:val="22"/>
          <w:szCs w:val="22"/>
        </w:rPr>
        <w:t xml:space="preserve">a.  </w:t>
      </w:r>
      <w:r>
        <w:rPr>
          <w:rFonts w:eastAsia="Arial" w:cs="Arial"/>
          <w:sz w:val="22"/>
          <w:szCs w:val="22"/>
        </w:rPr>
        <w:t>This Provider shall conduct a formal Hazard Vulnerability Analysis at minimum annually, and update it whenever the environment, population served, or regional hazard profile changes significantly.</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HVA shall assess at minimum the following hazard categories as they apply to this specific setting and geographic location:</w:t>
      </w:r>
    </w:p>
    <w:p>
      <w:pPr>
        <w:pStyle w:val="ListParagraph"/>
        <w:numPr>
          <w:ilvl w:val="1"/>
          <w:numId w:val="1"/>
        </w:numPr>
        <w:spacing w:before="30" w:after="30"/>
        <w:rPr/>
      </w:pPr>
      <w:r>
        <w:rPr>
          <w:rFonts w:eastAsia="Arial" w:cs="Arial"/>
          <w:sz w:val="22"/>
          <w:szCs w:val="22"/>
        </w:rPr>
        <w:t>Natural hazards: weather events (tornado, flood, hurricane, wildfire, extreme heat/cold, earthquake), relevant to the state/region</w:t>
      </w:r>
    </w:p>
    <w:p>
      <w:pPr>
        <w:pStyle w:val="ListParagraph"/>
        <w:numPr>
          <w:ilvl w:val="1"/>
          <w:numId w:val="1"/>
        </w:numPr>
        <w:spacing w:before="30" w:after="30"/>
        <w:rPr/>
      </w:pPr>
      <w:r>
        <w:rPr>
          <w:rFonts w:eastAsia="Arial" w:cs="Arial"/>
          <w:sz w:val="22"/>
          <w:szCs w:val="22"/>
        </w:rPr>
        <w:t>Technological hazards: extended utility failures (power, water, heat/cooling), HVAC failure, fire, structural damage, vehicle accidents</w:t>
      </w:r>
    </w:p>
    <w:p>
      <w:pPr>
        <w:pStyle w:val="ListParagraph"/>
        <w:numPr>
          <w:ilvl w:val="1"/>
          <w:numId w:val="1"/>
        </w:numPr>
        <w:spacing w:before="30" w:after="30"/>
        <w:rPr/>
      </w:pPr>
      <w:r>
        <w:rPr>
          <w:rFonts w:eastAsia="Arial" w:cs="Arial"/>
          <w:sz w:val="22"/>
          <w:szCs w:val="22"/>
        </w:rPr>
        <w:t>Human-caused hazards: violence on premises, elopement resulting in danger, criminal activity, cybersecurity breach affecting records</w:t>
      </w:r>
    </w:p>
    <w:p>
      <w:pPr>
        <w:pStyle w:val="ListParagraph"/>
        <w:numPr>
          <w:ilvl w:val="1"/>
          <w:numId w:val="1"/>
        </w:numPr>
        <w:spacing w:before="30" w:after="30"/>
        <w:rPr/>
      </w:pPr>
      <w:r>
        <w:rPr>
          <w:rFonts w:eastAsia="Arial" w:cs="Arial"/>
          <w:sz w:val="22"/>
          <w:szCs w:val="22"/>
        </w:rPr>
        <w:t>Public health hazards: communicable disease outbreak, pandemic, bioterrorism event</w:t>
      </w:r>
    </w:p>
    <w:p>
      <w:pPr>
        <w:pStyle w:val="Normal"/>
        <w:spacing w:before="30" w:after="30"/>
        <w:ind w:hanging="360" w:start="720"/>
        <w:rPr/>
      </w:pPr>
      <w:r>
        <w:rPr>
          <w:rFonts w:eastAsia="Arial" w:cs="Arial"/>
          <w:b/>
          <w:bCs/>
          <w:sz w:val="22"/>
          <w:szCs w:val="22"/>
        </w:rPr>
        <w:t xml:space="preserve">c.  </w:t>
      </w:r>
      <w:r>
        <w:rPr>
          <w:rFonts w:eastAsia="Arial" w:cs="Arial"/>
          <w:sz w:val="22"/>
          <w:szCs w:val="22"/>
        </w:rPr>
        <w:t>For each identified hazard, the HVA shall assess: likelihood of occurrence (rare/possible/likely/highly likely), severity of potential impact on individuals and operations (low/moderate/high/critical), and current level of preparedness.</w:t>
      </w:r>
    </w:p>
    <w:p>
      <w:pPr>
        <w:pStyle w:val="Normal"/>
        <w:spacing w:before="30" w:after="30"/>
        <w:ind w:hanging="360" w:start="720"/>
        <w:rPr/>
      </w:pPr>
      <w:r>
        <w:rPr>
          <w:rFonts w:eastAsia="Arial" w:cs="Arial"/>
          <w:b/>
          <w:bCs/>
          <w:sz w:val="22"/>
          <w:szCs w:val="22"/>
        </w:rPr>
        <w:t xml:space="preserve">d.  </w:t>
      </w:r>
      <w:r>
        <w:rPr>
          <w:rFonts w:eastAsia="Arial" w:cs="Arial"/>
          <w:sz w:val="22"/>
          <w:szCs w:val="22"/>
        </w:rPr>
        <w:t>The HVA output shall be a prioritized list of hazards requiring specific preparedness actions, with the highest-priority hazards driving the greatest emergency planning investment.</w:t>
      </w:r>
    </w:p>
    <w:p>
      <w:pPr>
        <w:pStyle w:val="Normal"/>
        <w:spacing w:before="30" w:after="30"/>
        <w:ind w:hanging="360" w:start="720"/>
        <w:rPr/>
      </w:pPr>
      <w:r>
        <w:rPr>
          <w:rFonts w:eastAsia="Arial" w:cs="Arial"/>
          <w:b/>
          <w:bCs/>
          <w:sz w:val="22"/>
          <w:szCs w:val="22"/>
        </w:rPr>
        <w:t xml:space="preserve">e.  </w:t>
      </w:r>
      <w:r>
        <w:rPr>
          <w:rFonts w:eastAsia="Arial" w:cs="Arial"/>
          <w:sz w:val="22"/>
          <w:szCs w:val="22"/>
        </w:rPr>
        <w:t>The completed HVA shall be documented, signed by the Administrator, and filed. The HVA shall be reviewed at the annual emergency planning update meeting.</w:t>
      </w:r>
    </w:p>
    <w:p>
      <w:pPr>
        <w:pStyle w:val="Normal"/>
        <w:spacing w:before="140" w:after="60"/>
        <w:rPr/>
      </w:pPr>
      <w:r>
        <w:rPr>
          <w:rFonts w:eastAsia="Arial" w:cs="Arial"/>
          <w:b/>
          <w:bCs/>
          <w:sz w:val="22"/>
          <w:szCs w:val="22"/>
          <w:u w:val="single"/>
        </w:rPr>
        <w:t>B. Emergency Preparedness and Response Plan</w:t>
      </w:r>
    </w:p>
    <w:p>
      <w:pPr>
        <w:pStyle w:val="Normal"/>
        <w:spacing w:before="30" w:after="30"/>
        <w:ind w:hanging="360" w:start="720"/>
        <w:rPr/>
      </w:pPr>
      <w:r>
        <w:rPr>
          <w:rFonts w:eastAsia="Arial" w:cs="Arial"/>
          <w:b/>
          <w:bCs/>
          <w:sz w:val="22"/>
          <w:szCs w:val="22"/>
        </w:rPr>
        <w:t xml:space="preserve">a.  </w:t>
      </w:r>
      <w:r>
        <w:rPr>
          <w:rFonts w:eastAsia="Arial" w:cs="Arial"/>
          <w:sz w:val="22"/>
          <w:szCs w:val="22"/>
        </w:rPr>
        <w:t>Based on the HVA, this Provider shall maintain a written Emergency Preparedness and Response Plan addressing at minimum: fire, natural disaster (prioritized by HVA), extended utility failure, medical emergency, missing individual, communicable disease outbreak, and violence on premises.</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Plan shall include for each hazard type: specific step-by-step response procedures; defined roles and responsibilities for each person in the household; communication protocols (who to call, in what order, with what information); evacuation and shelter-in-place procedures as applicable; and resource requirements (supplies, equipment, alternative locations).</w:t>
      </w:r>
    </w:p>
    <w:p>
      <w:pPr>
        <w:pStyle w:val="Normal"/>
        <w:spacing w:before="30" w:after="30"/>
        <w:ind w:hanging="360" w:start="720"/>
        <w:rPr/>
      </w:pPr>
      <w:r>
        <w:rPr>
          <w:rFonts w:eastAsia="Arial" w:cs="Arial"/>
          <w:b/>
          <w:bCs/>
          <w:sz w:val="22"/>
          <w:szCs w:val="22"/>
        </w:rPr>
        <w:t xml:space="preserve">c.  </w:t>
      </w:r>
      <w:r>
        <w:rPr>
          <w:rFonts w:eastAsia="Arial" w:cs="Arial"/>
          <w:sz w:val="22"/>
          <w:szCs w:val="22"/>
        </w:rPr>
        <w:t>The Plan shall identify at minimum two alternative settings or locations where individuals could be temporarily housed if the primary setting becomes uninhabitable.</w:t>
      </w:r>
    </w:p>
    <w:p>
      <w:pPr>
        <w:pStyle w:val="Normal"/>
        <w:spacing w:before="30" w:after="30"/>
        <w:ind w:hanging="360" w:start="720"/>
        <w:rPr/>
      </w:pPr>
      <w:r>
        <w:rPr>
          <w:rFonts w:eastAsia="Arial" w:cs="Arial"/>
          <w:b/>
          <w:bCs/>
          <w:sz w:val="22"/>
          <w:szCs w:val="22"/>
        </w:rPr>
        <w:t xml:space="preserve">d.  </w:t>
      </w:r>
      <w:r>
        <w:rPr>
          <w:rFonts w:eastAsia="Arial" w:cs="Arial"/>
          <w:sz w:val="22"/>
          <w:szCs w:val="22"/>
        </w:rPr>
        <w:t>The Plan shall be reviewed and updated annually at minimum, and after any actual emergency or drill that reveals gaps.</w:t>
      </w:r>
    </w:p>
    <w:p>
      <w:pPr>
        <w:pStyle w:val="Normal"/>
        <w:spacing w:before="140" w:after="60"/>
        <w:rPr/>
      </w:pPr>
      <w:r>
        <w:rPr>
          <w:rFonts w:eastAsia="Arial" w:cs="Arial"/>
          <w:b/>
          <w:bCs/>
          <w:sz w:val="22"/>
          <w:szCs w:val="22"/>
          <w:u w:val="single"/>
        </w:rPr>
        <w:t>C. Emergency Drills — Physical and Tabletop</w:t>
      </w:r>
    </w:p>
    <w:p>
      <w:pPr>
        <w:pStyle w:val="Normal"/>
        <w:spacing w:before="40" w:after="60"/>
        <w:rPr/>
      </w:pPr>
      <w:r>
        <w:rPr>
          <w:rFonts w:eastAsia="Arial" w:cs="Arial"/>
          <w:sz w:val="22"/>
          <w:szCs w:val="22"/>
        </w:rPr>
        <w:t>Two types of exercises are required:</w:t>
      </w:r>
    </w:p>
    <w:p>
      <w:pPr>
        <w:pStyle w:val="Normal"/>
        <w:spacing w:before="30" w:after="30"/>
        <w:ind w:hanging="360" w:start="720"/>
        <w:rPr/>
      </w:pPr>
      <w:r>
        <w:rPr>
          <w:rFonts w:eastAsia="Arial" w:cs="Arial"/>
          <w:b/>
          <w:bCs/>
          <w:sz w:val="22"/>
          <w:szCs w:val="22"/>
        </w:rPr>
        <w:t xml:space="preserve">a.  </w:t>
      </w:r>
      <w:r>
        <w:rPr>
          <w:rFonts w:eastAsia="Arial" w:cs="Arial"/>
          <w:sz w:val="22"/>
          <w:szCs w:val="22"/>
        </w:rPr>
        <w:t>Physical drills (e.g., fire/evacuation drills) shall be conducted at minimum quarterly. At least one (1) drill per year shall be conducted at night or during an atypical time to test response under non-ideal conditions. All household members, including all staff on duty and, as appropriate, individuals served, shall participate.</w:t>
      </w:r>
    </w:p>
    <w:p>
      <w:pPr>
        <w:pStyle w:val="Normal"/>
        <w:spacing w:before="30" w:after="30"/>
        <w:ind w:hanging="360" w:start="720"/>
        <w:rPr/>
      </w:pPr>
      <w:r>
        <w:rPr>
          <w:rFonts w:eastAsia="Arial" w:cs="Arial"/>
          <w:b/>
          <w:bCs/>
          <w:sz w:val="22"/>
          <w:szCs w:val="22"/>
        </w:rPr>
        <w:t xml:space="preserve">b.  </w:t>
      </w:r>
      <w:r>
        <w:rPr>
          <w:rFonts w:eastAsia="Arial" w:cs="Arial"/>
          <w:sz w:val="22"/>
          <w:szCs w:val="22"/>
        </w:rPr>
        <w:t>Tabletop exercises shall be conducted at minimum annually. Tabletop exercises shall use realistic scenarios drawn from the HVA (e.g., 'It is a Friday night and the electricity has gone out for 18 hours in freezing temperatures — walk through the full response'). All staff shall participate in the annual tabletop exercise, scheduling multiple sessions if needed to include all staff.</w:t>
      </w:r>
    </w:p>
    <w:p>
      <w:pPr>
        <w:pStyle w:val="Normal"/>
        <w:spacing w:before="30" w:after="30"/>
        <w:ind w:hanging="360" w:start="720"/>
        <w:rPr/>
      </w:pPr>
      <w:r>
        <w:rPr>
          <w:rFonts w:eastAsia="Arial" w:cs="Arial"/>
          <w:b/>
          <w:bCs/>
          <w:sz w:val="22"/>
          <w:szCs w:val="22"/>
        </w:rPr>
        <w:t xml:space="preserve">c.  </w:t>
      </w:r>
      <w:r>
        <w:rPr>
          <w:rFonts w:eastAsia="Arial" w:cs="Arial"/>
          <w:sz w:val="22"/>
          <w:szCs w:val="22"/>
        </w:rPr>
        <w:t>Documentation of every drill and tabletop exercise shall include: date, time, type of exercise, scenario used (tabletop), participants present, evacuation time (physical drills), issues identified during the exercise, and the After-Action Report.</w:t>
      </w:r>
    </w:p>
    <w:p>
      <w:pPr>
        <w:pStyle w:val="Normal"/>
        <w:spacing w:before="140" w:after="60"/>
        <w:rPr/>
      </w:pPr>
      <w:r>
        <w:rPr>
          <w:rFonts w:eastAsia="Arial" w:cs="Arial"/>
          <w:b/>
          <w:bCs/>
          <w:sz w:val="22"/>
          <w:szCs w:val="22"/>
          <w:u w:val="single"/>
        </w:rPr>
        <w:t>D. After-Action Reports (AARs)</w:t>
      </w:r>
    </w:p>
    <w:p>
      <w:pPr>
        <w:pStyle w:val="Normal"/>
        <w:spacing w:before="30" w:after="30"/>
        <w:ind w:hanging="360" w:start="720"/>
        <w:rPr/>
      </w:pPr>
      <w:r>
        <w:rPr>
          <w:rFonts w:eastAsia="Arial" w:cs="Arial"/>
          <w:b/>
          <w:bCs/>
          <w:sz w:val="22"/>
          <w:szCs w:val="22"/>
        </w:rPr>
        <w:t xml:space="preserve">a.  </w:t>
      </w:r>
      <w:r>
        <w:rPr>
          <w:rFonts w:eastAsia="Arial" w:cs="Arial"/>
          <w:sz w:val="22"/>
          <w:szCs w:val="22"/>
        </w:rPr>
        <w:t>An After-Action Report (AAR) shall be completed within seventy-two (72) hours of every drill, tabletop exercise, or actual emergency. The AAR shall be the structured mechanism for continuous improvement of emergency preparedness.</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AAR shall document at minimum:</w:t>
      </w:r>
    </w:p>
    <w:p>
      <w:pPr>
        <w:pStyle w:val="ListParagraph"/>
        <w:numPr>
          <w:ilvl w:val="1"/>
          <w:numId w:val="1"/>
        </w:numPr>
        <w:spacing w:before="30" w:after="30"/>
        <w:rPr/>
      </w:pPr>
      <w:r>
        <w:rPr>
          <w:rFonts w:eastAsia="Arial" w:cs="Arial"/>
          <w:sz w:val="22"/>
          <w:szCs w:val="22"/>
        </w:rPr>
        <w:t>What aspects of the response worked well</w:t>
      </w:r>
    </w:p>
    <w:p>
      <w:pPr>
        <w:pStyle w:val="ListParagraph"/>
        <w:numPr>
          <w:ilvl w:val="1"/>
          <w:numId w:val="1"/>
        </w:numPr>
        <w:spacing w:before="30" w:after="30"/>
        <w:rPr/>
      </w:pPr>
      <w:r>
        <w:rPr>
          <w:rFonts w:eastAsia="Arial" w:cs="Arial"/>
          <w:sz w:val="22"/>
          <w:szCs w:val="22"/>
        </w:rPr>
        <w:t>What aspects did not work as intended</w:t>
      </w:r>
    </w:p>
    <w:p>
      <w:pPr>
        <w:pStyle w:val="ListParagraph"/>
        <w:numPr>
          <w:ilvl w:val="1"/>
          <w:numId w:val="1"/>
        </w:numPr>
        <w:spacing w:before="30" w:after="30"/>
        <w:rPr/>
      </w:pPr>
      <w:r>
        <w:rPr>
          <w:rFonts w:eastAsia="Arial" w:cs="Arial"/>
          <w:sz w:val="22"/>
          <w:szCs w:val="22"/>
        </w:rPr>
        <w:t>Specific corrective actions identified — with the person responsible for each action and the target completion date</w:t>
      </w:r>
    </w:p>
    <w:p>
      <w:pPr>
        <w:pStyle w:val="ListParagraph"/>
        <w:numPr>
          <w:ilvl w:val="1"/>
          <w:numId w:val="1"/>
        </w:numPr>
        <w:spacing w:before="30" w:after="30"/>
        <w:rPr/>
      </w:pPr>
      <w:r>
        <w:rPr>
          <w:rFonts w:eastAsia="Arial" w:cs="Arial"/>
          <w:sz w:val="22"/>
          <w:szCs w:val="22"/>
        </w:rPr>
        <w:t>Changes to the Emergency Preparedness and Response Plan indicated by the exercise findings</w:t>
      </w:r>
    </w:p>
    <w:p>
      <w:pPr>
        <w:pStyle w:val="Normal"/>
        <w:spacing w:before="30" w:after="30"/>
        <w:ind w:hanging="360" w:start="720"/>
        <w:rPr/>
      </w:pPr>
      <w:r>
        <w:rPr>
          <w:rFonts w:eastAsia="Arial" w:cs="Arial"/>
          <w:b/>
          <w:bCs/>
          <w:sz w:val="22"/>
          <w:szCs w:val="22"/>
        </w:rPr>
        <w:t xml:space="preserve">c.  </w:t>
      </w:r>
      <w:r>
        <w:rPr>
          <w:rFonts w:eastAsia="Arial" w:cs="Arial"/>
          <w:sz w:val="22"/>
          <w:szCs w:val="22"/>
        </w:rPr>
        <w:t>Corrective actions identified in AARs shall be tracked to completion in the Quality Management log and verified at the next exercise or QM review, whichever comes first.</w:t>
      </w:r>
    </w:p>
    <w:p>
      <w:pPr>
        <w:pStyle w:val="Normal"/>
        <w:spacing w:before="140" w:after="60"/>
        <w:rPr/>
      </w:pPr>
      <w:r>
        <w:rPr>
          <w:rFonts w:eastAsia="Arial" w:cs="Arial"/>
          <w:b/>
          <w:bCs/>
          <w:sz w:val="22"/>
          <w:szCs w:val="22"/>
          <w:u w:val="single"/>
        </w:rPr>
        <w:t>E. Continuity of Care Planning</w:t>
      </w:r>
    </w:p>
    <w:p>
      <w:pPr>
        <w:pStyle w:val="Normal"/>
        <w:spacing w:before="30" w:after="30"/>
        <w:ind w:hanging="360" w:start="720"/>
        <w:rPr/>
      </w:pPr>
      <w:r>
        <w:rPr>
          <w:rFonts w:eastAsia="Arial" w:cs="Arial"/>
          <w:b/>
          <w:bCs/>
          <w:sz w:val="22"/>
          <w:szCs w:val="22"/>
        </w:rPr>
        <w:t xml:space="preserve">a.  </w:t>
      </w:r>
      <w:r>
        <w:rPr>
          <w:rFonts w:eastAsia="Arial" w:cs="Arial"/>
          <w:sz w:val="22"/>
          <w:szCs w:val="22"/>
        </w:rPr>
        <w:t>This Provider's Continuity of Care Plan shall ensure that services to individuals are maintained or restored as rapidly as possible following any emergency. The Plan shall address:</w:t>
      </w:r>
    </w:p>
    <w:p>
      <w:pPr>
        <w:pStyle w:val="ListParagraph"/>
        <w:numPr>
          <w:ilvl w:val="1"/>
          <w:numId w:val="1"/>
        </w:numPr>
        <w:spacing w:before="30" w:after="30"/>
        <w:rPr/>
      </w:pPr>
      <w:r>
        <w:rPr>
          <w:rFonts w:eastAsia="Arial" w:cs="Arial"/>
          <w:sz w:val="22"/>
          <w:szCs w:val="22"/>
        </w:rPr>
        <w:t>Essential supplies: medications, food, water, personal care items, durable medical equipment — a minimum 72-hour supply shall be maintained on-premises at all times</w:t>
      </w:r>
    </w:p>
    <w:p>
      <w:pPr>
        <w:pStyle w:val="ListParagraph"/>
        <w:numPr>
          <w:ilvl w:val="1"/>
          <w:numId w:val="1"/>
        </w:numPr>
        <w:spacing w:before="30" w:after="30"/>
        <w:rPr/>
      </w:pPr>
      <w:r>
        <w:rPr>
          <w:rFonts w:eastAsia="Arial" w:cs="Arial"/>
          <w:sz w:val="22"/>
          <w:szCs w:val="22"/>
        </w:rPr>
        <w:t>Alternative care locations: at least two identified alternative settings where individuals could be placed if this setting becomes unusable, with pre-established contact for each</w:t>
      </w:r>
    </w:p>
    <w:p>
      <w:pPr>
        <w:pStyle w:val="ListParagraph"/>
        <w:numPr>
          <w:ilvl w:val="1"/>
          <w:numId w:val="1"/>
        </w:numPr>
        <w:spacing w:before="30" w:after="30"/>
        <w:rPr/>
      </w:pPr>
      <w:r>
        <w:rPr>
          <w:rFonts w:eastAsia="Arial" w:cs="Arial"/>
          <w:sz w:val="22"/>
          <w:szCs w:val="22"/>
        </w:rPr>
        <w:t>Record availability: how clinical records and medication lists are accessible if physical files are inaccessible (backup copies, electronic access, emergency information packets)</w:t>
      </w:r>
    </w:p>
    <w:p>
      <w:pPr>
        <w:pStyle w:val="ListParagraph"/>
        <w:numPr>
          <w:ilvl w:val="1"/>
          <w:numId w:val="1"/>
        </w:numPr>
        <w:spacing w:before="30" w:after="30"/>
        <w:rPr/>
      </w:pPr>
      <w:r>
        <w:rPr>
          <w:rFonts w:eastAsia="Arial" w:cs="Arial"/>
          <w:sz w:val="22"/>
          <w:szCs w:val="22"/>
        </w:rPr>
        <w:t>Staff communication: how staff are notified of emergencies and operational changes</w:t>
      </w:r>
    </w:p>
    <w:p>
      <w:pPr>
        <w:pStyle w:val="ListParagraph"/>
        <w:numPr>
          <w:ilvl w:val="1"/>
          <w:numId w:val="1"/>
        </w:numPr>
        <w:spacing w:before="30" w:after="30"/>
        <w:rPr/>
      </w:pPr>
      <w:r>
        <w:rPr>
          <w:rFonts w:eastAsia="Arial" w:cs="Arial"/>
          <w:sz w:val="22"/>
          <w:szCs w:val="22"/>
        </w:rPr>
        <w:t>Communication with the supervising agency and individuals' families / guardians during emergencies</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supervising agency / state licensing authority shall be contacted within twenty-four (24) hours of any emergency that disrupts services to individuals or requires a change in the individual's placement.</w:t>
      </w:r>
    </w:p>
    <w:p>
      <w:pPr>
        <w:pStyle w:val="Normal"/>
        <w:spacing w:before="140" w:after="60"/>
        <w:rPr/>
      </w:pPr>
      <w:r>
        <w:rPr>
          <w:rFonts w:eastAsia="Arial" w:cs="Arial"/>
          <w:b/>
          <w:bCs/>
          <w:sz w:val="22"/>
          <w:szCs w:val="22"/>
          <w:u w:val="single"/>
        </w:rPr>
        <w:t>F. Communication with Community Emergency Partners</w:t>
      </w:r>
    </w:p>
    <w:p>
      <w:pPr>
        <w:pStyle w:val="Normal"/>
        <w:spacing w:before="30" w:after="30"/>
        <w:ind w:hanging="360" w:start="720"/>
        <w:rPr/>
      </w:pPr>
      <w:r>
        <w:rPr>
          <w:rFonts w:eastAsia="Arial" w:cs="Arial"/>
          <w:b/>
          <w:bCs/>
          <w:sz w:val="22"/>
          <w:szCs w:val="22"/>
        </w:rPr>
        <w:t xml:space="preserve">a.  </w:t>
      </w:r>
      <w:r>
        <w:rPr>
          <w:rFonts w:eastAsia="Arial" w:cs="Arial"/>
          <w:sz w:val="22"/>
          <w:szCs w:val="22"/>
        </w:rPr>
        <w:t>This Provider shall establish and maintain relationships with key community emergency partners, including: the local fire department (notify at initial licensure of facility occupancy and individuals with evacuation assistance needs); local law enforcement (notify of any individual with known elopement risk); and the local emergency management agency.</w:t>
      </w:r>
    </w:p>
    <w:p>
      <w:pPr>
        <w:pStyle w:val="Normal"/>
        <w:spacing w:before="30" w:after="30"/>
        <w:ind w:hanging="360" w:start="720"/>
        <w:rPr/>
      </w:pPr>
      <w:r>
        <w:rPr>
          <w:rFonts w:eastAsia="Arial" w:cs="Arial"/>
          <w:b/>
          <w:bCs/>
          <w:sz w:val="22"/>
          <w:szCs w:val="22"/>
        </w:rPr>
        <w:t xml:space="preserve">b.  </w:t>
      </w:r>
      <w:r>
        <w:rPr>
          <w:rFonts w:eastAsia="Arial" w:cs="Arial"/>
          <w:sz w:val="22"/>
          <w:szCs w:val="22"/>
        </w:rPr>
        <w:t>Emergency contact information for the local fire department, police, utility providers, and the state emergency management agency shall be posted in the home and included in the Emergency Preparedness and Response Plan.</w:t>
      </w:r>
    </w:p>
    <w:p>
      <w:pPr>
        <w:pStyle w:val="Normal"/>
        <w:spacing w:before="140" w:after="60"/>
        <w:rPr/>
      </w:pPr>
      <w:r>
        <w:rPr>
          <w:rFonts w:eastAsia="Arial" w:cs="Arial"/>
          <w:b/>
          <w:bCs/>
          <w:sz w:val="22"/>
          <w:szCs w:val="22"/>
          <w:u w:val="single"/>
        </w:rPr>
        <w:t>G. Specific Emergency Response Procedures</w:t>
      </w:r>
    </w:p>
    <w:p>
      <w:pPr>
        <w:pStyle w:val="Normal"/>
        <w:spacing w:before="40" w:after="60"/>
        <w:rPr/>
      </w:pPr>
      <w:r>
        <w:rPr>
          <w:rFonts w:eastAsia="Arial" w:cs="Arial"/>
          <w:sz w:val="22"/>
          <w:szCs w:val="22"/>
        </w:rPr>
        <w:t>Fire / Evacuation: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Activate fire alarm; call 911 immediately.</w:t>
      </w:r>
    </w:p>
    <w:p>
      <w:pPr>
        <w:pStyle w:val="Normal"/>
        <w:spacing w:before="30" w:after="30"/>
        <w:ind w:hanging="360" w:start="720"/>
        <w:rPr/>
      </w:pPr>
      <w:r>
        <w:rPr>
          <w:rFonts w:eastAsia="Arial" w:cs="Arial"/>
          <w:b/>
          <w:bCs/>
          <w:sz w:val="22"/>
          <w:szCs w:val="22"/>
        </w:rPr>
        <w:t xml:space="preserve">b.  </w:t>
      </w:r>
      <w:r>
        <w:rPr>
          <w:rFonts w:eastAsia="Arial" w:cs="Arial"/>
          <w:sz w:val="22"/>
          <w:szCs w:val="22"/>
        </w:rPr>
        <w:t>Assist all individuals to evacuate via the primary exit route on the posted evacuation diagram. Use secondary exits if primary is blocked.</w:t>
      </w:r>
    </w:p>
    <w:p>
      <w:pPr>
        <w:pStyle w:val="Normal"/>
        <w:spacing w:before="30" w:after="30"/>
        <w:ind w:hanging="360" w:start="720"/>
        <w:rPr/>
      </w:pPr>
      <w:r>
        <w:rPr>
          <w:rFonts w:eastAsia="Arial" w:cs="Arial"/>
          <w:b/>
          <w:bCs/>
          <w:sz w:val="22"/>
          <w:szCs w:val="22"/>
        </w:rPr>
        <w:t xml:space="preserve">c.  </w:t>
      </w:r>
      <w:r>
        <w:rPr>
          <w:rFonts w:eastAsia="Arial" w:cs="Arial"/>
          <w:sz w:val="22"/>
          <w:szCs w:val="22"/>
        </w:rPr>
        <w:t>Account for all individuals and staff at the designated outdoor assembly point before contacting the fire department regarding any missing persons.</w:t>
      </w:r>
    </w:p>
    <w:p>
      <w:pPr>
        <w:pStyle w:val="Normal"/>
        <w:spacing w:before="30" w:after="30"/>
        <w:ind w:hanging="360" w:start="720"/>
        <w:rPr/>
      </w:pPr>
      <w:r>
        <w:rPr>
          <w:rFonts w:eastAsia="Arial" w:cs="Arial"/>
          <w:b/>
          <w:bCs/>
          <w:sz w:val="22"/>
          <w:szCs w:val="22"/>
        </w:rPr>
        <w:t xml:space="preserve">d.  </w:t>
      </w:r>
      <w:r>
        <w:rPr>
          <w:rFonts w:eastAsia="Arial" w:cs="Arial"/>
          <w:sz w:val="22"/>
          <w:szCs w:val="22"/>
        </w:rPr>
        <w:t>Do not re-enter the building until the fire department provides clearance.</w:t>
      </w:r>
    </w:p>
    <w:p>
      <w:pPr>
        <w:pStyle w:val="Normal"/>
        <w:spacing w:before="40" w:after="60"/>
        <w:rPr/>
      </w:pPr>
      <w:r>
        <w:rPr>
          <w:rFonts w:eastAsia="Arial" w:cs="Arial"/>
          <w:sz w:val="22"/>
          <w:szCs w:val="22"/>
        </w:rPr>
        <w:t>Missing Individual (Elopement):</w:t>
      </w:r>
    </w:p>
    <w:p>
      <w:pPr>
        <w:pStyle w:val="Normal"/>
        <w:spacing w:before="30" w:after="30"/>
        <w:ind w:hanging="360" w:start="720"/>
        <w:rPr/>
      </w:pPr>
      <w:r>
        <w:rPr>
          <w:rFonts w:eastAsia="Arial" w:cs="Arial"/>
          <w:b/>
          <w:bCs/>
          <w:sz w:val="22"/>
          <w:szCs w:val="22"/>
        </w:rPr>
        <w:t xml:space="preserve">e.  </w:t>
      </w:r>
      <w:r>
        <w:rPr>
          <w:rFonts w:eastAsia="Arial" w:cs="Arial"/>
          <w:sz w:val="22"/>
          <w:szCs w:val="22"/>
        </w:rPr>
        <w:t>Search the home and immediate exterior. If not located within five (5) minutes, call 911 and notify the Administrator.</w:t>
      </w:r>
    </w:p>
    <w:p>
      <w:pPr>
        <w:pStyle w:val="Normal"/>
        <w:spacing w:before="30" w:after="30"/>
        <w:ind w:hanging="360" w:start="720"/>
        <w:rPr/>
      </w:pPr>
      <w:r>
        <w:rPr>
          <w:rFonts w:eastAsia="Arial" w:cs="Arial"/>
          <w:b/>
          <w:bCs/>
          <w:sz w:val="22"/>
          <w:szCs w:val="22"/>
        </w:rPr>
        <w:t xml:space="preserve">f.  </w:t>
      </w:r>
      <w:r>
        <w:rPr>
          <w:rFonts w:eastAsia="Arial" w:cs="Arial"/>
          <w:sz w:val="22"/>
          <w:szCs w:val="22"/>
        </w:rPr>
        <w:t>Provide law enforcement with: name, physical description, photograph, last known location and time, any known destinations or routes, and any safety concerns.</w:t>
      </w:r>
    </w:p>
    <w:p>
      <w:pPr>
        <w:pStyle w:val="Normal"/>
        <w:spacing w:before="40" w:after="60"/>
        <w:rPr/>
      </w:pPr>
      <w:r>
        <w:rPr>
          <w:rFonts w:eastAsia="Arial" w:cs="Arial"/>
          <w:sz w:val="22"/>
          <w:szCs w:val="22"/>
        </w:rPr>
        <w:t>Medical Emergency:</w:t>
      </w:r>
    </w:p>
    <w:p>
      <w:pPr>
        <w:pStyle w:val="Normal"/>
        <w:spacing w:before="30" w:after="30"/>
        <w:ind w:hanging="360" w:start="720"/>
        <w:rPr/>
      </w:pPr>
      <w:r>
        <w:rPr>
          <w:rFonts w:eastAsia="Arial" w:cs="Arial"/>
          <w:b/>
          <w:bCs/>
          <w:sz w:val="22"/>
          <w:szCs w:val="22"/>
        </w:rPr>
        <w:t xml:space="preserve">g.  </w:t>
      </w:r>
      <w:r>
        <w:rPr>
          <w:rFonts w:eastAsia="Arial" w:cs="Arial"/>
          <w:sz w:val="22"/>
          <w:szCs w:val="22"/>
        </w:rPr>
        <w:t>Call 911 for any life-threatening condition. Remain on the line and follow dispatcher instructions.</w:t>
      </w:r>
    </w:p>
    <w:p>
      <w:pPr>
        <w:pStyle w:val="Normal"/>
        <w:spacing w:before="30" w:after="30"/>
        <w:ind w:hanging="360" w:start="720"/>
        <w:rPr/>
      </w:pPr>
      <w:r>
        <w:rPr>
          <w:rFonts w:eastAsia="Arial" w:cs="Arial"/>
          <w:b/>
          <w:bCs/>
          <w:sz w:val="22"/>
          <w:szCs w:val="22"/>
        </w:rPr>
        <w:t xml:space="preserve">h.  </w:t>
      </w:r>
      <w:r>
        <w:rPr>
          <w:rFonts w:eastAsia="Arial" w:cs="Arial"/>
          <w:sz w:val="22"/>
          <w:szCs w:val="22"/>
        </w:rPr>
        <w:t>Have the individual's Emergency Information Packet (medications, diagnoses, advance directive) ready for emergency responders upon arrival.</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Annual Hazard Vulnerability Analysis Document</w:t>
      </w:r>
    </w:p>
    <w:p>
      <w:pPr>
        <w:pStyle w:val="ListParagraph"/>
        <w:numPr>
          <w:ilvl w:val="0"/>
          <w:numId w:val="1"/>
        </w:numPr>
        <w:spacing w:before="30" w:after="30"/>
        <w:rPr/>
      </w:pPr>
      <w:r>
        <w:rPr>
          <w:rFonts w:eastAsia="Arial" w:cs="Arial"/>
          <w:sz w:val="22"/>
          <w:szCs w:val="22"/>
        </w:rPr>
        <w:t>Emergency Preparedness and Response Plan</w:t>
      </w:r>
    </w:p>
    <w:p>
      <w:pPr>
        <w:pStyle w:val="ListParagraph"/>
        <w:numPr>
          <w:ilvl w:val="0"/>
          <w:numId w:val="1"/>
        </w:numPr>
        <w:spacing w:before="30" w:after="30"/>
        <w:rPr/>
      </w:pPr>
      <w:r>
        <w:rPr>
          <w:rFonts w:eastAsia="Arial" w:cs="Arial"/>
          <w:sz w:val="22"/>
          <w:szCs w:val="22"/>
        </w:rPr>
        <w:t>Drill / Exercise Documentation Log</w:t>
      </w:r>
    </w:p>
    <w:p>
      <w:pPr>
        <w:pStyle w:val="ListParagraph"/>
        <w:numPr>
          <w:ilvl w:val="0"/>
          <w:numId w:val="1"/>
        </w:numPr>
        <w:spacing w:before="30" w:after="30"/>
        <w:rPr/>
      </w:pPr>
      <w:r>
        <w:rPr>
          <w:rFonts w:eastAsia="Arial" w:cs="Arial"/>
          <w:sz w:val="22"/>
          <w:szCs w:val="22"/>
        </w:rPr>
        <w:t>After-Action Report (AAR) Template</w:t>
      </w:r>
    </w:p>
    <w:p>
      <w:pPr>
        <w:pStyle w:val="ListParagraph"/>
        <w:numPr>
          <w:ilvl w:val="0"/>
          <w:numId w:val="1"/>
        </w:numPr>
        <w:spacing w:before="30" w:after="30"/>
        <w:rPr/>
      </w:pPr>
      <w:r>
        <w:rPr>
          <w:rFonts w:eastAsia="Arial" w:cs="Arial"/>
          <w:sz w:val="22"/>
          <w:szCs w:val="22"/>
        </w:rPr>
        <w:t>Continuity of Care Plan</w:t>
      </w:r>
    </w:p>
    <w:p>
      <w:pPr>
        <w:pStyle w:val="ListParagraph"/>
        <w:numPr>
          <w:ilvl w:val="0"/>
          <w:numId w:val="1"/>
        </w:numPr>
        <w:spacing w:before="30" w:after="30"/>
        <w:rPr/>
      </w:pPr>
      <w:r>
        <w:rPr>
          <w:rFonts w:eastAsia="Arial" w:cs="Arial"/>
          <w:sz w:val="22"/>
          <w:szCs w:val="22"/>
        </w:rPr>
        <w:t>Posted Evacuation Diagram (per room/floor)</w:t>
      </w:r>
    </w:p>
    <w:p>
      <w:pPr>
        <w:pStyle w:val="ListParagraph"/>
        <w:numPr>
          <w:ilvl w:val="0"/>
          <w:numId w:val="1"/>
        </w:numPr>
        <w:spacing w:before="30" w:after="30"/>
        <w:rPr/>
      </w:pPr>
      <w:r>
        <w:rPr>
          <w:rFonts w:eastAsia="Arial" w:cs="Arial"/>
          <w:sz w:val="22"/>
          <w:szCs w:val="22"/>
        </w:rPr>
        <w:t>Individual Emergency Information Packet</w:t>
      </w:r>
    </w:p>
    <w:p>
      <w:pPr>
        <w:pStyle w:val="ListParagraph"/>
        <w:numPr>
          <w:ilvl w:val="0"/>
          <w:numId w:val="1"/>
        </w:numPr>
        <w:spacing w:before="30" w:after="30"/>
        <w:rPr/>
      </w:pPr>
      <w:r>
        <w:rPr>
          <w:rFonts w:eastAsia="Arial" w:cs="Arial"/>
          <w:sz w:val="22"/>
          <w:szCs w:val="22"/>
        </w:rPr>
        <w:t>Community Emergency Partner Contact List</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#5.02: Infection Prevention &amp; Control — Surveillance, Precautions &amp; Environmental Hygiene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Health &amp; Safety / Clinical</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5.02</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IC.01–IC.02 (JC Infection Control — Revised July 2025); OSHA Bloodborne Pathogen Standard 29 CFR 1910.1030; CDC Community Setting Infection Prevention Guidelines; State Communicable Disease Reporting Regulations</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[Provider Name /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establish a comprehensive infection prevention and control (IPC) program that protects individuals and staff from preventable infections through active surveillance, standard precautions, enhanced environmental hygiene, occupational health protections, and evidence-based education. This policy incorporates the revised Joint Commission Infection Control standards effective July 2025, which extend infection prevention principles more rigorously into community-based residential settings.</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This Provider shall implement an active, evidence-based infection prevention program. Standard precautions shall be applied to all care regardless of known infection status. Infection surveillance data shall be collected, tracked over time, analyzed for trends, and used to drive targeted improvements. Staff education and occupational health protections shall support a safe working environment.</w:t>
      </w:r>
    </w:p>
    <w:p>
      <w:pPr>
        <w:pStyle w:val="Normal"/>
        <w:spacing w:before="120" w:after="40"/>
        <w:rPr/>
      </w:pPr>
      <w:r>
        <w:rPr>
          <w:rFonts w:eastAsia="Arial" w:cs="Arial"/>
          <w:b/>
          <w:bCs/>
          <w:color w:val="2E5DA8"/>
          <w:sz w:val="22"/>
          <w:szCs w:val="22"/>
        </w:rPr>
        <w:t>DEFINITIONS</w:t>
      </w:r>
    </w:p>
    <w:p>
      <w:pPr>
        <w:pStyle w:val="ListParagraph"/>
        <w:numPr>
          <w:ilvl w:val="0"/>
          <w:numId w:val="1"/>
        </w:numPr>
        <w:spacing w:before="30" w:after="30"/>
        <w:rPr/>
      </w:pPr>
      <w:r>
        <w:rPr>
          <w:rFonts w:eastAsia="Arial" w:cs="Arial"/>
          <w:sz w:val="22"/>
          <w:szCs w:val="22"/>
        </w:rPr>
        <w:t>Standard Precautions: The baseline infection prevention practices that apply to all care, for all individuals, at all times, regardless of suspected or known infection status.</w:t>
      </w:r>
    </w:p>
    <w:p>
      <w:pPr>
        <w:pStyle w:val="ListParagraph"/>
        <w:numPr>
          <w:ilvl w:val="0"/>
          <w:numId w:val="1"/>
        </w:numPr>
        <w:spacing w:before="30" w:after="30"/>
        <w:rPr/>
      </w:pPr>
      <w:r>
        <w:rPr>
          <w:rFonts w:eastAsia="Arial" w:cs="Arial"/>
          <w:sz w:val="22"/>
          <w:szCs w:val="22"/>
        </w:rPr>
        <w:t>Transmission-Based Precautions: Additional precautions used for individuals with known or suspected infection by pathogens requiring isolation (contact, droplet, or airborne precautions).</w:t>
      </w:r>
    </w:p>
    <w:p>
      <w:pPr>
        <w:pStyle w:val="ListParagraph"/>
        <w:numPr>
          <w:ilvl w:val="0"/>
          <w:numId w:val="1"/>
        </w:numPr>
        <w:spacing w:before="30" w:after="30"/>
        <w:rPr/>
      </w:pPr>
      <w:r>
        <w:rPr>
          <w:rFonts w:eastAsia="Arial" w:cs="Arial"/>
          <w:sz w:val="22"/>
          <w:szCs w:val="22"/>
        </w:rPr>
        <w:t>Infection Surveillance: The ongoing, systematic collection, analysis, and interpretation of infection data to identify trends, detect outbreaks, and guide prevention efforts.</w:t>
      </w:r>
    </w:p>
    <w:p>
      <w:pPr>
        <w:pStyle w:val="ListParagraph"/>
        <w:numPr>
          <w:ilvl w:val="0"/>
          <w:numId w:val="1"/>
        </w:numPr>
        <w:spacing w:before="30" w:after="30"/>
        <w:rPr/>
      </w:pPr>
      <w:r>
        <w:rPr>
          <w:rFonts w:eastAsia="Arial" w:cs="Arial"/>
          <w:sz w:val="22"/>
          <w:szCs w:val="22"/>
        </w:rPr>
        <w:t>Outbreak: Two (2) or more cases of the same infection in the same setting within a defined time period (typically seven days).</w:t>
      </w:r>
    </w:p>
    <w:p>
      <w:pPr>
        <w:pStyle w:val="ListParagraph"/>
        <w:numPr>
          <w:ilvl w:val="0"/>
          <w:numId w:val="1"/>
        </w:numPr>
        <w:spacing w:before="30" w:after="30"/>
        <w:rPr/>
      </w:pPr>
      <w:r>
        <w:rPr>
          <w:rFonts w:eastAsia="Arial" w:cs="Arial"/>
          <w:sz w:val="22"/>
          <w:szCs w:val="22"/>
        </w:rPr>
        <w:t>PPE (Personal Protective Equipment): Gloves, gowns, masks, eye protection, and other barriers used to protect staff from infectious material.</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Infection Prevention and Control Risk Assessment</w:t>
      </w:r>
    </w:p>
    <w:p>
      <w:pPr>
        <w:pStyle w:val="Normal"/>
        <w:spacing w:before="30" w:after="30"/>
        <w:ind w:hanging="360" w:start="720"/>
        <w:rPr/>
      </w:pPr>
      <w:r>
        <w:rPr>
          <w:rFonts w:eastAsia="Arial" w:cs="Arial"/>
          <w:b/>
          <w:bCs/>
          <w:sz w:val="22"/>
          <w:szCs w:val="22"/>
        </w:rPr>
        <w:t xml:space="preserve">a.  </w:t>
      </w:r>
      <w:r>
        <w:rPr>
          <w:rFonts w:eastAsia="Arial" w:cs="Arial"/>
          <w:sz w:val="22"/>
          <w:szCs w:val="22"/>
        </w:rPr>
        <w:t>An annual IPC Risk Assessment shall be completed by the Administrator or designee to identify the specific infection risks present in this setting, given the population served, the physical environment, and regional/seasonal infectious disease patterns.</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IPC Risk Assessment shall address at minimum: types of infections most likely to affect the population served (respiratory, gastrointestinal, skin and soft tissue, urinary tract); staff exposure risks; seasonal disease patterns (influenza, respiratory illness season); environmental factors that could promote pathogen transmission; and the adequacy of current PPE supplies, hand hygiene supplies, and cleaning products.</w:t>
      </w:r>
    </w:p>
    <w:p>
      <w:pPr>
        <w:pStyle w:val="Normal"/>
        <w:spacing w:before="30" w:after="30"/>
        <w:ind w:hanging="360" w:start="720"/>
        <w:rPr/>
      </w:pPr>
      <w:r>
        <w:rPr>
          <w:rFonts w:eastAsia="Arial" w:cs="Arial"/>
          <w:b/>
          <w:bCs/>
          <w:sz w:val="22"/>
          <w:szCs w:val="22"/>
        </w:rPr>
        <w:t xml:space="preserve">c.  </w:t>
      </w:r>
      <w:r>
        <w:rPr>
          <w:rFonts w:eastAsia="Arial" w:cs="Arial"/>
          <w:sz w:val="22"/>
          <w:szCs w:val="22"/>
        </w:rPr>
        <w:t>The IPC Risk Assessment shall generate a prioritized list of infection prevention actions and shall be documented, signed, and filed. The previous year's assessment shall be reviewed at each annual update.</w:t>
      </w:r>
    </w:p>
    <w:p>
      <w:pPr>
        <w:pStyle w:val="Normal"/>
        <w:spacing w:before="140" w:after="60"/>
        <w:rPr/>
      </w:pPr>
      <w:r>
        <w:rPr>
          <w:rFonts w:eastAsia="Arial" w:cs="Arial"/>
          <w:b/>
          <w:bCs/>
          <w:sz w:val="22"/>
          <w:szCs w:val="22"/>
          <w:u w:val="single"/>
        </w:rPr>
        <w:t>B. Standard Precautions</w:t>
      </w:r>
    </w:p>
    <w:p>
      <w:pPr>
        <w:pStyle w:val="Normal"/>
        <w:spacing w:before="40" w:after="60"/>
        <w:rPr/>
      </w:pPr>
      <w:r>
        <w:rPr>
          <w:rFonts w:eastAsia="Arial" w:cs="Arial"/>
          <w:sz w:val="22"/>
          <w:szCs w:val="22"/>
        </w:rPr>
        <w:t>Standard precautions apply to all care for all individuals at all times:</w:t>
      </w:r>
    </w:p>
    <w:p>
      <w:pPr>
        <w:pStyle w:val="Normal"/>
        <w:spacing w:before="30" w:after="30"/>
        <w:ind w:hanging="360" w:start="720"/>
        <w:rPr/>
      </w:pPr>
      <w:r>
        <w:rPr>
          <w:rFonts w:eastAsia="Arial" w:cs="Arial"/>
          <w:b/>
          <w:bCs/>
          <w:sz w:val="22"/>
          <w:szCs w:val="22"/>
        </w:rPr>
        <w:t xml:space="preserve">a.  </w:t>
      </w:r>
      <w:r>
        <w:rPr>
          <w:rFonts w:eastAsia="Arial" w:cs="Arial"/>
          <w:sz w:val="22"/>
          <w:szCs w:val="22"/>
        </w:rPr>
        <w:t>Hand Hygiene: Perform hand hygiene (soap and water or alcohol-based hand sanitizer) before and after all direct care activities; before and after medication administration; after handling any bodily fluids, waste, or soiled items; after removing gloves; and after contact with the individual's environment. Soap and water is required (not hand sanitizer) when hands are visibly soiled and following contact with C. difficile.</w:t>
      </w:r>
    </w:p>
    <w:p>
      <w:pPr>
        <w:pStyle w:val="Normal"/>
        <w:spacing w:before="30" w:after="30"/>
        <w:ind w:hanging="360" w:start="720"/>
        <w:rPr/>
      </w:pPr>
      <w:r>
        <w:rPr>
          <w:rFonts w:eastAsia="Arial" w:cs="Arial"/>
          <w:b/>
          <w:bCs/>
          <w:sz w:val="22"/>
          <w:szCs w:val="22"/>
        </w:rPr>
        <w:t xml:space="preserve">b.  </w:t>
      </w:r>
      <w:r>
        <w:rPr>
          <w:rFonts w:eastAsia="Arial" w:cs="Arial"/>
          <w:sz w:val="22"/>
          <w:szCs w:val="22"/>
        </w:rPr>
        <w:t>Gloves: Don gloves before any anticipated contact with blood, bodily fluids, mucous membranes, non-intact skin, or contaminated items. Change gloves between tasks and between individuals. Remove gloves and perform hand hygiene immediately after removing them.</w:t>
      </w:r>
    </w:p>
    <w:p>
      <w:pPr>
        <w:pStyle w:val="Normal"/>
        <w:spacing w:before="30" w:after="30"/>
        <w:ind w:hanging="360" w:start="720"/>
        <w:rPr/>
      </w:pPr>
      <w:r>
        <w:rPr>
          <w:rFonts w:eastAsia="Arial" w:cs="Arial"/>
          <w:b/>
          <w:bCs/>
          <w:sz w:val="22"/>
          <w:szCs w:val="22"/>
        </w:rPr>
        <w:t xml:space="preserve">c.  </w:t>
      </w:r>
      <w:r>
        <w:rPr>
          <w:rFonts w:eastAsia="Arial" w:cs="Arial"/>
          <w:sz w:val="22"/>
          <w:szCs w:val="22"/>
        </w:rPr>
        <w:t>Masks and Respiratory Protection: Wear a mask when providing care to an individual with respiratory symptoms, when performing procedures that may generate respiratory droplets, or when directed by public health guidance.</w:t>
      </w:r>
    </w:p>
    <w:p>
      <w:pPr>
        <w:pStyle w:val="Normal"/>
        <w:spacing w:before="30" w:after="30"/>
        <w:ind w:hanging="360" w:start="720"/>
        <w:rPr/>
      </w:pPr>
      <w:r>
        <w:rPr>
          <w:rFonts w:eastAsia="Arial" w:cs="Arial"/>
          <w:b/>
          <w:bCs/>
          <w:sz w:val="22"/>
          <w:szCs w:val="22"/>
        </w:rPr>
        <w:t xml:space="preserve">d.  </w:t>
      </w:r>
      <w:r>
        <w:rPr>
          <w:rFonts w:eastAsia="Arial" w:cs="Arial"/>
          <w:sz w:val="22"/>
          <w:szCs w:val="22"/>
        </w:rPr>
        <w:t>Eye Protection: Wear eye protection (face shield or safety glasses with side protection) when splash or spray of blood, bodily fluids, or respiratory secretions is anticipated.</w:t>
      </w:r>
    </w:p>
    <w:p>
      <w:pPr>
        <w:pStyle w:val="Normal"/>
        <w:spacing w:before="30" w:after="30"/>
        <w:ind w:hanging="360" w:start="720"/>
        <w:rPr/>
      </w:pPr>
      <w:r>
        <w:rPr>
          <w:rFonts w:eastAsia="Arial" w:cs="Arial"/>
          <w:b/>
          <w:bCs/>
          <w:sz w:val="22"/>
          <w:szCs w:val="22"/>
        </w:rPr>
        <w:t xml:space="preserve">e.  </w:t>
      </w:r>
      <w:r>
        <w:rPr>
          <w:rFonts w:eastAsia="Arial" w:cs="Arial"/>
          <w:sz w:val="22"/>
          <w:szCs w:val="22"/>
        </w:rPr>
        <w:t>Gown/Apron: Wear a gown or apron when contact with blood, bodily fluids, or contaminated surfaces may result in clothing contamination.</w:t>
      </w:r>
    </w:p>
    <w:p>
      <w:pPr>
        <w:pStyle w:val="Normal"/>
        <w:spacing w:before="30" w:after="30"/>
        <w:ind w:hanging="360" w:start="720"/>
        <w:rPr/>
      </w:pPr>
      <w:r>
        <w:rPr>
          <w:rFonts w:eastAsia="Arial" w:cs="Arial"/>
          <w:b/>
          <w:bCs/>
          <w:sz w:val="22"/>
          <w:szCs w:val="22"/>
        </w:rPr>
        <w:t xml:space="preserve">f.  </w:t>
      </w:r>
      <w:r>
        <w:rPr>
          <w:rFonts w:eastAsia="Arial" w:cs="Arial"/>
          <w:sz w:val="22"/>
          <w:szCs w:val="22"/>
        </w:rPr>
        <w:t>Safe Sharps Handling: Used sharps shall be disposed of immediately after use in a puncture-resistant, leak-proof sharps container. Sharps shall never be recapped by hand. Sharps containers shall be sealed and disposed of when three-quarters full.</w:t>
      </w:r>
    </w:p>
    <w:p>
      <w:pPr>
        <w:pStyle w:val="Normal"/>
        <w:spacing w:before="140" w:after="60"/>
        <w:rPr/>
      </w:pPr>
      <w:r>
        <w:rPr>
          <w:rFonts w:eastAsia="Arial" w:cs="Arial"/>
          <w:b/>
          <w:bCs/>
          <w:sz w:val="22"/>
          <w:szCs w:val="22"/>
          <w:u w:val="single"/>
        </w:rPr>
        <w:t>C. Infection Surveillance and Trend Tracking</w:t>
      </w:r>
    </w:p>
    <w:p>
      <w:pPr>
        <w:pStyle w:val="Normal"/>
        <w:spacing w:before="40" w:after="60"/>
        <w:rPr/>
      </w:pPr>
      <w:r>
        <w:rPr>
          <w:rFonts w:eastAsia="Arial" w:cs="Arial"/>
          <w:sz w:val="22"/>
          <w:szCs w:val="22"/>
        </w:rPr>
        <w:t>The July 2025 revised JC IC standards require active infection surveillance — not just response to infections after they occur:</w:t>
      </w:r>
    </w:p>
    <w:p>
      <w:pPr>
        <w:pStyle w:val="Normal"/>
        <w:spacing w:before="30" w:after="30"/>
        <w:ind w:hanging="360" w:start="720"/>
        <w:rPr/>
      </w:pPr>
      <w:r>
        <w:rPr>
          <w:rFonts w:eastAsia="Arial" w:cs="Arial"/>
          <w:b/>
          <w:bCs/>
          <w:sz w:val="22"/>
          <w:szCs w:val="22"/>
        </w:rPr>
        <w:t xml:space="preserve">a.  </w:t>
      </w:r>
      <w:r>
        <w:rPr>
          <w:rFonts w:eastAsia="Arial" w:cs="Arial"/>
          <w:sz w:val="22"/>
          <w:szCs w:val="22"/>
        </w:rPr>
        <w:t>The Administrator shall maintain an Infection Surveillance Log documenting all infections occurring among individuals served and staff (if occupationally acquired), including: individual or staff member initials, infection type, date of onset, symptoms, treatment, resolution, and whether it was reported to public health.</w:t>
      </w:r>
    </w:p>
    <w:p>
      <w:pPr>
        <w:pStyle w:val="Normal"/>
        <w:spacing w:before="30" w:after="30"/>
        <w:ind w:hanging="360" w:start="720"/>
        <w:rPr/>
      </w:pPr>
      <w:r>
        <w:rPr>
          <w:rFonts w:eastAsia="Arial" w:cs="Arial"/>
          <w:b/>
          <w:bCs/>
          <w:sz w:val="22"/>
          <w:szCs w:val="22"/>
        </w:rPr>
        <w:t xml:space="preserve">b.  </w:t>
      </w:r>
      <w:r>
        <w:rPr>
          <w:rFonts w:eastAsia="Arial" w:cs="Arial"/>
          <w:sz w:val="22"/>
          <w:szCs w:val="22"/>
        </w:rPr>
        <w:t>Infection surveillance data shall be reviewed monthly by the Administrator to identify any clustering of infections (potential outbreak) and any patterns suggesting a common source or preventable cause.</w:t>
      </w:r>
    </w:p>
    <w:p>
      <w:pPr>
        <w:pStyle w:val="Normal"/>
        <w:spacing w:before="30" w:after="30"/>
        <w:ind w:hanging="360" w:start="720"/>
        <w:rPr/>
      </w:pPr>
      <w:r>
        <w:rPr>
          <w:rFonts w:eastAsia="Arial" w:cs="Arial"/>
          <w:b/>
          <w:bCs/>
          <w:sz w:val="22"/>
          <w:szCs w:val="22"/>
        </w:rPr>
        <w:t xml:space="preserve">c.  </w:t>
      </w:r>
      <w:r>
        <w:rPr>
          <w:rFonts w:eastAsia="Arial" w:cs="Arial"/>
          <w:sz w:val="22"/>
          <w:szCs w:val="22"/>
        </w:rPr>
        <w:t>Quarterly analysis of infection surveillance data shall be presented at the Quality Management meeting, including: total number of infections by type, comparison to the prior quarter and same quarter of the prior year, any identified trends or patterns, and the effectiveness of any prior prevention interventions.</w:t>
      </w:r>
    </w:p>
    <w:p>
      <w:pPr>
        <w:pStyle w:val="Normal"/>
        <w:spacing w:before="30" w:after="30"/>
        <w:ind w:hanging="360" w:start="720"/>
        <w:rPr/>
      </w:pPr>
      <w:r>
        <w:rPr>
          <w:rFonts w:eastAsia="Arial" w:cs="Arial"/>
          <w:b/>
          <w:bCs/>
          <w:sz w:val="22"/>
          <w:szCs w:val="22"/>
        </w:rPr>
        <w:t xml:space="preserve">d.  </w:t>
      </w:r>
      <w:r>
        <w:rPr>
          <w:rFonts w:eastAsia="Arial" w:cs="Arial"/>
          <w:sz w:val="22"/>
          <w:szCs w:val="22"/>
        </w:rPr>
        <w:t>Any identified outbreak (two or more cases of the same infection within seven days) shall be reported to the state public health authority per communicable disease reporting regulations, the supervising agency, and the individuals' healthcare providers within twenty-four (24) hours of identification.</w:t>
      </w:r>
    </w:p>
    <w:p>
      <w:pPr>
        <w:pStyle w:val="Normal"/>
        <w:spacing w:before="140" w:after="60"/>
        <w:rPr/>
      </w:pPr>
      <w:r>
        <w:rPr>
          <w:rFonts w:eastAsia="Arial" w:cs="Arial"/>
          <w:b/>
          <w:bCs/>
          <w:sz w:val="22"/>
          <w:szCs w:val="22"/>
          <w:u w:val="single"/>
        </w:rPr>
        <w:t>D. Enhanced Environmental Hygiene Program</w:t>
      </w:r>
    </w:p>
    <w:p>
      <w:pPr>
        <w:pStyle w:val="Normal"/>
        <w:spacing w:before="40" w:after="60"/>
        <w:rPr/>
      </w:pPr>
      <w:r>
        <w:rPr>
          <w:rFonts w:eastAsia="Arial" w:cs="Arial"/>
          <w:sz w:val="22"/>
          <w:szCs w:val="22"/>
        </w:rPr>
        <w:t>Environmental hygiene is a critical component of infection prevention in residential settings:</w:t>
      </w:r>
    </w:p>
    <w:p>
      <w:pPr>
        <w:pStyle w:val="Normal"/>
        <w:spacing w:before="30" w:after="30"/>
        <w:ind w:hanging="360" w:start="720"/>
        <w:rPr/>
      </w:pPr>
      <w:r>
        <w:rPr>
          <w:rFonts w:eastAsia="Arial" w:cs="Arial"/>
          <w:b/>
          <w:bCs/>
          <w:sz w:val="22"/>
          <w:szCs w:val="22"/>
        </w:rPr>
        <w:t xml:space="preserve">a.  </w:t>
      </w:r>
      <w:r>
        <w:rPr>
          <w:rFonts w:eastAsia="Arial" w:cs="Arial"/>
          <w:sz w:val="22"/>
          <w:szCs w:val="22"/>
        </w:rPr>
        <w:t>A written Environmental Hygiene Schedule shall specify the cleaning frequency and required cleaning/disinfecting product for each area and surface type in the home, distinguishing between: daily cleaning (high-touch surfaces), weekly thorough cleaning (all surfaces), and immediate cleaning following contamination.</w:t>
      </w:r>
    </w:p>
    <w:p>
      <w:pPr>
        <w:pStyle w:val="Normal"/>
        <w:spacing w:before="30" w:after="30"/>
        <w:ind w:hanging="360" w:start="720"/>
        <w:rPr/>
      </w:pPr>
      <w:r>
        <w:rPr>
          <w:rFonts w:eastAsia="Arial" w:cs="Arial"/>
          <w:b/>
          <w:bCs/>
          <w:sz w:val="22"/>
          <w:szCs w:val="22"/>
        </w:rPr>
        <w:t xml:space="preserve">b.  </w:t>
      </w:r>
      <w:r>
        <w:rPr>
          <w:rFonts w:eastAsia="Arial" w:cs="Arial"/>
          <w:sz w:val="22"/>
          <w:szCs w:val="22"/>
        </w:rPr>
        <w:t>High-touch surfaces requiring daily cleaning and disinfection include: doorknobs and light switches, faucet handles and toilet flush handles, bathroom surfaces, kitchen counters and appliance handles, shared phones and remote controls, and shared equipment.</w:t>
      </w:r>
    </w:p>
    <w:p>
      <w:pPr>
        <w:pStyle w:val="Normal"/>
        <w:spacing w:before="30" w:after="30"/>
        <w:ind w:hanging="360" w:start="720"/>
        <w:rPr/>
      </w:pPr>
      <w:r>
        <w:rPr>
          <w:rFonts w:eastAsia="Arial" w:cs="Arial"/>
          <w:b/>
          <w:bCs/>
          <w:sz w:val="22"/>
          <w:szCs w:val="22"/>
        </w:rPr>
        <w:t xml:space="preserve">c.  </w:t>
      </w:r>
      <w:r>
        <w:rPr>
          <w:rFonts w:eastAsia="Arial" w:cs="Arial"/>
          <w:sz w:val="22"/>
          <w:szCs w:val="22"/>
        </w:rPr>
        <w:t>EPA-registered disinfectants appropriate for the intended pathogen shall be used. Products shall be used per manufacturer instructions regarding contact time (the amount of time the surface must remain wet with disinfectant to achieve the labeled kill claim).</w:t>
      </w:r>
    </w:p>
    <w:p>
      <w:pPr>
        <w:pStyle w:val="Normal"/>
        <w:spacing w:before="30" w:after="30"/>
        <w:ind w:hanging="360" w:start="720"/>
        <w:rPr/>
      </w:pPr>
      <w:r>
        <w:rPr>
          <w:rFonts w:eastAsia="Arial" w:cs="Arial"/>
          <w:b/>
          <w:bCs/>
          <w:sz w:val="22"/>
          <w:szCs w:val="22"/>
        </w:rPr>
        <w:t xml:space="preserve">d.  </w:t>
      </w:r>
      <w:r>
        <w:rPr>
          <w:rFonts w:eastAsia="Arial" w:cs="Arial"/>
          <w:sz w:val="22"/>
          <w:szCs w:val="22"/>
        </w:rPr>
        <w:t>Bodily fluid spills shall be cleaned immediately using appropriate PPE (at minimum gloves), an EPA-registered disinfectant effective against bloodborne pathogens, and following the OSHA bloodborne pathogen spill cleanup procedure. Soiled materials shall be double-bagged for disposal.</w:t>
      </w:r>
    </w:p>
    <w:p>
      <w:pPr>
        <w:pStyle w:val="Normal"/>
        <w:spacing w:before="30" w:after="30"/>
        <w:ind w:hanging="360" w:start="720"/>
        <w:rPr/>
      </w:pPr>
      <w:r>
        <w:rPr>
          <w:rFonts w:eastAsia="Arial" w:cs="Arial"/>
          <w:b/>
          <w:bCs/>
          <w:sz w:val="22"/>
          <w:szCs w:val="22"/>
        </w:rPr>
        <w:t xml:space="preserve">e.  </w:t>
      </w:r>
      <w:r>
        <w:rPr>
          <w:rFonts w:eastAsia="Arial" w:cs="Arial"/>
          <w:sz w:val="22"/>
          <w:szCs w:val="22"/>
        </w:rPr>
        <w:t>Soiled linens and clothing shall be handled with gloves, kept away from the face, and laundered separately from uncontaminated items using hot water (at least 160°F) or per product instructions for disinfection.</w:t>
      </w:r>
    </w:p>
    <w:p>
      <w:pPr>
        <w:pStyle w:val="Normal"/>
        <w:spacing w:before="140" w:after="60"/>
        <w:rPr/>
      </w:pPr>
      <w:r>
        <w:rPr>
          <w:rFonts w:eastAsia="Arial" w:cs="Arial"/>
          <w:b/>
          <w:bCs/>
          <w:sz w:val="22"/>
          <w:szCs w:val="22"/>
          <w:u w:val="single"/>
        </w:rPr>
        <w:t>E. Transmission-Based Precautions</w:t>
      </w:r>
    </w:p>
    <w:p>
      <w:pPr>
        <w:pStyle w:val="Normal"/>
        <w:spacing w:before="30" w:after="30"/>
        <w:ind w:hanging="360" w:start="720"/>
        <w:rPr/>
      </w:pPr>
      <w:r>
        <w:rPr>
          <w:rFonts w:eastAsia="Arial" w:cs="Arial"/>
          <w:b/>
          <w:bCs/>
          <w:sz w:val="22"/>
          <w:szCs w:val="22"/>
        </w:rPr>
        <w:t xml:space="preserve">a.  </w:t>
      </w:r>
      <w:r>
        <w:rPr>
          <w:rFonts w:eastAsia="Arial" w:cs="Arial"/>
          <w:sz w:val="22"/>
          <w:szCs w:val="22"/>
        </w:rPr>
        <w:t>When an individual has a known or suspected communicable infection, transmission-based precautions appropriate to the pathogen's transmission route shall be implemented immediately per current CDC Community Setting Isolation Guidelines.</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individual shall be supported in maintaining as much normal daily routine as possible during isolation, consistent with infection control requirements and their own preferences.</w:t>
      </w:r>
    </w:p>
    <w:p>
      <w:pPr>
        <w:pStyle w:val="Normal"/>
        <w:spacing w:before="30" w:after="30"/>
        <w:ind w:hanging="360" w:start="720"/>
        <w:rPr/>
      </w:pPr>
      <w:r>
        <w:rPr>
          <w:rFonts w:eastAsia="Arial" w:cs="Arial"/>
          <w:b/>
          <w:bCs/>
          <w:sz w:val="22"/>
          <w:szCs w:val="22"/>
        </w:rPr>
        <w:t xml:space="preserve">c.  </w:t>
      </w:r>
      <w:r>
        <w:rPr>
          <w:rFonts w:eastAsia="Arial" w:cs="Arial"/>
          <w:sz w:val="22"/>
          <w:szCs w:val="22"/>
        </w:rPr>
        <w:t>The Administrator shall consult with the individual's healthcare provider for guidance on type and duration of isolation and any specific precautions required.</w:t>
      </w:r>
    </w:p>
    <w:p>
      <w:pPr>
        <w:pStyle w:val="Normal"/>
        <w:spacing w:before="140" w:after="60"/>
        <w:rPr/>
      </w:pPr>
      <w:r>
        <w:rPr>
          <w:rFonts w:eastAsia="Arial" w:cs="Arial"/>
          <w:b/>
          <w:bCs/>
          <w:sz w:val="22"/>
          <w:szCs w:val="22"/>
          <w:u w:val="single"/>
        </w:rPr>
        <w:t>F. Staff Illness and Occupational Health</w:t>
      </w:r>
    </w:p>
    <w:p>
      <w:pPr>
        <w:pStyle w:val="Normal"/>
        <w:spacing w:before="30" w:after="30"/>
        <w:ind w:hanging="360" w:start="720"/>
        <w:rPr/>
      </w:pPr>
      <w:r>
        <w:rPr>
          <w:rFonts w:eastAsia="Arial" w:cs="Arial"/>
          <w:b/>
          <w:bCs/>
          <w:sz w:val="22"/>
          <w:szCs w:val="22"/>
        </w:rPr>
        <w:t xml:space="preserve">a.  </w:t>
      </w:r>
      <w:r>
        <w:rPr>
          <w:rFonts w:eastAsia="Arial" w:cs="Arial"/>
          <w:sz w:val="22"/>
          <w:szCs w:val="22"/>
        </w:rPr>
        <w:t>Staff shall not report to work if they have: a fever (temperature ≥100.4°F / 38°C) until fever-free for twenty-four (24) hours without fever-reducing medication; active vomiting or diarrhea until symptom-free for forty-eight (48) hours; a draining, uncontrolled skin infection; or active symptoms of a reportable communicable disease until cleared by a healthcare provider.</w:t>
      </w:r>
    </w:p>
    <w:p>
      <w:pPr>
        <w:pStyle w:val="Normal"/>
        <w:spacing w:before="30" w:after="30"/>
        <w:ind w:hanging="360" w:start="720"/>
        <w:rPr/>
      </w:pPr>
      <w:r>
        <w:rPr>
          <w:rFonts w:eastAsia="Arial" w:cs="Arial"/>
          <w:b/>
          <w:bCs/>
          <w:sz w:val="22"/>
          <w:szCs w:val="22"/>
        </w:rPr>
        <w:t xml:space="preserve">b.  </w:t>
      </w:r>
      <w:r>
        <w:rPr>
          <w:rFonts w:eastAsia="Arial" w:cs="Arial"/>
          <w:sz w:val="22"/>
          <w:szCs w:val="22"/>
        </w:rPr>
        <w:t>Staff who are exposed to a bloodborne pathogen or other infectious material shall report the exposure to the Administrator immediately. The Administrator shall facilitate access to post-exposure evaluation and any recommended prophylaxis per current CDC/OSHA post-exposure protocols within two (2) hours of the exposure.</w:t>
      </w:r>
    </w:p>
    <w:p>
      <w:pPr>
        <w:pStyle w:val="Normal"/>
        <w:spacing w:before="30" w:after="30"/>
        <w:ind w:hanging="360" w:start="720"/>
        <w:rPr/>
      </w:pPr>
      <w:r>
        <w:rPr>
          <w:rFonts w:eastAsia="Arial" w:cs="Arial"/>
          <w:b/>
          <w:bCs/>
          <w:sz w:val="22"/>
          <w:szCs w:val="22"/>
        </w:rPr>
        <w:t xml:space="preserve">c.  </w:t>
      </w:r>
      <w:r>
        <w:rPr>
          <w:rFonts w:eastAsia="Arial" w:cs="Arial"/>
          <w:sz w:val="22"/>
          <w:szCs w:val="22"/>
        </w:rPr>
        <w:t>All occupational exposure incidents (needlestick injuries, mucous membrane splashes with blood or bodily fluids) shall be documented on an Occupational Exposure Report and filed in the staff member's personnel file.</w:t>
      </w:r>
    </w:p>
    <w:p>
      <w:pPr>
        <w:pStyle w:val="Normal"/>
        <w:spacing w:before="140" w:after="60"/>
        <w:rPr/>
      </w:pPr>
      <w:r>
        <w:rPr>
          <w:rFonts w:eastAsia="Arial" w:cs="Arial"/>
          <w:b/>
          <w:bCs/>
          <w:sz w:val="22"/>
          <w:szCs w:val="22"/>
          <w:u w:val="single"/>
        </w:rPr>
        <w:t>G. PPE Supply Management</w:t>
      </w:r>
    </w:p>
    <w:p>
      <w:pPr>
        <w:pStyle w:val="Normal"/>
        <w:spacing w:before="30" w:after="30"/>
        <w:ind w:hanging="360" w:start="720"/>
        <w:rPr/>
      </w:pPr>
      <w:r>
        <w:rPr>
          <w:rFonts w:eastAsia="Arial" w:cs="Arial"/>
          <w:b/>
          <w:bCs/>
          <w:sz w:val="22"/>
          <w:szCs w:val="22"/>
        </w:rPr>
        <w:t xml:space="preserve">a.  </w:t>
      </w:r>
      <w:r>
        <w:rPr>
          <w:rFonts w:eastAsia="Arial" w:cs="Arial"/>
          <w:sz w:val="22"/>
          <w:szCs w:val="22"/>
        </w:rPr>
        <w:t>This Provider shall maintain a documented PPE and hand hygiene supply inventory. Supplies shall be checked monthly and replenished before any category drops below a ten (10) day supply.</w:t>
      </w:r>
    </w:p>
    <w:p>
      <w:pPr>
        <w:pStyle w:val="Normal"/>
        <w:spacing w:before="30" w:after="30"/>
        <w:ind w:hanging="360" w:start="720"/>
        <w:rPr/>
      </w:pPr>
      <w:r>
        <w:rPr>
          <w:rFonts w:eastAsia="Arial" w:cs="Arial"/>
          <w:b/>
          <w:bCs/>
          <w:sz w:val="22"/>
          <w:szCs w:val="22"/>
        </w:rPr>
        <w:t xml:space="preserve">b.  </w:t>
      </w:r>
      <w:r>
        <w:rPr>
          <w:rFonts w:eastAsia="Arial" w:cs="Arial"/>
          <w:sz w:val="22"/>
          <w:szCs w:val="22"/>
        </w:rPr>
        <w:t>PPE shall be stored in a clean, dry, accessible location.</w:t>
      </w:r>
    </w:p>
    <w:p>
      <w:pPr>
        <w:pStyle w:val="Normal"/>
        <w:spacing w:before="140" w:after="60"/>
        <w:rPr/>
      </w:pPr>
      <w:r>
        <w:rPr>
          <w:rFonts w:eastAsia="Arial" w:cs="Arial"/>
          <w:b/>
          <w:bCs/>
          <w:sz w:val="22"/>
          <w:szCs w:val="22"/>
          <w:u w:val="single"/>
        </w:rPr>
        <w:t>H. Staff Education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All staff shall receive infection prevention and control training at orientation and annually, covering: standard precautions, hand hygiene technique, correct PPE use and removal, environmental hygiene requirements, symptoms requiring work restriction, and reporting procedures.</w:t>
      </w:r>
    </w:p>
    <w:p>
      <w:pPr>
        <w:pStyle w:val="Normal"/>
        <w:spacing w:before="30" w:after="30"/>
        <w:ind w:hanging="360" w:start="720"/>
        <w:rPr/>
      </w:pPr>
      <w:r>
        <w:rPr>
          <w:rFonts w:eastAsia="Arial" w:cs="Arial"/>
          <w:b/>
          <w:bCs/>
          <w:sz w:val="22"/>
          <w:szCs w:val="22"/>
        </w:rPr>
        <w:t xml:space="preserve">b.  </w:t>
      </w:r>
      <w:r>
        <w:rPr>
          <w:rFonts w:eastAsia="Arial" w:cs="Arial"/>
          <w:sz w:val="22"/>
          <w:szCs w:val="22"/>
        </w:rPr>
        <w:t>Competency in correct hand hygiene and PPE donning/doffing shall be assessed at orientation and annually (see Policy 2.01).</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Annual IPC Risk Assessment</w:t>
      </w:r>
    </w:p>
    <w:p>
      <w:pPr>
        <w:pStyle w:val="ListParagraph"/>
        <w:numPr>
          <w:ilvl w:val="0"/>
          <w:numId w:val="1"/>
        </w:numPr>
        <w:spacing w:before="30" w:after="30"/>
        <w:rPr/>
      </w:pPr>
      <w:r>
        <w:rPr>
          <w:rFonts w:eastAsia="Arial" w:cs="Arial"/>
          <w:sz w:val="22"/>
          <w:szCs w:val="22"/>
        </w:rPr>
        <w:t>Infection Surveillance Log</w:t>
      </w:r>
    </w:p>
    <w:p>
      <w:pPr>
        <w:pStyle w:val="ListParagraph"/>
        <w:numPr>
          <w:ilvl w:val="0"/>
          <w:numId w:val="1"/>
        </w:numPr>
        <w:spacing w:before="30" w:after="30"/>
        <w:rPr/>
      </w:pPr>
      <w:r>
        <w:rPr>
          <w:rFonts w:eastAsia="Arial" w:cs="Arial"/>
          <w:sz w:val="22"/>
          <w:szCs w:val="22"/>
        </w:rPr>
        <w:t>Environmental Hygiene Schedule</w:t>
      </w:r>
    </w:p>
    <w:p>
      <w:pPr>
        <w:pStyle w:val="ListParagraph"/>
        <w:numPr>
          <w:ilvl w:val="0"/>
          <w:numId w:val="1"/>
        </w:numPr>
        <w:spacing w:before="30" w:after="30"/>
        <w:rPr/>
      </w:pPr>
      <w:r>
        <w:rPr>
          <w:rFonts w:eastAsia="Arial" w:cs="Arial"/>
          <w:sz w:val="22"/>
          <w:szCs w:val="22"/>
        </w:rPr>
        <w:t>PPE and Supply Inventory Log</w:t>
      </w:r>
    </w:p>
    <w:p>
      <w:pPr>
        <w:pStyle w:val="ListParagraph"/>
        <w:numPr>
          <w:ilvl w:val="0"/>
          <w:numId w:val="1"/>
        </w:numPr>
        <w:spacing w:before="30" w:after="30"/>
        <w:rPr/>
      </w:pPr>
      <w:r>
        <w:rPr>
          <w:rFonts w:eastAsia="Arial" w:cs="Arial"/>
          <w:sz w:val="22"/>
          <w:szCs w:val="22"/>
        </w:rPr>
        <w:t>Occupational Exposure Report</w:t>
      </w:r>
    </w:p>
    <w:p>
      <w:pPr>
        <w:pStyle w:val="ListParagraph"/>
        <w:numPr>
          <w:ilvl w:val="0"/>
          <w:numId w:val="1"/>
        </w:numPr>
        <w:spacing w:before="30" w:after="30"/>
        <w:rPr/>
      </w:pPr>
      <w:r>
        <w:rPr>
          <w:rFonts w:eastAsia="Arial" w:cs="Arial"/>
          <w:sz w:val="22"/>
          <w:szCs w:val="22"/>
        </w:rPr>
        <w:t>Incident Report Form (Policy 5.00)</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#5.03: COVID-19, Pandemic Response &amp; Communicable Disease Protocols</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Health &amp; Safety</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5.03</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IC.01 (JC Infection Control); CDC Community Setting Pandemic Guidance; State Public Health Emergency Regulations; Communicable Disease Reporting Requirements</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[Provider Name /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establish the framework for this Provider's response to COVID-19 and future pandemic or public health emergency events, ensuring the health and safety of individuals served and staff while maintaining regulatory compliance and continuity of care.</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This Provider shall follow current CDC guidance, state public health authority directives, and licensing agency requirements for pandemic response. This policy shall be updated whenever guidance changes materially. During any declared public health emergency, this Provider shall implement enhanced precautions consistent with the nature of the pathogen and state/local directives. The health and continuity of care for individuals served is the paramount priority.</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Monitoring and Early Detection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Staff shall conduct daily health screening of all individuals in the home, documenting: temperature (if indicated by current guidance), respiratory symptoms, gastrointestinal symptoms, and any change from baseline. Screening documentation shall be maintained in the Shift Communication Log.</w:t>
      </w:r>
    </w:p>
    <w:p>
      <w:pPr>
        <w:pStyle w:val="Normal"/>
        <w:spacing w:before="30" w:after="30"/>
        <w:ind w:hanging="360" w:start="720"/>
        <w:rPr/>
      </w:pPr>
      <w:r>
        <w:rPr>
          <w:rFonts w:eastAsia="Arial" w:cs="Arial"/>
          <w:b/>
          <w:bCs/>
          <w:sz w:val="22"/>
          <w:szCs w:val="22"/>
        </w:rPr>
        <w:t xml:space="preserve">b.  </w:t>
      </w:r>
      <w:r>
        <w:rPr>
          <w:rFonts w:eastAsia="Arial" w:cs="Arial"/>
          <w:sz w:val="22"/>
          <w:szCs w:val="22"/>
        </w:rPr>
        <w:t>Staff who develop symptoms consistent with a communicable disease or pandemic illness shall contact the Administrator before reporting to work. Work restrictions per Policy 5.02 shall apply.</w:t>
      </w:r>
    </w:p>
    <w:p>
      <w:pPr>
        <w:pStyle w:val="Normal"/>
        <w:spacing w:before="30" w:after="30"/>
        <w:ind w:hanging="360" w:start="720"/>
        <w:rPr/>
      </w:pPr>
      <w:r>
        <w:rPr>
          <w:rFonts w:eastAsia="Arial" w:cs="Arial"/>
          <w:b/>
          <w:bCs/>
          <w:sz w:val="22"/>
          <w:szCs w:val="22"/>
        </w:rPr>
        <w:t xml:space="preserve">c.  </w:t>
      </w:r>
      <w:r>
        <w:rPr>
          <w:rFonts w:eastAsia="Arial" w:cs="Arial"/>
          <w:sz w:val="22"/>
          <w:szCs w:val="22"/>
        </w:rPr>
        <w:t>This Provider shall maintain current contact information for: the supervising agency, the state public health authority, the individual's primary care provider, and the local health department.</w:t>
      </w:r>
    </w:p>
    <w:p>
      <w:pPr>
        <w:pStyle w:val="Normal"/>
        <w:spacing w:before="140" w:after="60"/>
        <w:rPr/>
      </w:pPr>
      <w:r>
        <w:rPr>
          <w:rFonts w:eastAsia="Arial" w:cs="Arial"/>
          <w:b/>
          <w:bCs/>
          <w:sz w:val="22"/>
          <w:szCs w:val="22"/>
          <w:u w:val="single"/>
        </w:rPr>
        <w:t>B. Confirmed or Suspected Case in the Facility</w:t>
      </w:r>
    </w:p>
    <w:p>
      <w:pPr>
        <w:pStyle w:val="Normal"/>
        <w:spacing w:before="30" w:after="30"/>
        <w:ind w:hanging="360" w:start="720"/>
        <w:rPr/>
      </w:pPr>
      <w:r>
        <w:rPr>
          <w:rFonts w:eastAsia="Arial" w:cs="Arial"/>
          <w:b/>
          <w:bCs/>
          <w:sz w:val="22"/>
          <w:szCs w:val="22"/>
        </w:rPr>
        <w:t xml:space="preserve">a.  </w:t>
      </w:r>
      <w:r>
        <w:rPr>
          <w:rFonts w:eastAsia="Arial" w:cs="Arial"/>
          <w:sz w:val="22"/>
          <w:szCs w:val="22"/>
        </w:rPr>
        <w:t>The affected individual shall be supported in their room with the door closed to the extent possible, consistent with their care needs and rights.</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individual's primary care provider shall be contacted for testing, treatment guidance, and isolation duration instructions.</w:t>
      </w:r>
    </w:p>
    <w:p>
      <w:pPr>
        <w:pStyle w:val="Normal"/>
        <w:spacing w:before="30" w:after="30"/>
        <w:ind w:hanging="360" w:start="720"/>
        <w:rPr/>
      </w:pPr>
      <w:r>
        <w:rPr>
          <w:rFonts w:eastAsia="Arial" w:cs="Arial"/>
          <w:b/>
          <w:bCs/>
          <w:sz w:val="22"/>
          <w:szCs w:val="22"/>
        </w:rPr>
        <w:t xml:space="preserve">c.  </w:t>
      </w:r>
      <w:r>
        <w:rPr>
          <w:rFonts w:eastAsia="Arial" w:cs="Arial"/>
          <w:sz w:val="22"/>
          <w:szCs w:val="22"/>
        </w:rPr>
        <w:t>The supervising agency and appropriate state public health authority shall be notified within twenty-four (24) hours of a confirmed case, per current reporting requirements.</w:t>
      </w:r>
    </w:p>
    <w:p>
      <w:pPr>
        <w:pStyle w:val="Normal"/>
        <w:spacing w:before="30" w:after="30"/>
        <w:ind w:hanging="360" w:start="720"/>
        <w:rPr/>
      </w:pPr>
      <w:r>
        <w:rPr>
          <w:rFonts w:eastAsia="Arial" w:cs="Arial"/>
          <w:b/>
          <w:bCs/>
          <w:sz w:val="22"/>
          <w:szCs w:val="22"/>
        </w:rPr>
        <w:t xml:space="preserve">d.  </w:t>
      </w:r>
      <w:r>
        <w:rPr>
          <w:rFonts w:eastAsia="Arial" w:cs="Arial"/>
          <w:sz w:val="22"/>
          <w:szCs w:val="22"/>
        </w:rPr>
        <w:t>Close contacts among other household members (individuals and staff) shall be notified per current public health guidance. Staff shall be informed of potential exposure without disclosing the affected individual's identity beyond what is required for their protection.</w:t>
      </w:r>
    </w:p>
    <w:p>
      <w:pPr>
        <w:pStyle w:val="Normal"/>
        <w:spacing w:before="140" w:after="60"/>
        <w:rPr/>
      </w:pPr>
      <w:r>
        <w:rPr>
          <w:rFonts w:eastAsia="Arial" w:cs="Arial"/>
          <w:b/>
          <w:bCs/>
          <w:sz w:val="22"/>
          <w:szCs w:val="22"/>
          <w:u w:val="single"/>
        </w:rPr>
        <w:t>C. PPE and Supply Management During Pandemic</w:t>
      </w:r>
    </w:p>
    <w:p>
      <w:pPr>
        <w:pStyle w:val="Normal"/>
        <w:spacing w:before="30" w:after="30"/>
        <w:ind w:hanging="360" w:start="720"/>
        <w:rPr/>
      </w:pPr>
      <w:r>
        <w:rPr>
          <w:rFonts w:eastAsia="Arial" w:cs="Arial"/>
          <w:b/>
          <w:bCs/>
          <w:sz w:val="22"/>
          <w:szCs w:val="22"/>
        </w:rPr>
        <w:t xml:space="preserve">a.  </w:t>
      </w:r>
      <w:r>
        <w:rPr>
          <w:rFonts w:eastAsia="Arial" w:cs="Arial"/>
          <w:sz w:val="22"/>
          <w:szCs w:val="22"/>
        </w:rPr>
        <w:t>This Provider shall maintain a dedicated pandemic supply cache, separate from routine supplies, sufficient for at minimum thirty (30) days of enhanced precautions for the current household census. The cache shall include: surgical and N95 masks, gloves (multiple sizes), gowns/aprons, face shields or safety glasses, hand sanitizer, soap, disinfecting wipes, and cleaning products.</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pandemic supply cache inventory shall be checked monthly and replenished before it drops below a thirty (30) day supply.</w:t>
      </w:r>
    </w:p>
    <w:p>
      <w:pPr>
        <w:pStyle w:val="Normal"/>
        <w:spacing w:before="140" w:after="60"/>
        <w:rPr/>
      </w:pPr>
      <w:r>
        <w:rPr>
          <w:rFonts w:eastAsia="Arial" w:cs="Arial"/>
          <w:b/>
          <w:bCs/>
          <w:sz w:val="22"/>
          <w:szCs w:val="22"/>
          <w:u w:val="single"/>
        </w:rPr>
        <w:t>D. Vaccination Policy</w:t>
      </w:r>
    </w:p>
    <w:p>
      <w:pPr>
        <w:pStyle w:val="Normal"/>
        <w:spacing w:before="30" w:after="30"/>
        <w:ind w:hanging="360" w:start="720"/>
        <w:rPr/>
      </w:pPr>
      <w:r>
        <w:rPr>
          <w:rFonts w:eastAsia="Arial" w:cs="Arial"/>
          <w:b/>
          <w:bCs/>
          <w:sz w:val="22"/>
          <w:szCs w:val="22"/>
        </w:rPr>
        <w:t xml:space="preserve">a.  </w:t>
      </w:r>
      <w:r>
        <w:rPr>
          <w:rFonts w:eastAsia="Arial" w:cs="Arial"/>
          <w:sz w:val="22"/>
          <w:szCs w:val="22"/>
        </w:rPr>
        <w:t>This Provider shall facilitate access to recommended vaccinations (COVID-19, influenza, and others recommended by public health authorities) for interested individuals and staff.</w:t>
      </w:r>
    </w:p>
    <w:p>
      <w:pPr>
        <w:pStyle w:val="Normal"/>
        <w:spacing w:before="30" w:after="30"/>
        <w:ind w:hanging="360" w:start="720"/>
        <w:rPr/>
      </w:pPr>
      <w:r>
        <w:rPr>
          <w:rFonts w:eastAsia="Arial" w:cs="Arial"/>
          <w:b/>
          <w:bCs/>
          <w:sz w:val="22"/>
          <w:szCs w:val="22"/>
        </w:rPr>
        <w:t xml:space="preserve">b.  </w:t>
      </w:r>
      <w:r>
        <w:rPr>
          <w:rFonts w:eastAsia="Arial" w:cs="Arial"/>
          <w:sz w:val="22"/>
          <w:szCs w:val="22"/>
        </w:rPr>
        <w:t>Vaccination is voluntary. Vaccination status is confidential health information protected under HIPAA. Records of vaccination status shall be maintained in a confidential, locked file separate from other personnel records. Vaccination status shall not be disclosed without the individual's or staff member's written authorization.</w:t>
      </w:r>
    </w:p>
    <w:p>
      <w:pPr>
        <w:pStyle w:val="Normal"/>
        <w:spacing w:before="30" w:after="30"/>
        <w:ind w:hanging="360" w:start="720"/>
        <w:rPr/>
      </w:pPr>
      <w:r>
        <w:rPr>
          <w:rFonts w:eastAsia="Arial" w:cs="Arial"/>
          <w:b/>
          <w:bCs/>
          <w:sz w:val="22"/>
          <w:szCs w:val="22"/>
        </w:rPr>
        <w:t xml:space="preserve">c.  </w:t>
      </w:r>
      <w:r>
        <w:rPr>
          <w:rFonts w:eastAsia="Arial" w:cs="Arial"/>
          <w:sz w:val="22"/>
          <w:szCs w:val="22"/>
        </w:rPr>
        <w:t>Individuals served shall never be pressured or coerced regarding vaccination decisions. The decision shall rest with the individual and/or their legal guardian, with guidance from their physician.</w:t>
      </w:r>
    </w:p>
    <w:p>
      <w:pPr>
        <w:pStyle w:val="Normal"/>
        <w:spacing w:before="140" w:after="60"/>
        <w:rPr/>
      </w:pPr>
      <w:r>
        <w:rPr>
          <w:rFonts w:eastAsia="Arial" w:cs="Arial"/>
          <w:b/>
          <w:bCs/>
          <w:sz w:val="22"/>
          <w:szCs w:val="22"/>
          <w:u w:val="single"/>
        </w:rPr>
        <w:t>E. Communication During Public Health Emergencies</w:t>
      </w:r>
    </w:p>
    <w:p>
      <w:pPr>
        <w:pStyle w:val="Normal"/>
        <w:spacing w:before="30" w:after="30"/>
        <w:ind w:hanging="360" w:start="720"/>
        <w:rPr/>
      </w:pPr>
      <w:r>
        <w:rPr>
          <w:rFonts w:eastAsia="Arial" w:cs="Arial"/>
          <w:b/>
          <w:bCs/>
          <w:sz w:val="22"/>
          <w:szCs w:val="22"/>
        </w:rPr>
        <w:t xml:space="preserve">a.  </w:t>
      </w:r>
      <w:r>
        <w:rPr>
          <w:rFonts w:eastAsia="Arial" w:cs="Arial"/>
          <w:sz w:val="22"/>
          <w:szCs w:val="22"/>
        </w:rPr>
        <w:t>During any declared public health emergency, the Administrator shall provide regular updates to: the supervising agency (per their required reporting frequency), the individuals' guardians or emergency contacts, and incoming staff before each shift.</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Administrator shall document all communications made during a public health emergency and all decisions about operational adjustments, together with the public health or licensing guidance on which each decision is based.</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Shift Communication Log</w:t>
      </w:r>
    </w:p>
    <w:p>
      <w:pPr>
        <w:pStyle w:val="ListParagraph"/>
        <w:numPr>
          <w:ilvl w:val="0"/>
          <w:numId w:val="1"/>
        </w:numPr>
        <w:spacing w:before="30" w:after="30"/>
        <w:rPr/>
      </w:pPr>
      <w:r>
        <w:rPr>
          <w:rFonts w:eastAsia="Arial" w:cs="Arial"/>
          <w:sz w:val="22"/>
          <w:szCs w:val="22"/>
        </w:rPr>
        <w:t>Pandemic Supply Cache Inventory</w:t>
      </w:r>
    </w:p>
    <w:p>
      <w:pPr>
        <w:pStyle w:val="ListParagraph"/>
        <w:numPr>
          <w:ilvl w:val="0"/>
          <w:numId w:val="1"/>
        </w:numPr>
        <w:spacing w:before="30" w:after="30"/>
        <w:rPr/>
      </w:pPr>
      <w:r>
        <w:rPr>
          <w:rFonts w:eastAsia="Arial" w:cs="Arial"/>
          <w:sz w:val="22"/>
          <w:szCs w:val="22"/>
        </w:rPr>
        <w:t>State Public Health Reporting Contact (Appendix B)</w:t>
      </w:r>
    </w:p>
    <w:p>
      <w:pPr>
        <w:pStyle w:val="ListParagraph"/>
        <w:numPr>
          <w:ilvl w:val="0"/>
          <w:numId w:val="1"/>
        </w:numPr>
        <w:spacing w:before="30" w:after="30"/>
        <w:rPr/>
      </w:pPr>
      <w:r>
        <w:rPr>
          <w:rFonts w:eastAsia="Arial" w:cs="Arial"/>
          <w:sz w:val="22"/>
          <w:szCs w:val="22"/>
        </w:rPr>
        <w:t>Incident Report Form (Policy 5.00)</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#5.04: Environment of Care — Safety, Utility Management &amp; Hazardous Materials</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Facilities / Safety</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5.04</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EC.01–EC.04 (JC Environment of Care); LS.01 (JC Life Safety); State Residential Facility Physical Standards; OSHA Hazard Communication Standard 29 CFR 1910.1200</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[Provider Name /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establish a comprehensive Environment of Care (EC) program that maintains a safe, clean, accessible, and home-like residential setting through formal annual risk assessment, proactive safety inspections, utility systems management, a structured hazardous materials program, and security management — aligned with Joint Commission Environment of Care standards applicable to community residential settings.</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This Provider shall maintain the home environment in a condition that is consistently safe, sanitary, and comfortable. Safety is managed proactively through regular risk assessment and inspections, not reactively after incidents occur. Hazardous materials shall be managed with the same rigor applied to medications. Utility failures shall trigger an established response protocol that prioritizes the health and safety of individuals served.</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Annual Environment of Care Risk Assessment</w:t>
      </w:r>
    </w:p>
    <w:p>
      <w:pPr>
        <w:pStyle w:val="Normal"/>
        <w:spacing w:before="30" w:after="30"/>
        <w:ind w:hanging="360" w:start="720"/>
        <w:rPr/>
      </w:pPr>
      <w:r>
        <w:rPr>
          <w:rFonts w:eastAsia="Arial" w:cs="Arial"/>
          <w:b/>
          <w:bCs/>
          <w:sz w:val="22"/>
          <w:szCs w:val="22"/>
        </w:rPr>
        <w:t xml:space="preserve">a.  </w:t>
      </w:r>
      <w:r>
        <w:rPr>
          <w:rFonts w:eastAsia="Arial" w:cs="Arial"/>
          <w:sz w:val="22"/>
          <w:szCs w:val="22"/>
        </w:rPr>
        <w:t>An annual formal Environment of Care Risk Assessment shall be completed by the Administrator or designee. The purpose is to proactively identify environmental hazards or risks before they cause harm.</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EC Risk Assessment shall examine:</w:t>
      </w:r>
    </w:p>
    <w:p>
      <w:pPr>
        <w:pStyle w:val="ListParagraph"/>
        <w:numPr>
          <w:ilvl w:val="1"/>
          <w:numId w:val="1"/>
        </w:numPr>
        <w:spacing w:before="30" w:after="30"/>
        <w:rPr/>
      </w:pPr>
      <w:r>
        <w:rPr>
          <w:rFonts w:eastAsia="Arial" w:cs="Arial"/>
          <w:sz w:val="22"/>
          <w:szCs w:val="22"/>
        </w:rPr>
        <w:t>Physical safety: fall hazards, electrical hazards, structural concerns, furniture and equipment safety</w:t>
      </w:r>
    </w:p>
    <w:p>
      <w:pPr>
        <w:pStyle w:val="ListParagraph"/>
        <w:numPr>
          <w:ilvl w:val="1"/>
          <w:numId w:val="1"/>
        </w:numPr>
        <w:spacing w:before="30" w:after="30"/>
        <w:rPr/>
      </w:pPr>
      <w:r>
        <w:rPr>
          <w:rFonts w:eastAsia="Arial" w:cs="Arial"/>
          <w:sz w:val="22"/>
          <w:szCs w:val="22"/>
        </w:rPr>
        <w:t>Access and egress: exit accessibility, evacuation route clarity, elevator functionality if applicable</w:t>
      </w:r>
    </w:p>
    <w:p>
      <w:pPr>
        <w:pStyle w:val="ListParagraph"/>
        <w:numPr>
          <w:ilvl w:val="1"/>
          <w:numId w:val="1"/>
        </w:numPr>
        <w:spacing w:before="30" w:after="30"/>
        <w:rPr/>
      </w:pPr>
      <w:r>
        <w:rPr>
          <w:rFonts w:eastAsia="Arial" w:cs="Arial"/>
          <w:sz w:val="22"/>
          <w:szCs w:val="22"/>
        </w:rPr>
        <w:t>Temperature and environmental comfort: heating, cooling, ventilation adequacy</w:t>
      </w:r>
    </w:p>
    <w:p>
      <w:pPr>
        <w:pStyle w:val="ListParagraph"/>
        <w:numPr>
          <w:ilvl w:val="1"/>
          <w:numId w:val="1"/>
        </w:numPr>
        <w:spacing w:before="30" w:after="30"/>
        <w:rPr/>
      </w:pPr>
      <w:r>
        <w:rPr>
          <w:rFonts w:eastAsia="Arial" w:cs="Arial"/>
          <w:sz w:val="22"/>
          <w:szCs w:val="22"/>
        </w:rPr>
        <w:t>Security: access control adequacy, lighting, any history of security incidents</w:t>
      </w:r>
    </w:p>
    <w:p>
      <w:pPr>
        <w:pStyle w:val="ListParagraph"/>
        <w:numPr>
          <w:ilvl w:val="1"/>
          <w:numId w:val="1"/>
        </w:numPr>
        <w:spacing w:before="30" w:after="30"/>
        <w:rPr/>
      </w:pPr>
      <w:r>
        <w:rPr>
          <w:rFonts w:eastAsia="Arial" w:cs="Arial"/>
          <w:sz w:val="22"/>
          <w:szCs w:val="22"/>
        </w:rPr>
        <w:t>Hazardous materials: inventory accuracy, storage adequacy, disposal compliance</w:t>
      </w:r>
    </w:p>
    <w:p>
      <w:pPr>
        <w:pStyle w:val="ListParagraph"/>
        <w:numPr>
          <w:ilvl w:val="1"/>
          <w:numId w:val="1"/>
        </w:numPr>
        <w:spacing w:before="30" w:after="30"/>
        <w:rPr/>
      </w:pPr>
      <w:r>
        <w:rPr>
          <w:rFonts w:eastAsia="Arial" w:cs="Arial"/>
          <w:sz w:val="22"/>
          <w:szCs w:val="22"/>
        </w:rPr>
        <w:t>Utility systems: reliability history, backup capability</w:t>
      </w:r>
    </w:p>
    <w:p>
      <w:pPr>
        <w:pStyle w:val="ListParagraph"/>
        <w:numPr>
          <w:ilvl w:val="1"/>
          <w:numId w:val="1"/>
        </w:numPr>
        <w:spacing w:before="30" w:after="30"/>
        <w:rPr/>
      </w:pPr>
      <w:r>
        <w:rPr>
          <w:rFonts w:eastAsia="Arial" w:cs="Arial"/>
          <w:sz w:val="22"/>
          <w:szCs w:val="22"/>
        </w:rPr>
        <w:t>Individual-specific risks: any environmental modifications needed for individuals with specific physical, behavioral, or sensory needs</w:t>
      </w:r>
    </w:p>
    <w:p>
      <w:pPr>
        <w:pStyle w:val="Normal"/>
        <w:spacing w:before="30" w:after="30"/>
        <w:ind w:hanging="360" w:start="720"/>
        <w:rPr/>
      </w:pPr>
      <w:r>
        <w:rPr>
          <w:rFonts w:eastAsia="Arial" w:cs="Arial"/>
          <w:b/>
          <w:bCs/>
          <w:sz w:val="22"/>
          <w:szCs w:val="22"/>
        </w:rPr>
        <w:t xml:space="preserve">c.  </w:t>
      </w:r>
      <w:r>
        <w:rPr>
          <w:rFonts w:eastAsia="Arial" w:cs="Arial"/>
          <w:sz w:val="22"/>
          <w:szCs w:val="22"/>
        </w:rPr>
        <w:t>The EC Risk Assessment shall produce a prioritized list of identified risks and a corrective action plan. High-priority risks shall be addressed within thirty (30) days; life-safety risks shall be addressed immediately. The completed assessment shall be signed by the Administrator and filed.</w:t>
      </w:r>
    </w:p>
    <w:p>
      <w:pPr>
        <w:pStyle w:val="Normal"/>
        <w:spacing w:before="30" w:after="30"/>
        <w:ind w:hanging="360" w:start="720"/>
        <w:rPr/>
      </w:pPr>
      <w:r>
        <w:rPr>
          <w:rFonts w:eastAsia="Arial" w:cs="Arial"/>
          <w:b/>
          <w:bCs/>
          <w:sz w:val="22"/>
          <w:szCs w:val="22"/>
        </w:rPr>
        <w:t xml:space="preserve">d.  </w:t>
      </w:r>
      <w:r>
        <w:rPr>
          <w:rFonts w:eastAsia="Arial" w:cs="Arial"/>
          <w:sz w:val="22"/>
          <w:szCs w:val="22"/>
        </w:rPr>
        <w:t>The prior year's EC Risk Assessment shall be reviewed at the annual assessment to evaluate progress on identified corrective actions.</w:t>
      </w:r>
    </w:p>
    <w:p>
      <w:pPr>
        <w:pStyle w:val="Normal"/>
        <w:spacing w:before="140" w:after="60"/>
        <w:rPr/>
      </w:pPr>
      <w:r>
        <w:rPr>
          <w:rFonts w:eastAsia="Arial" w:cs="Arial"/>
          <w:b/>
          <w:bCs/>
          <w:sz w:val="22"/>
          <w:szCs w:val="22"/>
          <w:u w:val="single"/>
        </w:rPr>
        <w:t>B. Monthly Safety Inspections</w:t>
      </w:r>
    </w:p>
    <w:p>
      <w:pPr>
        <w:pStyle w:val="Normal"/>
        <w:spacing w:before="40" w:after="60"/>
        <w:rPr/>
      </w:pPr>
      <w:r>
        <w:rPr>
          <w:rFonts w:eastAsia="Arial" w:cs="Arial"/>
          <w:sz w:val="22"/>
          <w:szCs w:val="22"/>
        </w:rPr>
        <w:t>The Administrator or designee shall conduct a documented monthly safety walkthrough of all areas of the home, inspecting at minimum:</w:t>
      </w:r>
    </w:p>
    <w:p>
      <w:pPr>
        <w:pStyle w:val="Normal"/>
        <w:spacing w:before="30" w:after="30"/>
        <w:ind w:hanging="360" w:start="720"/>
        <w:rPr/>
      </w:pPr>
      <w:r>
        <w:rPr>
          <w:rFonts w:eastAsia="Arial" w:cs="Arial"/>
          <w:b/>
          <w:bCs/>
          <w:sz w:val="22"/>
          <w:szCs w:val="22"/>
        </w:rPr>
        <w:t xml:space="preserve">a.  </w:t>
      </w:r>
      <w:r>
        <w:rPr>
          <w:rFonts w:eastAsia="Arial" w:cs="Arial"/>
          <w:sz w:val="22"/>
          <w:szCs w:val="22"/>
        </w:rPr>
        <w:t>Smoke detectors — test function, replace batteries at least annually (and immediately if any test fails), document test results</w:t>
      </w:r>
    </w:p>
    <w:p>
      <w:pPr>
        <w:pStyle w:val="Normal"/>
        <w:spacing w:before="30" w:after="30"/>
        <w:ind w:hanging="360" w:start="720"/>
        <w:rPr/>
      </w:pPr>
      <w:r>
        <w:rPr>
          <w:rFonts w:eastAsia="Arial" w:cs="Arial"/>
          <w:b/>
          <w:bCs/>
          <w:sz w:val="22"/>
          <w:szCs w:val="22"/>
        </w:rPr>
        <w:t xml:space="preserve">b.  </w:t>
      </w:r>
      <w:r>
        <w:rPr>
          <w:rFonts w:eastAsia="Arial" w:cs="Arial"/>
          <w:sz w:val="22"/>
          <w:szCs w:val="22"/>
        </w:rPr>
        <w:t>Carbon monoxide detectors — test function, verify adequate placement near sleeping areas</w:t>
      </w:r>
    </w:p>
    <w:p>
      <w:pPr>
        <w:pStyle w:val="Normal"/>
        <w:spacing w:before="30" w:after="30"/>
        <w:ind w:hanging="360" w:start="720"/>
        <w:rPr/>
      </w:pPr>
      <w:r>
        <w:rPr>
          <w:rFonts w:eastAsia="Arial" w:cs="Arial"/>
          <w:b/>
          <w:bCs/>
          <w:sz w:val="22"/>
          <w:szCs w:val="22"/>
        </w:rPr>
        <w:t xml:space="preserve">c.  </w:t>
      </w:r>
      <w:r>
        <w:rPr>
          <w:rFonts w:eastAsia="Arial" w:cs="Arial"/>
          <w:sz w:val="22"/>
          <w:szCs w:val="22"/>
        </w:rPr>
        <w:t>Fire extinguishers — verify current annual inspection tag, confirm accessible placement, confirm pin and seal intact</w:t>
      </w:r>
    </w:p>
    <w:p>
      <w:pPr>
        <w:pStyle w:val="Normal"/>
        <w:spacing w:before="30" w:after="30"/>
        <w:ind w:hanging="360" w:start="720"/>
        <w:rPr/>
      </w:pPr>
      <w:r>
        <w:rPr>
          <w:rFonts w:eastAsia="Arial" w:cs="Arial"/>
          <w:b/>
          <w:bCs/>
          <w:sz w:val="22"/>
          <w:szCs w:val="22"/>
        </w:rPr>
        <w:t xml:space="preserve">d.  </w:t>
      </w:r>
      <w:r>
        <w:rPr>
          <w:rFonts w:eastAsia="Arial" w:cs="Arial"/>
          <w:sz w:val="22"/>
          <w:szCs w:val="22"/>
        </w:rPr>
        <w:t>All exits (front, back, windows designated as secondary egress) — confirm unobstructed, confirm functional from inside without a key, confirm lighting adequate</w:t>
      </w:r>
    </w:p>
    <w:p>
      <w:pPr>
        <w:pStyle w:val="Normal"/>
        <w:spacing w:before="30" w:after="30"/>
        <w:ind w:hanging="360" w:start="720"/>
        <w:rPr/>
      </w:pPr>
      <w:r>
        <w:rPr>
          <w:rFonts w:eastAsia="Arial" w:cs="Arial"/>
          <w:b/>
          <w:bCs/>
          <w:sz w:val="22"/>
          <w:szCs w:val="22"/>
        </w:rPr>
        <w:t xml:space="preserve">e.  </w:t>
      </w:r>
      <w:r>
        <w:rPr>
          <w:rFonts w:eastAsia="Arial" w:cs="Arial"/>
          <w:sz w:val="22"/>
          <w:szCs w:val="22"/>
        </w:rPr>
        <w:t>Stairways and hallways — confirm clear, adequate lighting, handrails secure</w:t>
      </w:r>
    </w:p>
    <w:p>
      <w:pPr>
        <w:pStyle w:val="Normal"/>
        <w:spacing w:before="30" w:after="30"/>
        <w:ind w:hanging="360" w:start="720"/>
        <w:rPr/>
      </w:pPr>
      <w:r>
        <w:rPr>
          <w:rFonts w:eastAsia="Arial" w:cs="Arial"/>
          <w:b/>
          <w:bCs/>
          <w:sz w:val="22"/>
          <w:szCs w:val="22"/>
        </w:rPr>
        <w:t xml:space="preserve">f.  </w:t>
      </w:r>
      <w:r>
        <w:rPr>
          <w:rFonts w:eastAsia="Arial" w:cs="Arial"/>
          <w:sz w:val="22"/>
          <w:szCs w:val="22"/>
        </w:rPr>
        <w:t>Kitchen — safe appliance condition, no expired food items, sanitary surfaces, no unsecured sharp instruments</w:t>
      </w:r>
    </w:p>
    <w:p>
      <w:pPr>
        <w:pStyle w:val="Normal"/>
        <w:spacing w:before="30" w:after="30"/>
        <w:ind w:hanging="360" w:start="720"/>
        <w:rPr/>
      </w:pPr>
      <w:r>
        <w:rPr>
          <w:rFonts w:eastAsia="Arial" w:cs="Arial"/>
          <w:b/>
          <w:bCs/>
          <w:sz w:val="22"/>
          <w:szCs w:val="22"/>
        </w:rPr>
        <w:t xml:space="preserve">g.  </w:t>
      </w:r>
      <w:r>
        <w:rPr>
          <w:rFonts w:eastAsia="Arial" w:cs="Arial"/>
          <w:sz w:val="22"/>
          <w:szCs w:val="22"/>
        </w:rPr>
        <w:t>Bathrooms — grab bars secure (if installed), surfaces clean, no slip hazards, hot water temperature ≤120°F to prevent scalding</w:t>
      </w:r>
    </w:p>
    <w:p>
      <w:pPr>
        <w:pStyle w:val="Normal"/>
        <w:spacing w:before="30" w:after="30"/>
        <w:ind w:hanging="360" w:start="720"/>
        <w:rPr/>
      </w:pPr>
      <w:r>
        <w:rPr>
          <w:rFonts w:eastAsia="Arial" w:cs="Arial"/>
          <w:b/>
          <w:bCs/>
          <w:sz w:val="22"/>
          <w:szCs w:val="22"/>
        </w:rPr>
        <w:t xml:space="preserve">h.  </w:t>
      </w:r>
      <w:r>
        <w:rPr>
          <w:rFonts w:eastAsia="Arial" w:cs="Arial"/>
          <w:sz w:val="22"/>
          <w:szCs w:val="22"/>
        </w:rPr>
        <w:t>Medication storage — locked and secure, organized, temperature appropriate</w:t>
      </w:r>
    </w:p>
    <w:p>
      <w:pPr>
        <w:pStyle w:val="Normal"/>
        <w:spacing w:before="30" w:after="30"/>
        <w:ind w:hanging="360" w:start="720"/>
        <w:rPr/>
      </w:pPr>
      <w:r>
        <w:rPr>
          <w:rFonts w:eastAsia="Arial" w:cs="Arial"/>
          <w:b/>
          <w:bCs/>
          <w:sz w:val="22"/>
          <w:szCs w:val="22"/>
        </w:rPr>
        <w:t xml:space="preserve">i.  </w:t>
      </w:r>
      <w:r>
        <w:rPr>
          <w:rFonts w:eastAsia="Arial" w:cs="Arial"/>
          <w:sz w:val="22"/>
          <w:szCs w:val="22"/>
        </w:rPr>
        <w:t>Hazardous materials storage — locked and secure (see Section E)</w:t>
      </w:r>
    </w:p>
    <w:p>
      <w:pPr>
        <w:pStyle w:val="Normal"/>
        <w:spacing w:before="30" w:after="30"/>
        <w:ind w:hanging="360" w:start="720"/>
        <w:rPr/>
      </w:pPr>
      <w:r>
        <w:rPr>
          <w:rFonts w:eastAsia="Arial" w:cs="Arial"/>
          <w:b/>
          <w:bCs/>
          <w:sz w:val="22"/>
          <w:szCs w:val="22"/>
        </w:rPr>
        <w:t xml:space="preserve">j.  </w:t>
      </w:r>
      <w:r>
        <w:rPr>
          <w:rFonts w:eastAsia="Arial" w:cs="Arial"/>
          <w:sz w:val="22"/>
          <w:szCs w:val="22"/>
        </w:rPr>
        <w:t>Electrical — no exposed wiring, no overloaded outlets or extension cords used as permanent wiring, no damaged power cords</w:t>
      </w:r>
    </w:p>
    <w:p>
      <w:pPr>
        <w:pStyle w:val="Normal"/>
        <w:spacing w:before="30" w:after="30"/>
        <w:ind w:hanging="360" w:start="720"/>
        <w:rPr/>
      </w:pPr>
      <w:r>
        <w:rPr>
          <w:rFonts w:eastAsia="Arial" w:cs="Arial"/>
          <w:b/>
          <w:bCs/>
          <w:sz w:val="22"/>
          <w:szCs w:val="22"/>
        </w:rPr>
        <w:t xml:space="preserve">k.  </w:t>
      </w:r>
      <w:r>
        <w:rPr>
          <w:rFonts w:eastAsia="Arial" w:cs="Arial"/>
          <w:sz w:val="22"/>
          <w:szCs w:val="22"/>
        </w:rPr>
        <w:t>Exterior — steps and walkways clear of debris and ice/snow hazards, exterior lighting functional, entry and exit secure</w:t>
      </w:r>
    </w:p>
    <w:p>
      <w:pPr>
        <w:pStyle w:val="Normal"/>
        <w:spacing w:before="30" w:after="30"/>
        <w:ind w:hanging="360" w:start="720"/>
        <w:rPr/>
      </w:pPr>
      <w:r>
        <w:rPr>
          <w:rFonts w:eastAsia="Arial" w:cs="Arial"/>
          <w:b/>
          <w:bCs/>
          <w:sz w:val="22"/>
          <w:szCs w:val="22"/>
        </w:rPr>
        <w:t xml:space="preserve">l.  </w:t>
      </w:r>
      <w:r>
        <w:rPr>
          <w:rFonts w:eastAsia="Arial" w:cs="Arial"/>
          <w:sz w:val="22"/>
          <w:szCs w:val="22"/>
        </w:rPr>
        <w:t>General — no standing water, no pest evidence, adequate ventilation</w:t>
      </w:r>
    </w:p>
    <w:p>
      <w:pPr>
        <w:pStyle w:val="Normal"/>
        <w:spacing w:before="40" w:after="60"/>
        <w:rPr/>
      </w:pPr>
      <w:r>
        <w:rPr>
          <w:rFonts w:eastAsia="Arial" w:cs="Arial"/>
          <w:sz w:val="22"/>
          <w:szCs w:val="22"/>
        </w:rPr>
        <w:t>All inspection findings shall be documented on the Monthly Safety Inspection Checklist. All items found deficient shall be assigned a correction timeline.</w:t>
      </w:r>
    </w:p>
    <w:p>
      <w:pPr>
        <w:pStyle w:val="Normal"/>
        <w:spacing w:before="140" w:after="60"/>
        <w:rPr/>
      </w:pPr>
      <w:r>
        <w:rPr>
          <w:rFonts w:eastAsia="Arial" w:cs="Arial"/>
          <w:b/>
          <w:bCs/>
          <w:sz w:val="22"/>
          <w:szCs w:val="22"/>
          <w:u w:val="single"/>
        </w:rPr>
        <w:t>C. Utility Systems Management</w:t>
      </w:r>
    </w:p>
    <w:p>
      <w:pPr>
        <w:pStyle w:val="Normal"/>
        <w:spacing w:before="30" w:after="30"/>
        <w:ind w:hanging="360" w:start="720"/>
        <w:rPr/>
      </w:pPr>
      <w:r>
        <w:rPr>
          <w:rFonts w:eastAsia="Arial" w:cs="Arial"/>
          <w:b/>
          <w:bCs/>
          <w:sz w:val="22"/>
          <w:szCs w:val="22"/>
        </w:rPr>
        <w:t xml:space="preserve">a.  </w:t>
      </w:r>
      <w:r>
        <w:rPr>
          <w:rFonts w:eastAsia="Arial" w:cs="Arial"/>
          <w:sz w:val="22"/>
          <w:szCs w:val="22"/>
        </w:rPr>
        <w:t>Utility systems essential for the health and safety of individuals served include: electricity, natural gas or heating fuel, potable water, and heating and cooling systems.</w:t>
      </w:r>
    </w:p>
    <w:p>
      <w:pPr>
        <w:pStyle w:val="Normal"/>
        <w:spacing w:before="30" w:after="30"/>
        <w:ind w:hanging="360" w:start="720"/>
        <w:rPr/>
      </w:pPr>
      <w:r>
        <w:rPr>
          <w:rFonts w:eastAsia="Arial" w:cs="Arial"/>
          <w:b/>
          <w:bCs/>
          <w:sz w:val="22"/>
          <w:szCs w:val="22"/>
        </w:rPr>
        <w:t xml:space="preserve">b.  </w:t>
      </w:r>
      <w:r>
        <w:rPr>
          <w:rFonts w:eastAsia="Arial" w:cs="Arial"/>
          <w:sz w:val="22"/>
          <w:szCs w:val="22"/>
        </w:rPr>
        <w:t>Utility failure response protocol: any utility failure lasting more than two (2) hours shall be reported to the supervising agency. If the utility failure creates a health or safety risk for individuals (loss of heat in cold weather, loss of power for powered medical equipment, loss of safe drinking water), the supervising agency shall be notified immediately and the continuity of care plan (Policy 5.01) shall be activated if needed.</w:t>
      </w:r>
    </w:p>
    <w:p>
      <w:pPr>
        <w:pStyle w:val="Normal"/>
        <w:spacing w:before="30" w:after="30"/>
        <w:ind w:hanging="360" w:start="720"/>
        <w:rPr/>
      </w:pPr>
      <w:r>
        <w:rPr>
          <w:rFonts w:eastAsia="Arial" w:cs="Arial"/>
          <w:b/>
          <w:bCs/>
          <w:sz w:val="22"/>
          <w:szCs w:val="22"/>
        </w:rPr>
        <w:t xml:space="preserve">c.  </w:t>
      </w:r>
      <w:r>
        <w:rPr>
          <w:rFonts w:eastAsia="Arial" w:cs="Arial"/>
          <w:sz w:val="22"/>
          <w:szCs w:val="22"/>
        </w:rPr>
        <w:t>Backup power: if any individual uses powered medical equipment (e.g., oxygen concentrator, suction machine, powered wheelchair charging), this Provider shall maintain a documented plan for alternate power in the event of a power outage, including the utility company's medical baseline or life support program enrollment if available.</w:t>
      </w:r>
    </w:p>
    <w:p>
      <w:pPr>
        <w:pStyle w:val="Normal"/>
        <w:spacing w:before="30" w:after="30"/>
        <w:ind w:hanging="360" w:start="720"/>
        <w:rPr/>
      </w:pPr>
      <w:r>
        <w:rPr>
          <w:rFonts w:eastAsia="Arial" w:cs="Arial"/>
          <w:b/>
          <w:bCs/>
          <w:sz w:val="22"/>
          <w:szCs w:val="22"/>
        </w:rPr>
        <w:t xml:space="preserve">d.  </w:t>
      </w:r>
      <w:r>
        <w:rPr>
          <w:rFonts w:eastAsia="Arial" w:cs="Arial"/>
          <w:sz w:val="22"/>
          <w:szCs w:val="22"/>
        </w:rPr>
        <w:t>Water temperature: domestic hot water shall be maintained at ≤120°F at the point of use to prevent scalding. Water temperature at bathroom fixtures shall be verified and documented at least monthly.</w:t>
      </w:r>
    </w:p>
    <w:p>
      <w:pPr>
        <w:pStyle w:val="Normal"/>
        <w:spacing w:before="30" w:after="30"/>
        <w:ind w:hanging="360" w:start="720"/>
        <w:rPr/>
      </w:pPr>
      <w:r>
        <w:rPr>
          <w:rFonts w:eastAsia="Arial" w:cs="Arial"/>
          <w:b/>
          <w:bCs/>
          <w:sz w:val="22"/>
          <w:szCs w:val="22"/>
        </w:rPr>
        <w:t xml:space="preserve">e.  </w:t>
      </w:r>
      <w:r>
        <w:rPr>
          <w:rFonts w:eastAsia="Arial" w:cs="Arial"/>
          <w:sz w:val="22"/>
          <w:szCs w:val="22"/>
        </w:rPr>
        <w:t>HVAC systems shall be serviced per manufacturer recommendations. Filters shall be replaced as recommended by the manufacturer or at least every three (3) months.</w:t>
      </w:r>
    </w:p>
    <w:p>
      <w:pPr>
        <w:pStyle w:val="Normal"/>
        <w:spacing w:before="140" w:after="60"/>
        <w:rPr/>
      </w:pPr>
      <w:r>
        <w:rPr>
          <w:rFonts w:eastAsia="Arial" w:cs="Arial"/>
          <w:b/>
          <w:bCs/>
          <w:sz w:val="22"/>
          <w:szCs w:val="22"/>
          <w:u w:val="single"/>
        </w:rPr>
        <w:t>D. Hazardous Materials Management Program</w:t>
      </w:r>
    </w:p>
    <w:p>
      <w:pPr>
        <w:pStyle w:val="Normal"/>
        <w:spacing w:before="40" w:after="60"/>
        <w:rPr/>
      </w:pPr>
      <w:r>
        <w:rPr>
          <w:rFonts w:eastAsia="Arial" w:cs="Arial"/>
          <w:sz w:val="22"/>
          <w:szCs w:val="22"/>
        </w:rPr>
        <w:t>A structured hazardous materials program reduces the risk of chemical exposure injuries in the residential setting:</w:t>
      </w:r>
    </w:p>
    <w:p>
      <w:pPr>
        <w:pStyle w:val="Normal"/>
        <w:spacing w:before="30" w:after="30"/>
        <w:ind w:hanging="360" w:start="720"/>
        <w:rPr/>
      </w:pPr>
      <w:r>
        <w:rPr>
          <w:rFonts w:eastAsia="Arial" w:cs="Arial"/>
          <w:b/>
          <w:bCs/>
          <w:sz w:val="22"/>
          <w:szCs w:val="22"/>
        </w:rPr>
        <w:t xml:space="preserve">a.  </w:t>
      </w:r>
      <w:r>
        <w:rPr>
          <w:rFonts w:eastAsia="Arial" w:cs="Arial"/>
          <w:sz w:val="22"/>
          <w:szCs w:val="22"/>
        </w:rPr>
        <w:t>Hazardous Materials Inventory: This Provider shall maintain a current written inventory of all hazardous materials on the premises. The inventory shall include: product name, hazard category (flammable, corrosive, toxic, biological), location stored, and Safety Data Sheet (SDS) location.</w:t>
      </w:r>
    </w:p>
    <w:p>
      <w:pPr>
        <w:pStyle w:val="Normal"/>
        <w:spacing w:before="30" w:after="30"/>
        <w:ind w:hanging="360" w:start="720"/>
        <w:rPr/>
      </w:pPr>
      <w:r>
        <w:rPr>
          <w:rFonts w:eastAsia="Arial" w:cs="Arial"/>
          <w:b/>
          <w:bCs/>
          <w:sz w:val="22"/>
          <w:szCs w:val="22"/>
        </w:rPr>
        <w:t xml:space="preserve">b.  </w:t>
      </w:r>
      <w:r>
        <w:rPr>
          <w:rFonts w:eastAsia="Arial" w:cs="Arial"/>
          <w:sz w:val="22"/>
          <w:szCs w:val="22"/>
        </w:rPr>
        <w:t>Safety Data Sheets (SDS): An SDS (formerly MSDS) shall be readily available for every hazardous chemical on the premises. SDS documents are available from the product manufacturer and must be accessible to staff at all times, including during an emergency.</w:t>
      </w:r>
    </w:p>
    <w:p>
      <w:pPr>
        <w:pStyle w:val="Normal"/>
        <w:spacing w:before="30" w:after="30"/>
        <w:ind w:hanging="360" w:start="720"/>
        <w:rPr/>
      </w:pPr>
      <w:r>
        <w:rPr>
          <w:rFonts w:eastAsia="Arial" w:cs="Arial"/>
          <w:b/>
          <w:bCs/>
          <w:sz w:val="22"/>
          <w:szCs w:val="22"/>
        </w:rPr>
        <w:t xml:space="preserve">c.  </w:t>
      </w:r>
      <w:r>
        <w:rPr>
          <w:rFonts w:eastAsia="Arial" w:cs="Arial"/>
          <w:sz w:val="22"/>
          <w:szCs w:val="22"/>
        </w:rPr>
        <w:t>Storage: All cleaning chemicals, pesticides, solvents, and other hazardous materials shall be stored in: original, labeled containers; locked cabinets or areas inaccessible to individuals served; locations separate from food, medications, and personal care items.</w:t>
      </w:r>
    </w:p>
    <w:p>
      <w:pPr>
        <w:pStyle w:val="Normal"/>
        <w:spacing w:before="30" w:after="30"/>
        <w:ind w:hanging="360" w:start="720"/>
        <w:rPr/>
      </w:pPr>
      <w:r>
        <w:rPr>
          <w:rFonts w:eastAsia="Arial" w:cs="Arial"/>
          <w:b/>
          <w:bCs/>
          <w:sz w:val="22"/>
          <w:szCs w:val="22"/>
        </w:rPr>
        <w:t xml:space="preserve">d.  </w:t>
      </w:r>
      <w:r>
        <w:rPr>
          <w:rFonts w:eastAsia="Arial" w:cs="Arial"/>
          <w:sz w:val="22"/>
          <w:szCs w:val="22"/>
        </w:rPr>
        <w:t>Staff Training: All staff shall receive hazardous materials training at orientation and annually, covering: how to read an SDS, proper handling and storage of chemicals used in this home, first aid response to chemical exposure (per SDS), and spill response procedures.</w:t>
      </w:r>
    </w:p>
    <w:p>
      <w:pPr>
        <w:pStyle w:val="Normal"/>
        <w:spacing w:before="30" w:after="30"/>
        <w:ind w:hanging="360" w:start="720"/>
        <w:rPr/>
      </w:pPr>
      <w:r>
        <w:rPr>
          <w:rFonts w:eastAsia="Arial" w:cs="Arial"/>
          <w:b/>
          <w:bCs/>
          <w:sz w:val="22"/>
          <w:szCs w:val="22"/>
        </w:rPr>
        <w:t xml:space="preserve">e.  </w:t>
      </w:r>
      <w:r>
        <w:rPr>
          <w:rFonts w:eastAsia="Arial" w:cs="Arial"/>
          <w:sz w:val="22"/>
          <w:szCs w:val="22"/>
        </w:rPr>
        <w:t>Spill Response: Chemical spills shall be cleaned up immediately using appropriate PPE per the product SDS. If the spill involves a significant quantity of a toxic material, involves skin or eye contact, or creates a health risk to individuals, 911 and Poison Control (1-800-222-1222) shall be contacted. All significant spills shall be documented.</w:t>
      </w:r>
    </w:p>
    <w:p>
      <w:pPr>
        <w:pStyle w:val="Normal"/>
        <w:spacing w:before="30" w:after="30"/>
        <w:ind w:hanging="360" w:start="720"/>
        <w:rPr/>
      </w:pPr>
      <w:r>
        <w:rPr>
          <w:rFonts w:eastAsia="Arial" w:cs="Arial"/>
          <w:b/>
          <w:bCs/>
          <w:sz w:val="22"/>
          <w:szCs w:val="22"/>
        </w:rPr>
        <w:t xml:space="preserve">f.  </w:t>
      </w:r>
      <w:r>
        <w:rPr>
          <w:rFonts w:eastAsia="Arial" w:cs="Arial"/>
          <w:sz w:val="22"/>
          <w:szCs w:val="22"/>
        </w:rPr>
        <w:t>Disposal: Hazardous materials shall be disposed of in compliance with applicable local, state, and federal regulations. Improper disposal (e.g., pouring chemicals down drains or in regular trash when prohibited) is not permitted.</w:t>
      </w:r>
    </w:p>
    <w:p>
      <w:pPr>
        <w:pStyle w:val="Normal"/>
        <w:spacing w:before="140" w:after="60"/>
        <w:rPr/>
      </w:pPr>
      <w:r>
        <w:rPr>
          <w:rFonts w:eastAsia="Arial" w:cs="Arial"/>
          <w:b/>
          <w:bCs/>
          <w:sz w:val="22"/>
          <w:szCs w:val="22"/>
          <w:u w:val="single"/>
        </w:rPr>
        <w:t>E. Security Management</w:t>
      </w:r>
    </w:p>
    <w:p>
      <w:pPr>
        <w:pStyle w:val="Normal"/>
        <w:spacing w:before="30" w:after="30"/>
        <w:ind w:hanging="360" w:start="720"/>
        <w:rPr/>
      </w:pPr>
      <w:r>
        <w:rPr>
          <w:rFonts w:eastAsia="Arial" w:cs="Arial"/>
          <w:b/>
          <w:bCs/>
          <w:sz w:val="22"/>
          <w:szCs w:val="22"/>
        </w:rPr>
        <w:t xml:space="preserve">a.  </w:t>
      </w:r>
      <w:r>
        <w:rPr>
          <w:rFonts w:eastAsia="Arial" w:cs="Arial"/>
          <w:sz w:val="22"/>
          <w:szCs w:val="22"/>
        </w:rPr>
        <w:t>Access to the home shall be controlled to protect the privacy and safety of individuals served. Door locks shall be functional and in good repair. All household members shall have appropriate keys or access codes.</w:t>
      </w:r>
    </w:p>
    <w:p>
      <w:pPr>
        <w:pStyle w:val="Normal"/>
        <w:spacing w:before="30" w:after="30"/>
        <w:ind w:hanging="360" w:start="720"/>
        <w:rPr/>
      </w:pPr>
      <w:r>
        <w:rPr>
          <w:rFonts w:eastAsia="Arial" w:cs="Arial"/>
          <w:b/>
          <w:bCs/>
          <w:sz w:val="22"/>
          <w:szCs w:val="22"/>
        </w:rPr>
        <w:t xml:space="preserve">b.  </w:t>
      </w:r>
      <w:r>
        <w:rPr>
          <w:rFonts w:eastAsia="Arial" w:cs="Arial"/>
          <w:sz w:val="22"/>
          <w:szCs w:val="22"/>
        </w:rPr>
        <w:t>Any security incident — unauthorized entry or attempted entry, theft, or threat — shall be reported to law enforcement and to the Administrator immediately, and documented on an Incident Report.</w:t>
      </w:r>
    </w:p>
    <w:p>
      <w:pPr>
        <w:pStyle w:val="Normal"/>
        <w:spacing w:before="30" w:after="30"/>
        <w:ind w:hanging="360" w:start="720"/>
        <w:rPr/>
      </w:pPr>
      <w:r>
        <w:rPr>
          <w:rFonts w:eastAsia="Arial" w:cs="Arial"/>
          <w:b/>
          <w:bCs/>
          <w:sz w:val="22"/>
          <w:szCs w:val="22"/>
        </w:rPr>
        <w:t xml:space="preserve">c.  </w:t>
      </w:r>
      <w:r>
        <w:rPr>
          <w:rFonts w:eastAsia="Arial" w:cs="Arial"/>
          <w:sz w:val="22"/>
          <w:szCs w:val="22"/>
        </w:rPr>
        <w:t>The physical layout of the home shall be assessed for security risks during the annual EC Risk Assessment. Any identified security vulnerability shall be addressed within thirty (30) days.</w:t>
      </w:r>
    </w:p>
    <w:p>
      <w:pPr>
        <w:pStyle w:val="Normal"/>
        <w:spacing w:before="30" w:after="30"/>
        <w:ind w:hanging="360" w:start="720"/>
        <w:rPr/>
      </w:pPr>
      <w:r>
        <w:rPr>
          <w:rFonts w:eastAsia="Arial" w:cs="Arial"/>
          <w:b/>
          <w:bCs/>
          <w:sz w:val="22"/>
          <w:szCs w:val="22"/>
        </w:rPr>
        <w:t xml:space="preserve">d.  </w:t>
      </w:r>
      <w:r>
        <w:rPr>
          <w:rFonts w:eastAsia="Arial" w:cs="Arial"/>
          <w:sz w:val="22"/>
          <w:szCs w:val="22"/>
        </w:rPr>
        <w:t>No individual shall be locked inside any room of the home as a security measure or behavioral intervention (Policy 3.05).</w:t>
      </w:r>
    </w:p>
    <w:p>
      <w:pPr>
        <w:pStyle w:val="Normal"/>
        <w:spacing w:before="140" w:after="60"/>
        <w:rPr/>
      </w:pPr>
      <w:r>
        <w:rPr>
          <w:rFonts w:eastAsia="Arial" w:cs="Arial"/>
          <w:b/>
          <w:bCs/>
          <w:sz w:val="22"/>
          <w:szCs w:val="22"/>
          <w:u w:val="single"/>
        </w:rPr>
        <w:t>F. Maintenance and Repairs</w:t>
      </w:r>
    </w:p>
    <w:p>
      <w:pPr>
        <w:pStyle w:val="Normal"/>
        <w:spacing w:before="30" w:after="30"/>
        <w:ind w:hanging="360" w:start="720"/>
        <w:rPr/>
      </w:pPr>
      <w:r>
        <w:rPr>
          <w:rFonts w:eastAsia="Arial" w:cs="Arial"/>
          <w:b/>
          <w:bCs/>
          <w:sz w:val="22"/>
          <w:szCs w:val="22"/>
        </w:rPr>
        <w:t xml:space="preserve">a.  </w:t>
      </w:r>
      <w:r>
        <w:rPr>
          <w:rFonts w:eastAsia="Arial" w:cs="Arial"/>
          <w:sz w:val="22"/>
          <w:szCs w:val="22"/>
        </w:rPr>
        <w:t>Maintenance issues that pose an immediate health or safety risk shall be addressed within twenty-four (24) hours. If immediate repair is not possible, the affected area shall be secured and alternative arrangements made, with the supervising agency notified.</w:t>
      </w:r>
    </w:p>
    <w:p>
      <w:pPr>
        <w:pStyle w:val="Normal"/>
        <w:spacing w:before="30" w:after="30"/>
        <w:ind w:hanging="360" w:start="720"/>
        <w:rPr/>
      </w:pPr>
      <w:r>
        <w:rPr>
          <w:rFonts w:eastAsia="Arial" w:cs="Arial"/>
          <w:b/>
          <w:bCs/>
          <w:sz w:val="22"/>
          <w:szCs w:val="22"/>
        </w:rPr>
        <w:t xml:space="preserve">b.  </w:t>
      </w:r>
      <w:r>
        <w:rPr>
          <w:rFonts w:eastAsia="Arial" w:cs="Arial"/>
          <w:sz w:val="22"/>
          <w:szCs w:val="22"/>
        </w:rPr>
        <w:t>Non-urgent maintenance issues shall be logged on the Maintenance Request Log and addressed within thirty (30) days.</w:t>
      </w:r>
    </w:p>
    <w:p>
      <w:pPr>
        <w:pStyle w:val="Normal"/>
        <w:spacing w:before="30" w:after="30"/>
        <w:ind w:hanging="360" w:start="720"/>
        <w:rPr/>
      </w:pPr>
      <w:r>
        <w:rPr>
          <w:rFonts w:eastAsia="Arial" w:cs="Arial"/>
          <w:b/>
          <w:bCs/>
          <w:sz w:val="22"/>
          <w:szCs w:val="22"/>
        </w:rPr>
        <w:t xml:space="preserve">c.  </w:t>
      </w:r>
      <w:r>
        <w:rPr>
          <w:rFonts w:eastAsia="Arial" w:cs="Arial"/>
          <w:sz w:val="22"/>
          <w:szCs w:val="22"/>
        </w:rPr>
        <w:t>All maintenance work performed by outside contractors shall be documented with the contractor's name, scope of work, and date of completion. Contractors working on-site shall be made aware of the residential nature of the setting and the need to maintain a safe environment for individuals.</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Annual Environment of Care Risk Assessment</w:t>
      </w:r>
    </w:p>
    <w:p>
      <w:pPr>
        <w:pStyle w:val="ListParagraph"/>
        <w:numPr>
          <w:ilvl w:val="0"/>
          <w:numId w:val="1"/>
        </w:numPr>
        <w:spacing w:before="30" w:after="30"/>
        <w:rPr/>
      </w:pPr>
      <w:r>
        <w:rPr>
          <w:rFonts w:eastAsia="Arial" w:cs="Arial"/>
          <w:sz w:val="22"/>
          <w:szCs w:val="22"/>
        </w:rPr>
        <w:t>Monthly Safety Inspection Checklist</w:t>
      </w:r>
    </w:p>
    <w:p>
      <w:pPr>
        <w:pStyle w:val="ListParagraph"/>
        <w:numPr>
          <w:ilvl w:val="0"/>
          <w:numId w:val="1"/>
        </w:numPr>
        <w:spacing w:before="30" w:after="30"/>
        <w:rPr/>
      </w:pPr>
      <w:r>
        <w:rPr>
          <w:rFonts w:eastAsia="Arial" w:cs="Arial"/>
          <w:sz w:val="22"/>
          <w:szCs w:val="22"/>
        </w:rPr>
        <w:t>Hazardous Materials Inventory</w:t>
      </w:r>
    </w:p>
    <w:p>
      <w:pPr>
        <w:pStyle w:val="ListParagraph"/>
        <w:numPr>
          <w:ilvl w:val="0"/>
          <w:numId w:val="1"/>
        </w:numPr>
        <w:spacing w:before="30" w:after="30"/>
        <w:rPr/>
      </w:pPr>
      <w:r>
        <w:rPr>
          <w:rFonts w:eastAsia="Arial" w:cs="Arial"/>
          <w:sz w:val="22"/>
          <w:szCs w:val="22"/>
        </w:rPr>
        <w:t>Safety Data Sheet (SDS) File</w:t>
      </w:r>
    </w:p>
    <w:p>
      <w:pPr>
        <w:pStyle w:val="ListParagraph"/>
        <w:numPr>
          <w:ilvl w:val="0"/>
          <w:numId w:val="1"/>
        </w:numPr>
        <w:spacing w:before="30" w:after="30"/>
        <w:rPr/>
      </w:pPr>
      <w:r>
        <w:rPr>
          <w:rFonts w:eastAsia="Arial" w:cs="Arial"/>
          <w:sz w:val="22"/>
          <w:szCs w:val="22"/>
        </w:rPr>
        <w:t>Maintenance Request Log</w:t>
      </w:r>
    </w:p>
    <w:p>
      <w:pPr>
        <w:pStyle w:val="ListParagraph"/>
        <w:numPr>
          <w:ilvl w:val="0"/>
          <w:numId w:val="1"/>
        </w:numPr>
        <w:spacing w:before="30" w:after="30"/>
        <w:rPr/>
      </w:pPr>
      <w:r>
        <w:rPr>
          <w:rFonts w:eastAsia="Arial" w:cs="Arial"/>
          <w:sz w:val="22"/>
          <w:szCs w:val="22"/>
        </w:rPr>
        <w:t>Utility Failure Response Protocol</w:t>
      </w:r>
    </w:p>
    <w:p>
      <w:pPr>
        <w:pStyle w:val="ListParagraph"/>
        <w:numPr>
          <w:ilvl w:val="0"/>
          <w:numId w:val="1"/>
        </w:numPr>
        <w:spacing w:before="30" w:after="30"/>
        <w:rPr/>
      </w:pPr>
      <w:r>
        <w:rPr>
          <w:rFonts w:eastAsia="Arial" w:cs="Arial"/>
          <w:sz w:val="22"/>
          <w:szCs w:val="22"/>
        </w:rPr>
        <w:t>Incident Report Form (Policy 5.00)</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#5.05: Abuse, Neglect &amp; Exploitation — Prevention, Recognition &amp; Mandatory Reporting</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Safety / Compliance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5.05</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RI.01 (JC Individual Rights); State Mandatory Reporting Statutes; Adult Protective Services Act; State Abuse/Neglect Regulations; 42 CFR 441.301</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[Provider Name /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establish clear standards for the prevention, recognition, and mandatory reporting of abuse, neglect, and exploitation of individuals served; to ensure all staff understand and fulfill their legal reporting obligations without exception; and to maintain a culture in which individuals feel safe to disclose mistreatment.</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This Provider maintains zero tolerance for abuse, neglect, or exploitation of any individual in any form. All employees and contracted personnel are mandatory reporters under applicable state law. No employee shall face retaliation for making a good-faith report. Any employee found to have committed abuse, neglect, or exploitation, or to have knowingly failed to report it, shall be subject to immediate termination and referral for investigation and potential criminal prosecution.</w:t>
      </w:r>
    </w:p>
    <w:p>
      <w:pPr>
        <w:pStyle w:val="Normal"/>
        <w:spacing w:before="120" w:after="40"/>
        <w:rPr/>
      </w:pPr>
      <w:r>
        <w:rPr>
          <w:rFonts w:eastAsia="Arial" w:cs="Arial"/>
          <w:b/>
          <w:bCs/>
          <w:color w:val="2E5DA8"/>
          <w:sz w:val="22"/>
          <w:szCs w:val="22"/>
        </w:rPr>
        <w:t>DEFINITIONS</w:t>
      </w:r>
    </w:p>
    <w:p>
      <w:pPr>
        <w:pStyle w:val="ListParagraph"/>
        <w:numPr>
          <w:ilvl w:val="0"/>
          <w:numId w:val="1"/>
        </w:numPr>
        <w:spacing w:before="30" w:after="30"/>
        <w:rPr/>
      </w:pPr>
      <w:r>
        <w:rPr>
          <w:rFonts w:eastAsia="Arial" w:cs="Arial"/>
          <w:sz w:val="22"/>
          <w:szCs w:val="22"/>
        </w:rPr>
        <w:t>Physical Abuse: Any non-accidental act causing physical pain, injury, or impairment — including hitting, pushing, biting, scratching, kicking, or any use of force beyond authorized support techniques.</w:t>
      </w:r>
    </w:p>
    <w:p>
      <w:pPr>
        <w:pStyle w:val="ListParagraph"/>
        <w:numPr>
          <w:ilvl w:val="0"/>
          <w:numId w:val="1"/>
        </w:numPr>
        <w:spacing w:before="30" w:after="30"/>
        <w:rPr/>
      </w:pPr>
      <w:r>
        <w:rPr>
          <w:rFonts w:eastAsia="Arial" w:cs="Arial"/>
          <w:sz w:val="22"/>
          <w:szCs w:val="22"/>
        </w:rPr>
        <w:t>Emotional / Psychological Abuse: Verbal assaults, threats, humiliation, intimidation, isolation, or any act that causes emotional distress or fear.</w:t>
      </w:r>
    </w:p>
    <w:p>
      <w:pPr>
        <w:pStyle w:val="ListParagraph"/>
        <w:numPr>
          <w:ilvl w:val="0"/>
          <w:numId w:val="1"/>
        </w:numPr>
        <w:spacing w:before="30" w:after="30"/>
        <w:rPr/>
      </w:pPr>
      <w:r>
        <w:rPr>
          <w:rFonts w:eastAsia="Arial" w:cs="Arial"/>
          <w:sz w:val="22"/>
          <w:szCs w:val="22"/>
        </w:rPr>
        <w:t>Sexual Abuse: Any non-consensual sexual contact or conduct involving an individual, including inappropriate touching, exposure, or sexual exploitation.</w:t>
      </w:r>
    </w:p>
    <w:p>
      <w:pPr>
        <w:pStyle w:val="ListParagraph"/>
        <w:numPr>
          <w:ilvl w:val="0"/>
          <w:numId w:val="1"/>
        </w:numPr>
        <w:spacing w:before="30" w:after="30"/>
        <w:rPr/>
      </w:pPr>
      <w:r>
        <w:rPr>
          <w:rFonts w:eastAsia="Arial" w:cs="Arial"/>
          <w:sz w:val="22"/>
          <w:szCs w:val="22"/>
        </w:rPr>
        <w:t>Neglect: Failure to provide necessary care, supervision, medication, food, water, clothing, shelter, or support that results in or risks harm to the individual.</w:t>
      </w:r>
    </w:p>
    <w:p>
      <w:pPr>
        <w:pStyle w:val="ListParagraph"/>
        <w:numPr>
          <w:ilvl w:val="0"/>
          <w:numId w:val="1"/>
        </w:numPr>
        <w:spacing w:before="30" w:after="30"/>
        <w:rPr/>
      </w:pPr>
      <w:r>
        <w:rPr>
          <w:rFonts w:eastAsia="Arial" w:cs="Arial"/>
          <w:sz w:val="22"/>
          <w:szCs w:val="22"/>
        </w:rPr>
        <w:t>Financial Exploitation: Unauthorized use, theft, misappropriation, or mismanagement of an individual's money or property.</w:t>
      </w:r>
    </w:p>
    <w:p>
      <w:pPr>
        <w:pStyle w:val="ListParagraph"/>
        <w:numPr>
          <w:ilvl w:val="0"/>
          <w:numId w:val="1"/>
        </w:numPr>
        <w:spacing w:before="30" w:after="30"/>
        <w:rPr/>
      </w:pPr>
      <w:r>
        <w:rPr>
          <w:rFonts w:eastAsia="Arial" w:cs="Arial"/>
          <w:sz w:val="22"/>
          <w:szCs w:val="22"/>
        </w:rPr>
        <w:t>Self-Neglect: An individual's failure to meet their own care needs due to cognitive or physical impairment — not a staff-caused neglect, but a safety concern requiring care coordination.</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Prevention — Creating a Safe Environment</w:t>
      </w:r>
    </w:p>
    <w:p>
      <w:pPr>
        <w:pStyle w:val="Normal"/>
        <w:spacing w:before="30" w:after="30"/>
        <w:ind w:hanging="360" w:start="720"/>
        <w:rPr/>
      </w:pPr>
      <w:r>
        <w:rPr>
          <w:rFonts w:eastAsia="Arial" w:cs="Arial"/>
          <w:b/>
          <w:bCs/>
          <w:sz w:val="22"/>
          <w:szCs w:val="22"/>
        </w:rPr>
        <w:t xml:space="preserve">a.  </w:t>
      </w:r>
      <w:r>
        <w:rPr>
          <w:rFonts w:eastAsia="Arial" w:cs="Arial"/>
          <w:sz w:val="22"/>
          <w:szCs w:val="22"/>
        </w:rPr>
        <w:t>All staff shall receive training in abuse, neglect, and exploitation recognition, prevention, and mandatory reporting at orientation and annually. Training shall include: definitions of each type of mistreatment, behavioral indicators that an individual may be experiencing mistreatment, power dynamics in caregiver relationships, and the legal obligation to report.</w:t>
      </w:r>
    </w:p>
    <w:p>
      <w:pPr>
        <w:pStyle w:val="Normal"/>
        <w:spacing w:before="30" w:after="30"/>
        <w:ind w:hanging="360" w:start="720"/>
        <w:rPr/>
      </w:pPr>
      <w:r>
        <w:rPr>
          <w:rFonts w:eastAsia="Arial" w:cs="Arial"/>
          <w:b/>
          <w:bCs/>
          <w:sz w:val="22"/>
          <w:szCs w:val="22"/>
        </w:rPr>
        <w:t xml:space="preserve">b.  </w:t>
      </w:r>
      <w:r>
        <w:rPr>
          <w:rFonts w:eastAsia="Arial" w:cs="Arial"/>
          <w:sz w:val="22"/>
          <w:szCs w:val="22"/>
        </w:rPr>
        <w:t>Staff supervision and observational practices shall minimize opportunities for unwitnessed interactions in situations where risk is elevated. Regular unannounced check-ins by the Administrator or supervising agency are a component of the prevention strategy.</w:t>
      </w:r>
    </w:p>
    <w:p>
      <w:pPr>
        <w:pStyle w:val="Normal"/>
        <w:spacing w:before="30" w:after="30"/>
        <w:ind w:hanging="360" w:start="720"/>
        <w:rPr/>
      </w:pPr>
      <w:r>
        <w:rPr>
          <w:rFonts w:eastAsia="Arial" w:cs="Arial"/>
          <w:b/>
          <w:bCs/>
          <w:sz w:val="22"/>
          <w:szCs w:val="22"/>
        </w:rPr>
        <w:t xml:space="preserve">c.  </w:t>
      </w:r>
      <w:r>
        <w:rPr>
          <w:rFonts w:eastAsia="Arial" w:cs="Arial"/>
          <w:sz w:val="22"/>
          <w:szCs w:val="22"/>
        </w:rPr>
        <w:t>This Provider maintains an open, non-retaliatory culture in which staff feel safe to report concerns about the conduct of colleagues. Staff who see something shall say something — to the Administrator, to the supervising agency, or directly to APS.</w:t>
      </w:r>
    </w:p>
    <w:p>
      <w:pPr>
        <w:pStyle w:val="Normal"/>
        <w:spacing w:before="30" w:after="30"/>
        <w:ind w:hanging="360" w:start="720"/>
        <w:rPr/>
      </w:pPr>
      <w:r>
        <w:rPr>
          <w:rFonts w:eastAsia="Arial" w:cs="Arial"/>
          <w:b/>
          <w:bCs/>
          <w:sz w:val="22"/>
          <w:szCs w:val="22"/>
        </w:rPr>
        <w:t xml:space="preserve">d.  </w:t>
      </w:r>
      <w:r>
        <w:rPr>
          <w:rFonts w:eastAsia="Arial" w:cs="Arial"/>
          <w:sz w:val="22"/>
          <w:szCs w:val="22"/>
        </w:rPr>
        <w:t>Staff shall never witness mistreatment without intervening to stop it (to the extent safe to do so) and reporting it.</w:t>
      </w:r>
    </w:p>
    <w:p>
      <w:pPr>
        <w:pStyle w:val="Normal"/>
        <w:spacing w:before="140" w:after="60"/>
        <w:rPr/>
      </w:pPr>
      <w:r>
        <w:rPr>
          <w:rFonts w:eastAsia="Arial" w:cs="Arial"/>
          <w:b/>
          <w:bCs/>
          <w:sz w:val="22"/>
          <w:szCs w:val="22"/>
          <w:u w:val="single"/>
        </w:rPr>
        <w:t>B. Recognition — Signs of Possible Mistreatment</w:t>
      </w:r>
    </w:p>
    <w:p>
      <w:pPr>
        <w:pStyle w:val="Normal"/>
        <w:spacing w:before="40" w:after="60"/>
        <w:rPr/>
      </w:pPr>
      <w:r>
        <w:rPr>
          <w:rFonts w:eastAsia="Arial" w:cs="Arial"/>
          <w:sz w:val="22"/>
          <w:szCs w:val="22"/>
        </w:rPr>
        <w:t>Staff shall report any of the following observations to the Administrator immediately:</w:t>
      </w:r>
    </w:p>
    <w:p>
      <w:pPr>
        <w:pStyle w:val="ListParagraph"/>
        <w:numPr>
          <w:ilvl w:val="0"/>
          <w:numId w:val="1"/>
        </w:numPr>
        <w:spacing w:before="30" w:after="30"/>
        <w:rPr/>
      </w:pPr>
      <w:r>
        <w:rPr>
          <w:rFonts w:eastAsia="Arial" w:cs="Arial"/>
          <w:sz w:val="22"/>
          <w:szCs w:val="22"/>
        </w:rPr>
        <w:t>Unexplained injuries, bruises in various stages of healing, welts, burns, or marks inconsistent with the individual's medical history or mobility level</w:t>
      </w:r>
    </w:p>
    <w:p>
      <w:pPr>
        <w:pStyle w:val="ListParagraph"/>
        <w:numPr>
          <w:ilvl w:val="0"/>
          <w:numId w:val="1"/>
        </w:numPr>
        <w:spacing w:before="30" w:after="30"/>
        <w:rPr/>
      </w:pPr>
      <w:r>
        <w:rPr>
          <w:rFonts w:eastAsia="Arial" w:cs="Arial"/>
          <w:sz w:val="22"/>
          <w:szCs w:val="22"/>
        </w:rPr>
        <w:t>Fear, anxiety, withdrawal, or changed demeanor specifically in the presence of a particular staff member or person</w:t>
      </w:r>
    </w:p>
    <w:p>
      <w:pPr>
        <w:pStyle w:val="ListParagraph"/>
        <w:numPr>
          <w:ilvl w:val="0"/>
          <w:numId w:val="1"/>
        </w:numPr>
        <w:spacing w:before="30" w:after="30"/>
        <w:rPr/>
      </w:pPr>
      <w:r>
        <w:rPr>
          <w:rFonts w:eastAsia="Arial" w:cs="Arial"/>
          <w:sz w:val="22"/>
          <w:szCs w:val="22"/>
        </w:rPr>
        <w:t>An individual's disclosure — verbal, behavioral, or through communication device — of being hurt, afraid, or mistreated</w:t>
      </w:r>
    </w:p>
    <w:p>
      <w:pPr>
        <w:pStyle w:val="ListParagraph"/>
        <w:numPr>
          <w:ilvl w:val="0"/>
          <w:numId w:val="1"/>
        </w:numPr>
        <w:spacing w:before="30" w:after="30"/>
        <w:rPr/>
      </w:pPr>
      <w:r>
        <w:rPr>
          <w:rFonts w:eastAsia="Arial" w:cs="Arial"/>
          <w:sz w:val="22"/>
          <w:szCs w:val="22"/>
        </w:rPr>
        <w:t>Unexplained financial transactions, missing personal items, or unusual financial activity</w:t>
      </w:r>
    </w:p>
    <w:p>
      <w:pPr>
        <w:pStyle w:val="ListParagraph"/>
        <w:numPr>
          <w:ilvl w:val="0"/>
          <w:numId w:val="1"/>
        </w:numPr>
        <w:spacing w:before="30" w:after="30"/>
        <w:rPr/>
      </w:pPr>
      <w:r>
        <w:rPr>
          <w:rFonts w:eastAsia="Arial" w:cs="Arial"/>
          <w:sz w:val="22"/>
          <w:szCs w:val="22"/>
        </w:rPr>
        <w:t>Physical condition significantly inconsistent with documented care (e.g., severe untreated pressure injuries, significant dehydration or malnutrition without medical explanation)</w:t>
      </w:r>
    </w:p>
    <w:p>
      <w:pPr>
        <w:pStyle w:val="ListParagraph"/>
        <w:numPr>
          <w:ilvl w:val="0"/>
          <w:numId w:val="1"/>
        </w:numPr>
        <w:spacing w:before="30" w:after="30"/>
        <w:rPr/>
      </w:pPr>
      <w:r>
        <w:rPr>
          <w:rFonts w:eastAsia="Arial" w:cs="Arial"/>
          <w:sz w:val="22"/>
          <w:szCs w:val="22"/>
        </w:rPr>
        <w:t>Behavioral changes that have no apparent medical cause</w:t>
      </w:r>
    </w:p>
    <w:p>
      <w:pPr>
        <w:pStyle w:val="Normal"/>
        <w:spacing w:before="140" w:after="60"/>
        <w:rPr/>
      </w:pPr>
      <w:r>
        <w:rPr>
          <w:rFonts w:eastAsia="Arial" w:cs="Arial"/>
          <w:b/>
          <w:bCs/>
          <w:sz w:val="22"/>
          <w:szCs w:val="22"/>
          <w:u w:val="single"/>
        </w:rPr>
        <w:t>C. Immediate Reporting Response</w:t>
      </w:r>
    </w:p>
    <w:p>
      <w:pPr>
        <w:pStyle w:val="Normal"/>
        <w:spacing w:before="30" w:after="30"/>
        <w:ind w:hanging="360" w:start="720"/>
        <w:rPr/>
      </w:pPr>
      <w:r>
        <w:rPr>
          <w:rFonts w:eastAsia="Arial" w:cs="Arial"/>
          <w:b/>
          <w:bCs/>
          <w:sz w:val="22"/>
          <w:szCs w:val="22"/>
        </w:rPr>
        <w:t xml:space="preserve">a.  </w:t>
      </w:r>
      <w:r>
        <w:rPr>
          <w:rFonts w:eastAsia="Arial" w:cs="Arial"/>
          <w:sz w:val="22"/>
          <w:szCs w:val="22"/>
        </w:rPr>
        <w:t>Any staff member who witnesses, suspects, or receives a report of abuse, neglect, or exploitation shall take the following steps immediately, in this order:</w:t>
      </w:r>
    </w:p>
    <w:p>
      <w:pPr>
        <w:pStyle w:val="ListParagraph"/>
        <w:numPr>
          <w:ilvl w:val="1"/>
          <w:numId w:val="1"/>
        </w:numPr>
        <w:spacing w:before="30" w:after="30"/>
        <w:rPr/>
      </w:pPr>
      <w:r>
        <w:rPr>
          <w:rFonts w:eastAsia="Arial" w:cs="Arial"/>
          <w:sz w:val="22"/>
          <w:szCs w:val="22"/>
        </w:rPr>
        <w:t>Ensure the immediate physical safety of the individual</w:t>
      </w:r>
    </w:p>
    <w:p>
      <w:pPr>
        <w:pStyle w:val="ListParagraph"/>
        <w:numPr>
          <w:ilvl w:val="1"/>
          <w:numId w:val="1"/>
        </w:numPr>
        <w:spacing w:before="30" w:after="30"/>
        <w:rPr/>
      </w:pPr>
      <w:r>
        <w:rPr>
          <w:rFonts w:eastAsia="Arial" w:cs="Arial"/>
          <w:sz w:val="22"/>
          <w:szCs w:val="22"/>
        </w:rPr>
        <w:t>Call the state Adult Protective Services hotline immediately (see Appendix B for state-specific number) — do not wait to speak with the Administrator first</w:t>
      </w:r>
    </w:p>
    <w:p>
      <w:pPr>
        <w:pStyle w:val="ListParagraph"/>
        <w:numPr>
          <w:ilvl w:val="1"/>
          <w:numId w:val="1"/>
        </w:numPr>
        <w:spacing w:before="30" w:after="30"/>
        <w:rPr/>
      </w:pPr>
      <w:r>
        <w:rPr>
          <w:rFonts w:eastAsia="Arial" w:cs="Arial"/>
          <w:sz w:val="22"/>
          <w:szCs w:val="22"/>
        </w:rPr>
        <w:t>Call law enforcement if a crime is suspected or if instructed by APS</w:t>
      </w:r>
    </w:p>
    <w:p>
      <w:pPr>
        <w:pStyle w:val="ListParagraph"/>
        <w:numPr>
          <w:ilvl w:val="1"/>
          <w:numId w:val="1"/>
        </w:numPr>
        <w:spacing w:before="30" w:after="30"/>
        <w:rPr/>
      </w:pPr>
      <w:r>
        <w:rPr>
          <w:rFonts w:eastAsia="Arial" w:cs="Arial"/>
          <w:sz w:val="22"/>
          <w:szCs w:val="22"/>
        </w:rPr>
        <w:t>Notify the Administrator as soon as possible after the APS report is made</w:t>
      </w:r>
    </w:p>
    <w:p>
      <w:pPr>
        <w:pStyle w:val="Normal"/>
        <w:spacing w:before="30" w:after="30"/>
        <w:ind w:hanging="360" w:start="720"/>
        <w:rPr/>
      </w:pPr>
      <w:r>
        <w:rPr>
          <w:rFonts w:eastAsia="Arial" w:cs="Arial"/>
          <w:b/>
          <w:bCs/>
          <w:sz w:val="22"/>
          <w:szCs w:val="22"/>
        </w:rPr>
        <w:t xml:space="preserve">b.  </w:t>
      </w:r>
      <w:r>
        <w:rPr>
          <w:rFonts w:eastAsia="Arial" w:cs="Arial"/>
          <w:sz w:val="22"/>
          <w:szCs w:val="22"/>
        </w:rPr>
        <w:t>If the suspected perpetrator is a staff member: do not confront the suspected staff member; request or arrange for them to be separated from the individual immediately pending investigation; and do not share the details of the report with them or with other staff beyond what is operationally necessary.</w:t>
      </w:r>
    </w:p>
    <w:p>
      <w:pPr>
        <w:pStyle w:val="Normal"/>
        <w:spacing w:before="30" w:after="30"/>
        <w:ind w:hanging="360" w:start="720"/>
        <w:rPr/>
      </w:pPr>
      <w:r>
        <w:rPr>
          <w:rFonts w:eastAsia="Arial" w:cs="Arial"/>
          <w:b/>
          <w:bCs/>
          <w:sz w:val="22"/>
          <w:szCs w:val="22"/>
        </w:rPr>
        <w:t xml:space="preserve">c.  </w:t>
      </w:r>
      <w:r>
        <w:rPr>
          <w:rFonts w:eastAsia="Arial" w:cs="Arial"/>
          <w:sz w:val="22"/>
          <w:szCs w:val="22"/>
        </w:rPr>
        <w:t>If the suspected perpetrator is the Administrator: reports shall be made directly to the supervising agency and APS without going through the Administrator first.</w:t>
      </w:r>
    </w:p>
    <w:p>
      <w:pPr>
        <w:pStyle w:val="Normal"/>
        <w:spacing w:before="140" w:after="60"/>
        <w:rPr/>
      </w:pPr>
      <w:r>
        <w:rPr>
          <w:rFonts w:eastAsia="Arial" w:cs="Arial"/>
          <w:b/>
          <w:bCs/>
          <w:sz w:val="22"/>
          <w:szCs w:val="22"/>
          <w:u w:val="single"/>
        </w:rPr>
        <w:t>D. Preservation of Evidence</w:t>
      </w:r>
    </w:p>
    <w:p>
      <w:pPr>
        <w:pStyle w:val="Normal"/>
        <w:spacing w:before="30" w:after="30"/>
        <w:ind w:hanging="360" w:start="720"/>
        <w:rPr/>
      </w:pPr>
      <w:r>
        <w:rPr>
          <w:rFonts w:eastAsia="Arial" w:cs="Arial"/>
          <w:b/>
          <w:bCs/>
          <w:sz w:val="22"/>
          <w:szCs w:val="22"/>
        </w:rPr>
        <w:t xml:space="preserve">a.  </w:t>
      </w:r>
      <w:r>
        <w:rPr>
          <w:rFonts w:eastAsia="Arial" w:cs="Arial"/>
          <w:sz w:val="22"/>
          <w:szCs w:val="22"/>
        </w:rPr>
        <w:t>Staff shall not clean, move, alter, or destroy any physical evidence of possible abuse before law enforcement or APS has assessed the scene.</w:t>
      </w:r>
    </w:p>
    <w:p>
      <w:pPr>
        <w:pStyle w:val="Normal"/>
        <w:spacing w:before="30" w:after="30"/>
        <w:ind w:hanging="360" w:start="720"/>
        <w:rPr/>
      </w:pPr>
      <w:r>
        <w:rPr>
          <w:rFonts w:eastAsia="Arial" w:cs="Arial"/>
          <w:b/>
          <w:bCs/>
          <w:sz w:val="22"/>
          <w:szCs w:val="22"/>
        </w:rPr>
        <w:t xml:space="preserve">b.  </w:t>
      </w:r>
      <w:r>
        <w:rPr>
          <w:rFonts w:eastAsia="Arial" w:cs="Arial"/>
          <w:sz w:val="22"/>
          <w:szCs w:val="22"/>
        </w:rPr>
        <w:t>Staff shall document all physical observations (location, description, and size of any visible injuries) as accurately and specifically as possible, using objective language.</w:t>
      </w:r>
    </w:p>
    <w:p>
      <w:pPr>
        <w:pStyle w:val="Normal"/>
        <w:spacing w:before="140" w:after="60"/>
        <w:rPr/>
      </w:pPr>
      <w:r>
        <w:rPr>
          <w:rFonts w:eastAsia="Arial" w:cs="Arial"/>
          <w:b/>
          <w:bCs/>
          <w:sz w:val="22"/>
          <w:szCs w:val="22"/>
          <w:u w:val="single"/>
        </w:rPr>
        <w:t>E. Documentation, Investigation, and Corrective Action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An Incident Report shall be completed within the shift.</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Administrator shall cooperate fully and without obstruction with APS, law enforcement, and licensing authority investigations.</w:t>
      </w:r>
    </w:p>
    <w:p>
      <w:pPr>
        <w:pStyle w:val="Normal"/>
        <w:spacing w:before="30" w:after="30"/>
        <w:ind w:hanging="360" w:start="720"/>
        <w:rPr/>
      </w:pPr>
      <w:r>
        <w:rPr>
          <w:rFonts w:eastAsia="Arial" w:cs="Arial"/>
          <w:b/>
          <w:bCs/>
          <w:sz w:val="22"/>
          <w:szCs w:val="22"/>
        </w:rPr>
        <w:t xml:space="preserve">c.  </w:t>
      </w:r>
      <w:r>
        <w:rPr>
          <w:rFonts w:eastAsia="Arial" w:cs="Arial"/>
          <w:sz w:val="22"/>
          <w:szCs w:val="22"/>
        </w:rPr>
        <w:t>Internal investigation findings, corrective actions taken, and any staffing or operational changes made as a result shall be documented and reported to the supervising agency within required timeframes.</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APS Hotline Numbers — Appendix B</w:t>
      </w:r>
    </w:p>
    <w:p>
      <w:pPr>
        <w:pStyle w:val="ListParagraph"/>
        <w:numPr>
          <w:ilvl w:val="0"/>
          <w:numId w:val="1"/>
        </w:numPr>
        <w:spacing w:before="30" w:after="30"/>
        <w:rPr/>
      </w:pPr>
      <w:r>
        <w:rPr>
          <w:rFonts w:eastAsia="Arial" w:cs="Arial"/>
          <w:sz w:val="22"/>
          <w:szCs w:val="22"/>
        </w:rPr>
        <w:t>Incident Report Form (Policy 5.00)</w:t>
      </w:r>
    </w:p>
    <w:p>
      <w:pPr>
        <w:pStyle w:val="ListParagraph"/>
        <w:numPr>
          <w:ilvl w:val="0"/>
          <w:numId w:val="1"/>
        </w:numPr>
        <w:spacing w:before="30" w:after="30"/>
        <w:rPr/>
      </w:pPr>
      <w:r>
        <w:rPr>
          <w:rFonts w:eastAsia="Arial" w:cs="Arial"/>
          <w:sz w:val="22"/>
          <w:szCs w:val="22"/>
        </w:rPr>
        <w:t>State Critical Incident Report (if applicable)</w:t>
      </w:r>
    </w:p>
    <w:p>
      <w:pPr>
        <w:pStyle w:val="ListParagraph"/>
        <w:numPr>
          <w:ilvl w:val="0"/>
          <w:numId w:val="1"/>
        </w:numPr>
        <w:spacing w:before="30" w:after="30"/>
        <w:rPr/>
      </w:pPr>
      <w:r>
        <w:rPr>
          <w:rFonts w:eastAsia="Arial" w:cs="Arial"/>
          <w:sz w:val="22"/>
          <w:szCs w:val="22"/>
        </w:rPr>
        <w:t>Quality Management Log (Policy 6.00)</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bl>
    <w:p>
      <w:pPr>
        <w:pStyle w:val="Normal"/>
        <w:rPr/>
      </w:pPr>
      <w:r>
        <w:rPr/>
        <w:br/>
      </w:r>
    </w:p>
    <w:p>
      <w:pPr>
        <w:pStyle w:val="Normal"/>
        <w:shd w:val="clear" w:fill="1F3864"/>
        <w:spacing w:before="0" w:after="0"/>
        <w:jc w:val="center"/>
        <w:rPr/>
      </w:pPr>
      <w:r>
        <w:rPr>
          <w:rFonts w:eastAsia="Arial" w:cs="Arial"/>
          <w:b/>
          <w:bCs/>
          <w:color w:val="FFFFFF"/>
          <w:sz w:val="32"/>
          <w:szCs w:val="32"/>
        </w:rPr>
        <w:t>SECTION F: QUALITY MANAGEMENT, ETHICS &amp; DOCUMENTATION</w:t>
      </w:r>
    </w:p>
    <w:p>
      <w:pPr>
        <w:pStyle w:val="Normal"/>
        <w:spacing w:before="0" w:after="200"/>
        <w:rPr/>
      </w:pPr>
      <w:r>
        <w:rP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#6.00: Quality Management, Performance Improvement &amp; Organizational Safety Culture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Administration / Quality Management</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6.00</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PI.01–PI.03 (JC Performance Improvement); LD.01–LD.04 (JC Leadership); EC.04 (JC Safety Risk Assessment); State HCBS Quality Assurance Requirements; QHAF or State Quality Framework</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[Provider Name /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establish a systematic, data-driven Quality Management Program (QMP) that embodies the Joint Commission Performance Improvement framework: continuous collection of meaningful data, analysis to identify trends and opportunities, implementation of improvements, monitoring to verify that improvements are sustained, and governance oversight to hold the organization accountable. This policy also establishes the organizational culture of safety and the ethical leadership commitments that underpin quality — recognizing that sustainable quality improvement is impossible without psychological safety, transparent reporting, and leadership accountability.</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This Provider maintains an explicit, documented commitment to quality and safety as core organizational values. Quality management is not a periodic compliance exercise — it is integrated into daily operations. Staff at all levels are expected and encouraged to identify quality concerns and report them without fear of retaliation. Leadership is accountable for the quality of care delivered and the safety of the environment.</w:t>
      </w:r>
    </w:p>
    <w:p>
      <w:pPr>
        <w:pStyle w:val="Normal"/>
        <w:spacing w:before="120" w:after="40"/>
        <w:rPr/>
      </w:pPr>
      <w:r>
        <w:rPr>
          <w:rFonts w:eastAsia="Arial" w:cs="Arial"/>
          <w:b/>
          <w:bCs/>
          <w:color w:val="2E5DA8"/>
          <w:sz w:val="22"/>
          <w:szCs w:val="22"/>
        </w:rPr>
        <w:t>DEFINITIONS</w:t>
      </w:r>
    </w:p>
    <w:p>
      <w:pPr>
        <w:pStyle w:val="ListParagraph"/>
        <w:numPr>
          <w:ilvl w:val="0"/>
          <w:numId w:val="1"/>
        </w:numPr>
        <w:spacing w:before="30" w:after="30"/>
        <w:rPr/>
      </w:pPr>
      <w:r>
        <w:rPr>
          <w:rFonts w:eastAsia="Arial" w:cs="Arial"/>
          <w:sz w:val="22"/>
          <w:szCs w:val="22"/>
        </w:rPr>
        <w:t>Performance Improvement (PI): The systematic, ongoing effort to improve the quality, safety, and efficiency of services through data collection, analysis, action, and monitoring.</w:t>
      </w:r>
    </w:p>
    <w:p>
      <w:pPr>
        <w:pStyle w:val="ListParagraph"/>
        <w:numPr>
          <w:ilvl w:val="0"/>
          <w:numId w:val="1"/>
        </w:numPr>
        <w:spacing w:before="30" w:after="30"/>
        <w:rPr/>
      </w:pPr>
      <w:r>
        <w:rPr>
          <w:rFonts w:eastAsia="Arial" w:cs="Arial"/>
          <w:sz w:val="22"/>
          <w:szCs w:val="22"/>
        </w:rPr>
        <w:t>PDSA Cycle: Plan-Do-Study-Act — the structured improvement cycle used to test and implement changes. Plan: identify the problem and develop a change; Do: implement the change on a small scale; Study: measure and analyze the result; Act: implement broadly if effective, or revise and repeat if not.</w:t>
      </w:r>
    </w:p>
    <w:p>
      <w:pPr>
        <w:pStyle w:val="ListParagraph"/>
        <w:numPr>
          <w:ilvl w:val="0"/>
          <w:numId w:val="1"/>
        </w:numPr>
        <w:spacing w:before="30" w:after="30"/>
        <w:rPr/>
      </w:pPr>
      <w:r>
        <w:rPr>
          <w:rFonts w:eastAsia="Arial" w:cs="Arial"/>
          <w:sz w:val="22"/>
          <w:szCs w:val="22"/>
        </w:rPr>
        <w:t>Sentinel Event: A patient safety event resulting in death, serious physical injury, or serious psychological injury, requiring immediate response and root cause analysis (Policy 5.00).</w:t>
      </w:r>
    </w:p>
    <w:p>
      <w:pPr>
        <w:pStyle w:val="ListParagraph"/>
        <w:numPr>
          <w:ilvl w:val="0"/>
          <w:numId w:val="1"/>
        </w:numPr>
        <w:spacing w:before="30" w:after="30"/>
        <w:rPr/>
      </w:pPr>
      <w:r>
        <w:rPr>
          <w:rFonts w:eastAsia="Arial" w:cs="Arial"/>
          <w:sz w:val="22"/>
          <w:szCs w:val="22"/>
        </w:rPr>
        <w:t>Root Cause Analysis (RCA): A structured investigation method that identifies the fundamental system-level causes of events to drive systemic improvements rather than individual blame.</w:t>
      </w:r>
    </w:p>
    <w:p>
      <w:pPr>
        <w:pStyle w:val="ListParagraph"/>
        <w:numPr>
          <w:ilvl w:val="0"/>
          <w:numId w:val="1"/>
        </w:numPr>
        <w:spacing w:before="30" w:after="30"/>
        <w:rPr/>
      </w:pPr>
      <w:r>
        <w:rPr>
          <w:rFonts w:eastAsia="Arial" w:cs="Arial"/>
          <w:sz w:val="22"/>
          <w:szCs w:val="22"/>
        </w:rPr>
        <w:t>Culture of Safety: An organizational environment in which all individuals — staff, leadership, and persons served — feel safe to voice safety concerns, report errors and near-misses, and ask questions without fear of blame, embarrassment, or retaliation.</w:t>
      </w:r>
    </w:p>
    <w:p>
      <w:pPr>
        <w:pStyle w:val="ListParagraph"/>
        <w:numPr>
          <w:ilvl w:val="0"/>
          <w:numId w:val="1"/>
        </w:numPr>
        <w:spacing w:before="30" w:after="30"/>
        <w:rPr/>
      </w:pPr>
      <w:r>
        <w:rPr>
          <w:rFonts w:eastAsia="Arial" w:cs="Arial"/>
          <w:sz w:val="22"/>
          <w:szCs w:val="22"/>
        </w:rPr>
        <w:t>Non-Punitive Reporting: A policy and practice ensuring that staff who report incidents, errors, near-misses, or safety concerns in good faith are not disciplined, demoted, or retaliated against for the act of reporting.</w:t>
      </w:r>
    </w:p>
    <w:p>
      <w:pPr>
        <w:pStyle w:val="Normal"/>
        <w:spacing w:before="120" w:after="40"/>
        <w:rPr/>
      </w:pPr>
      <w:r>
        <w:rPr>
          <w:rFonts w:eastAsia="Arial" w:cs="Arial"/>
          <w:b/>
          <w:bCs/>
          <w:color w:val="2E5DA8"/>
          <w:sz w:val="22"/>
          <w:szCs w:val="22"/>
        </w:rPr>
        <w:t>PART I — ORGANIZATIONAL CULTURE OF SAFETY</w:t>
      </w:r>
    </w:p>
    <w:p>
      <w:pPr>
        <w:pStyle w:val="Normal"/>
        <w:spacing w:before="140" w:after="60"/>
        <w:rPr/>
      </w:pPr>
      <w:r>
        <w:rPr>
          <w:rFonts w:eastAsia="Arial" w:cs="Arial"/>
          <w:b/>
          <w:bCs/>
          <w:sz w:val="22"/>
          <w:szCs w:val="22"/>
          <w:u w:val="single"/>
        </w:rPr>
        <w:t>A. Leadership Commitment to Safety</w:t>
      </w:r>
    </w:p>
    <w:p>
      <w:pPr>
        <w:pStyle w:val="Normal"/>
        <w:spacing w:before="30" w:after="30"/>
        <w:ind w:hanging="360" w:start="720"/>
        <w:rPr/>
      </w:pPr>
      <w:r>
        <w:rPr>
          <w:rFonts w:eastAsia="Arial" w:cs="Arial"/>
          <w:b/>
          <w:bCs/>
          <w:sz w:val="22"/>
          <w:szCs w:val="22"/>
        </w:rPr>
        <w:t xml:space="preserve">a.  </w:t>
      </w:r>
      <w:r>
        <w:rPr>
          <w:rFonts w:eastAsia="Arial" w:cs="Arial"/>
          <w:sz w:val="22"/>
          <w:szCs w:val="22"/>
        </w:rPr>
        <w:t>The Administrator shall actively demonstrate commitment to safety and quality through: regular communication to staff about safety priorities, participation in quality reviews, timely action on identified safety concerns, and visible advocacy for non-punitive reporting.</w:t>
      </w:r>
    </w:p>
    <w:p>
      <w:pPr>
        <w:pStyle w:val="Normal"/>
        <w:spacing w:before="30" w:after="30"/>
        <w:ind w:hanging="360" w:start="720"/>
        <w:rPr/>
      </w:pPr>
      <w:r>
        <w:rPr>
          <w:rFonts w:eastAsia="Arial" w:cs="Arial"/>
          <w:b/>
          <w:bCs/>
          <w:sz w:val="22"/>
          <w:szCs w:val="22"/>
        </w:rPr>
        <w:t xml:space="preserve">b.  </w:t>
      </w:r>
      <w:r>
        <w:rPr>
          <w:rFonts w:eastAsia="Arial" w:cs="Arial"/>
          <w:sz w:val="22"/>
          <w:szCs w:val="22"/>
        </w:rPr>
        <w:t>Leadership shall ensure that adequate resources — time, staffing, training, equipment, and supplies — are allocated to support safe, quality care. Resource constraints that create safety risks shall be escalated to the supervising agency.</w:t>
      </w:r>
    </w:p>
    <w:p>
      <w:pPr>
        <w:pStyle w:val="Normal"/>
        <w:spacing w:before="30" w:after="30"/>
        <w:ind w:hanging="360" w:start="720"/>
        <w:rPr/>
      </w:pPr>
      <w:r>
        <w:rPr>
          <w:rFonts w:eastAsia="Arial" w:cs="Arial"/>
          <w:b/>
          <w:bCs/>
          <w:sz w:val="22"/>
          <w:szCs w:val="22"/>
        </w:rPr>
        <w:t xml:space="preserve">c.  </w:t>
      </w:r>
      <w:r>
        <w:rPr>
          <w:rFonts w:eastAsia="Arial" w:cs="Arial"/>
          <w:sz w:val="22"/>
          <w:szCs w:val="22"/>
        </w:rPr>
        <w:t>All policies and operational decisions shall be evaluated for their impact on the safety and quality of care for individuals served, and decisions shall not be made solely on operational convenience or cost if doing so would compromise safety.</w:t>
      </w:r>
    </w:p>
    <w:p>
      <w:pPr>
        <w:pStyle w:val="Normal"/>
        <w:spacing w:before="140" w:after="60"/>
        <w:rPr/>
      </w:pPr>
      <w:r>
        <w:rPr>
          <w:rFonts w:eastAsia="Arial" w:cs="Arial"/>
          <w:b/>
          <w:bCs/>
          <w:sz w:val="22"/>
          <w:szCs w:val="22"/>
          <w:u w:val="single"/>
        </w:rPr>
        <w:t>B. Non-Punitive Reporting Policy</w:t>
      </w:r>
    </w:p>
    <w:p>
      <w:pPr>
        <w:pStyle w:val="Normal"/>
        <w:spacing w:before="30" w:after="30"/>
        <w:ind w:hanging="360" w:start="720"/>
        <w:rPr/>
      </w:pPr>
      <w:r>
        <w:rPr>
          <w:rFonts w:eastAsia="Arial" w:cs="Arial"/>
          <w:b/>
          <w:bCs/>
          <w:sz w:val="22"/>
          <w:szCs w:val="22"/>
        </w:rPr>
        <w:t xml:space="preserve">a.  </w:t>
      </w:r>
      <w:r>
        <w:rPr>
          <w:rFonts w:eastAsia="Arial" w:cs="Arial"/>
          <w:sz w:val="22"/>
          <w:szCs w:val="22"/>
        </w:rPr>
        <w:t>Staff shall never face disciplinary action, demotion, termination, or any adverse employment action for: reporting an incident, error, near-miss, or safety concern in good faith; participating in a quality review or investigation; raising a concern about practices they believe are unsafe; or reporting suspected abuse, neglect, or exploitation as a mandatory reporter.</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distinction between non-punitive reporting and accountability: staff may be subject to disciplinary action for: deliberate falsification of records, criminal conduct, gross negligence, or deliberate unsafe acts. Staff shall not be disciplined for human errors made in good faith, for reporting their own errors, or for raising safety concerns.</w:t>
      </w:r>
    </w:p>
    <w:p>
      <w:pPr>
        <w:pStyle w:val="Normal"/>
        <w:spacing w:before="30" w:after="30"/>
        <w:ind w:hanging="360" w:start="720"/>
        <w:rPr/>
      </w:pPr>
      <w:r>
        <w:rPr>
          <w:rFonts w:eastAsia="Arial" w:cs="Arial"/>
          <w:b/>
          <w:bCs/>
          <w:sz w:val="22"/>
          <w:szCs w:val="22"/>
        </w:rPr>
        <w:t xml:space="preserve">c.  </w:t>
      </w:r>
      <w:r>
        <w:rPr>
          <w:rFonts w:eastAsia="Arial" w:cs="Arial"/>
          <w:sz w:val="22"/>
          <w:szCs w:val="22"/>
        </w:rPr>
        <w:t>The Administrator shall explicitly and regularly communicate the non-punitive reporting policy to all staff. Staff who feel they have experienced retaliation for good-faith reporting shall be directed to the supervising agency or state licensing authority.</w:t>
      </w:r>
    </w:p>
    <w:p>
      <w:pPr>
        <w:pStyle w:val="Normal"/>
        <w:spacing w:before="140" w:after="60"/>
        <w:rPr/>
      </w:pPr>
      <w:r>
        <w:rPr>
          <w:rFonts w:eastAsia="Arial" w:cs="Arial"/>
          <w:b/>
          <w:bCs/>
          <w:sz w:val="22"/>
          <w:szCs w:val="22"/>
          <w:u w:val="single"/>
        </w:rPr>
        <w:t>C. Organizational Ethics</w:t>
      </w:r>
    </w:p>
    <w:p>
      <w:pPr>
        <w:pStyle w:val="Normal"/>
        <w:spacing w:before="30" w:after="30"/>
        <w:ind w:hanging="360" w:start="720"/>
        <w:rPr/>
      </w:pPr>
      <w:r>
        <w:rPr>
          <w:rFonts w:eastAsia="Arial" w:cs="Arial"/>
          <w:b/>
          <w:bCs/>
          <w:sz w:val="22"/>
          <w:szCs w:val="22"/>
        </w:rPr>
        <w:t xml:space="preserve">a.  </w:t>
      </w:r>
      <w:r>
        <w:rPr>
          <w:rFonts w:eastAsia="Arial" w:cs="Arial"/>
          <w:sz w:val="22"/>
          <w:szCs w:val="22"/>
        </w:rPr>
        <w:t>This Provider shall operate with integrity in all aspects of its business: clinical, financial, and operational. This includes: accurate and honest representation of services provided, truthful documentation, appropriate billing practices (if applicable), transparent communication with individuals, families, and oversight agencies.</w:t>
      </w:r>
    </w:p>
    <w:p>
      <w:pPr>
        <w:pStyle w:val="Normal"/>
        <w:spacing w:before="30" w:after="30"/>
        <w:ind w:hanging="360" w:start="720"/>
        <w:rPr/>
      </w:pPr>
      <w:r>
        <w:rPr>
          <w:rFonts w:eastAsia="Arial" w:cs="Arial"/>
          <w:b/>
          <w:bCs/>
          <w:sz w:val="22"/>
          <w:szCs w:val="22"/>
        </w:rPr>
        <w:t xml:space="preserve">b.  </w:t>
      </w:r>
      <w:r>
        <w:rPr>
          <w:rFonts w:eastAsia="Arial" w:cs="Arial"/>
          <w:sz w:val="22"/>
          <w:szCs w:val="22"/>
        </w:rPr>
        <w:t>Conflicts of interest shall be disclosed and managed. A conflict of interest exists when a personal, financial, or other interest could impair the Provider's ability to make decisions in the individual's best interest.</w:t>
      </w:r>
    </w:p>
    <w:p>
      <w:pPr>
        <w:pStyle w:val="Normal"/>
        <w:spacing w:before="30" w:after="30"/>
        <w:ind w:hanging="360" w:start="720"/>
        <w:rPr/>
      </w:pPr>
      <w:r>
        <w:rPr>
          <w:rFonts w:eastAsia="Arial" w:cs="Arial"/>
          <w:b/>
          <w:bCs/>
          <w:sz w:val="22"/>
          <w:szCs w:val="22"/>
        </w:rPr>
        <w:t xml:space="preserve">c.  </w:t>
      </w:r>
      <w:r>
        <w:rPr>
          <w:rFonts w:eastAsia="Arial" w:cs="Arial"/>
          <w:sz w:val="22"/>
          <w:szCs w:val="22"/>
        </w:rPr>
        <w:t>Ethical concerns — including questions about the appropriateness of clinical decisions, financial practices, or organizational conduct — shall be raised openly with the Administrator or the supervising agency.</w:t>
      </w:r>
    </w:p>
    <w:p>
      <w:pPr>
        <w:pStyle w:val="Normal"/>
        <w:spacing w:before="120" w:after="40"/>
        <w:rPr/>
      </w:pPr>
      <w:r>
        <w:rPr>
          <w:rFonts w:eastAsia="Arial" w:cs="Arial"/>
          <w:b/>
          <w:bCs/>
          <w:color w:val="2E5DA8"/>
          <w:sz w:val="22"/>
          <w:szCs w:val="22"/>
        </w:rPr>
        <w:t>PART II — PERFORMANCE IMPROVEMENT PROGRAM</w:t>
      </w:r>
    </w:p>
    <w:p>
      <w:pPr>
        <w:pStyle w:val="Normal"/>
        <w:spacing w:before="140" w:after="60"/>
        <w:rPr/>
      </w:pPr>
      <w:r>
        <w:rPr>
          <w:rFonts w:eastAsia="Arial" w:cs="Arial"/>
          <w:b/>
          <w:bCs/>
          <w:sz w:val="22"/>
          <w:szCs w:val="22"/>
          <w:u w:val="single"/>
        </w:rPr>
        <w:t>D. Quality Management Review Areas</w:t>
      </w:r>
    </w:p>
    <w:p>
      <w:pPr>
        <w:pStyle w:val="Normal"/>
        <w:spacing w:before="40" w:after="60"/>
        <w:rPr/>
      </w:pPr>
      <w:r>
        <w:rPr>
          <w:rFonts w:eastAsia="Arial" w:cs="Arial"/>
          <w:sz w:val="22"/>
          <w:szCs w:val="22"/>
        </w:rPr>
        <w:t>The QMP shall monitor at minimum the following areas, collecting data monthly and analyzing quarterly:</w:t>
      </w:r>
    </w:p>
    <w:p>
      <w:pPr>
        <w:pStyle w:val="Normal"/>
        <w:spacing w:before="30" w:after="30"/>
        <w:ind w:hanging="360" w:start="720"/>
        <w:rPr/>
      </w:pPr>
      <w:r>
        <w:rPr>
          <w:rFonts w:eastAsia="Arial" w:cs="Arial"/>
          <w:b/>
          <w:bCs/>
          <w:sz w:val="22"/>
          <w:szCs w:val="22"/>
        </w:rPr>
        <w:t xml:space="preserve">a.  </w:t>
      </w:r>
      <w:r>
        <w:rPr>
          <w:rFonts w:eastAsia="Arial" w:cs="Arial"/>
          <w:sz w:val="22"/>
          <w:szCs w:val="22"/>
        </w:rPr>
        <w:t>Incident and critical incident trends — frequency, type, location, individuals and staff involved, severity, and outcomes</w:t>
      </w:r>
    </w:p>
    <w:p>
      <w:pPr>
        <w:pStyle w:val="Normal"/>
        <w:spacing w:before="30" w:after="30"/>
        <w:ind w:hanging="360" w:start="720"/>
        <w:rPr/>
      </w:pPr>
      <w:r>
        <w:rPr>
          <w:rFonts w:eastAsia="Arial" w:cs="Arial"/>
          <w:b/>
          <w:bCs/>
          <w:sz w:val="22"/>
          <w:szCs w:val="22"/>
        </w:rPr>
        <w:t xml:space="preserve">b.  </w:t>
      </w:r>
      <w:r>
        <w:rPr>
          <w:rFonts w:eastAsia="Arial" w:cs="Arial"/>
          <w:sz w:val="22"/>
          <w:szCs w:val="22"/>
        </w:rPr>
        <w:t>Medication management — error rates by type, near-miss rates, ADE rates, high-alert medication events</w:t>
      </w:r>
    </w:p>
    <w:p>
      <w:pPr>
        <w:pStyle w:val="Normal"/>
        <w:spacing w:before="30" w:after="30"/>
        <w:ind w:hanging="360" w:start="720"/>
        <w:rPr/>
      </w:pPr>
      <w:r>
        <w:rPr>
          <w:rFonts w:eastAsia="Arial" w:cs="Arial"/>
          <w:b/>
          <w:bCs/>
          <w:sz w:val="22"/>
          <w:szCs w:val="22"/>
        </w:rPr>
        <w:t xml:space="preserve">c.  </w:t>
      </w:r>
      <w:r>
        <w:rPr>
          <w:rFonts w:eastAsia="Arial" w:cs="Arial"/>
          <w:sz w:val="22"/>
          <w:szCs w:val="22"/>
        </w:rPr>
        <w:t>Grievances and complaints — volume, type, resolution time, outcome, and individual satisfaction</w:t>
      </w:r>
    </w:p>
    <w:p>
      <w:pPr>
        <w:pStyle w:val="Normal"/>
        <w:spacing w:before="30" w:after="30"/>
        <w:ind w:hanging="360" w:start="720"/>
        <w:rPr/>
      </w:pPr>
      <w:r>
        <w:rPr>
          <w:rFonts w:eastAsia="Arial" w:cs="Arial"/>
          <w:b/>
          <w:bCs/>
          <w:sz w:val="22"/>
          <w:szCs w:val="22"/>
        </w:rPr>
        <w:t xml:space="preserve">d.  </w:t>
      </w:r>
      <w:r>
        <w:rPr>
          <w:rFonts w:eastAsia="Arial" w:cs="Arial"/>
          <w:sz w:val="22"/>
          <w:szCs w:val="22"/>
        </w:rPr>
        <w:t>Rights concerns — any rights violations, rights modification requests and outcomes</w:t>
      </w:r>
    </w:p>
    <w:p>
      <w:pPr>
        <w:pStyle w:val="Normal"/>
        <w:spacing w:before="30" w:after="30"/>
        <w:ind w:hanging="360" w:start="720"/>
        <w:rPr/>
      </w:pPr>
      <w:r>
        <w:rPr>
          <w:rFonts w:eastAsia="Arial" w:cs="Arial"/>
          <w:b/>
          <w:bCs/>
          <w:sz w:val="22"/>
          <w:szCs w:val="22"/>
        </w:rPr>
        <w:t xml:space="preserve">e.  </w:t>
      </w:r>
      <w:r>
        <w:rPr>
          <w:rFonts w:eastAsia="Arial" w:cs="Arial"/>
          <w:sz w:val="22"/>
          <w:szCs w:val="22"/>
        </w:rPr>
        <w:t>Abuse, neglect, exploitation reports — frequency, types reported, APS outcomes, corrective actions</w:t>
      </w:r>
    </w:p>
    <w:p>
      <w:pPr>
        <w:pStyle w:val="Normal"/>
        <w:spacing w:before="30" w:after="30"/>
        <w:ind w:hanging="360" w:start="720"/>
        <w:rPr/>
      </w:pPr>
      <w:r>
        <w:rPr>
          <w:rFonts w:eastAsia="Arial" w:cs="Arial"/>
          <w:b/>
          <w:bCs/>
          <w:sz w:val="22"/>
          <w:szCs w:val="22"/>
        </w:rPr>
        <w:t xml:space="preserve">f.  </w:t>
      </w:r>
      <w:r>
        <w:rPr>
          <w:rFonts w:eastAsia="Arial" w:cs="Arial"/>
          <w:sz w:val="22"/>
          <w:szCs w:val="22"/>
        </w:rPr>
        <w:t>Individual health outcomes — falls, hospitalizations, emergency department visits, infections, and other significant health events</w:t>
      </w:r>
    </w:p>
    <w:p>
      <w:pPr>
        <w:pStyle w:val="Normal"/>
        <w:spacing w:before="30" w:after="30"/>
        <w:ind w:hanging="360" w:start="720"/>
        <w:rPr/>
      </w:pPr>
      <w:r>
        <w:rPr>
          <w:rFonts w:eastAsia="Arial" w:cs="Arial"/>
          <w:b/>
          <w:bCs/>
          <w:sz w:val="22"/>
          <w:szCs w:val="22"/>
        </w:rPr>
        <w:t xml:space="preserve">g.  </w:t>
      </w:r>
      <w:r>
        <w:rPr>
          <w:rFonts w:eastAsia="Arial" w:cs="Arial"/>
          <w:sz w:val="22"/>
          <w:szCs w:val="22"/>
        </w:rPr>
        <w:t>Emergency preparedness — drill completion rates, after-action findings, corrective action completion</w:t>
      </w:r>
    </w:p>
    <w:p>
      <w:pPr>
        <w:pStyle w:val="Normal"/>
        <w:spacing w:before="30" w:after="30"/>
        <w:ind w:hanging="360" w:start="720"/>
        <w:rPr/>
      </w:pPr>
      <w:r>
        <w:rPr>
          <w:rFonts w:eastAsia="Arial" w:cs="Arial"/>
          <w:b/>
          <w:bCs/>
          <w:sz w:val="22"/>
          <w:szCs w:val="22"/>
        </w:rPr>
        <w:t xml:space="preserve">h.  </w:t>
      </w:r>
      <w:r>
        <w:rPr>
          <w:rFonts w:eastAsia="Arial" w:cs="Arial"/>
          <w:sz w:val="22"/>
          <w:szCs w:val="22"/>
        </w:rPr>
        <w:t>Training compliance — staff and Provider training completion and certification currency</w:t>
      </w:r>
    </w:p>
    <w:p>
      <w:pPr>
        <w:pStyle w:val="Normal"/>
        <w:spacing w:before="30" w:after="30"/>
        <w:ind w:hanging="360" w:start="720"/>
        <w:rPr/>
      </w:pPr>
      <w:r>
        <w:rPr>
          <w:rFonts w:eastAsia="Arial" w:cs="Arial"/>
          <w:b/>
          <w:bCs/>
          <w:sz w:val="22"/>
          <w:szCs w:val="22"/>
        </w:rPr>
        <w:t xml:space="preserve">i.  </w:t>
      </w:r>
      <w:r>
        <w:rPr>
          <w:rFonts w:eastAsia="Arial" w:cs="Arial"/>
          <w:sz w:val="22"/>
          <w:szCs w:val="22"/>
        </w:rPr>
        <w:t>Environmental safety — monthly inspection findings, deficiency types, and correction timelines</w:t>
      </w:r>
    </w:p>
    <w:p>
      <w:pPr>
        <w:pStyle w:val="Normal"/>
        <w:spacing w:before="30" w:after="30"/>
        <w:ind w:hanging="360" w:start="720"/>
        <w:rPr/>
      </w:pPr>
      <w:r>
        <w:rPr>
          <w:rFonts w:eastAsia="Arial" w:cs="Arial"/>
          <w:b/>
          <w:bCs/>
          <w:sz w:val="22"/>
          <w:szCs w:val="22"/>
        </w:rPr>
        <w:t xml:space="preserve">j.  </w:t>
      </w:r>
      <w:r>
        <w:rPr>
          <w:rFonts w:eastAsia="Arial" w:cs="Arial"/>
          <w:sz w:val="22"/>
          <w:szCs w:val="22"/>
        </w:rPr>
        <w:t>Regulatory compliance — licensing status, survey findings, state correspondence outcomes</w:t>
      </w:r>
    </w:p>
    <w:p>
      <w:pPr>
        <w:pStyle w:val="Normal"/>
        <w:spacing w:before="30" w:after="30"/>
        <w:ind w:hanging="360" w:start="720"/>
        <w:rPr/>
      </w:pPr>
      <w:r>
        <w:rPr>
          <w:rFonts w:eastAsia="Arial" w:cs="Arial"/>
          <w:b/>
          <w:bCs/>
          <w:sz w:val="22"/>
          <w:szCs w:val="22"/>
        </w:rPr>
        <w:t xml:space="preserve">k.  </w:t>
      </w:r>
      <w:r>
        <w:rPr>
          <w:rFonts w:eastAsia="Arial" w:cs="Arial"/>
          <w:sz w:val="22"/>
          <w:szCs w:val="22"/>
        </w:rPr>
        <w:t>Sentinel events — occurrence, RCA completion, action plan implementation and effectiveness</w:t>
      </w:r>
    </w:p>
    <w:p>
      <w:pPr>
        <w:pStyle w:val="Normal"/>
        <w:spacing w:before="140" w:after="60"/>
        <w:rPr/>
      </w:pPr>
      <w:r>
        <w:rPr>
          <w:rFonts w:eastAsia="Arial" w:cs="Arial"/>
          <w:b/>
          <w:bCs/>
          <w:sz w:val="22"/>
          <w:szCs w:val="22"/>
          <w:u w:val="single"/>
        </w:rPr>
        <w:t>E. Data Collection and Measurement</w:t>
      </w:r>
    </w:p>
    <w:p>
      <w:pPr>
        <w:pStyle w:val="Normal"/>
        <w:spacing w:before="30" w:after="30"/>
        <w:ind w:hanging="360" w:start="720"/>
        <w:rPr/>
      </w:pPr>
      <w:r>
        <w:rPr>
          <w:rFonts w:eastAsia="Arial" w:cs="Arial"/>
          <w:b/>
          <w:bCs/>
          <w:sz w:val="22"/>
          <w:szCs w:val="22"/>
        </w:rPr>
        <w:t xml:space="preserve">a.  </w:t>
      </w:r>
      <w:r>
        <w:rPr>
          <w:rFonts w:eastAsia="Arial" w:cs="Arial"/>
          <w:sz w:val="22"/>
          <w:szCs w:val="22"/>
        </w:rPr>
        <w:t>Data for each measurement area shall be collected using standardized tools and at defined intervals (monthly for most areas; quarterly for trend analysis).</w:t>
      </w:r>
    </w:p>
    <w:p>
      <w:pPr>
        <w:pStyle w:val="Normal"/>
        <w:spacing w:before="30" w:after="30"/>
        <w:ind w:hanging="360" w:start="720"/>
        <w:rPr/>
      </w:pPr>
      <w:r>
        <w:rPr>
          <w:rFonts w:eastAsia="Arial" w:cs="Arial"/>
          <w:b/>
          <w:bCs/>
          <w:sz w:val="22"/>
          <w:szCs w:val="22"/>
        </w:rPr>
        <w:t xml:space="preserve">b.  </w:t>
      </w:r>
      <w:r>
        <w:rPr>
          <w:rFonts w:eastAsia="Arial" w:cs="Arial"/>
          <w:sz w:val="22"/>
          <w:szCs w:val="22"/>
        </w:rPr>
        <w:t>Data shall be collected in a manner that allows comparison over time: current month vs. prior month, current quarter vs. prior quarter, and current period vs. same period in the prior year.</w:t>
      </w:r>
    </w:p>
    <w:p>
      <w:pPr>
        <w:pStyle w:val="Normal"/>
        <w:spacing w:before="30" w:after="30"/>
        <w:ind w:hanging="360" w:start="720"/>
        <w:rPr/>
      </w:pPr>
      <w:r>
        <w:rPr>
          <w:rFonts w:eastAsia="Arial" w:cs="Arial"/>
          <w:b/>
          <w:bCs/>
          <w:sz w:val="22"/>
          <w:szCs w:val="22"/>
        </w:rPr>
        <w:t xml:space="preserve">c.  </w:t>
      </w:r>
      <w:r>
        <w:rPr>
          <w:rFonts w:eastAsia="Arial" w:cs="Arial"/>
          <w:sz w:val="22"/>
          <w:szCs w:val="22"/>
        </w:rPr>
        <w:t>Where applicable, data shall be compared to external benchmarks or state averages to provide context for the organization's performance.</w:t>
      </w:r>
    </w:p>
    <w:p>
      <w:pPr>
        <w:pStyle w:val="Normal"/>
        <w:spacing w:before="30" w:after="30"/>
        <w:ind w:hanging="360" w:start="720"/>
        <w:rPr/>
      </w:pPr>
      <w:r>
        <w:rPr>
          <w:rFonts w:eastAsia="Arial" w:cs="Arial"/>
          <w:b/>
          <w:bCs/>
          <w:sz w:val="22"/>
          <w:szCs w:val="22"/>
        </w:rPr>
        <w:t xml:space="preserve">d.  </w:t>
      </w:r>
      <w:r>
        <w:rPr>
          <w:rFonts w:eastAsia="Arial" w:cs="Arial"/>
          <w:sz w:val="22"/>
          <w:szCs w:val="22"/>
        </w:rPr>
        <w:t>Data integrity: all quality data shall be recorded accurately, without modification to improve apparent performance. The purpose of quality data is to identify problems, not to demonstrate perfection.</w:t>
      </w:r>
    </w:p>
    <w:p>
      <w:pPr>
        <w:pStyle w:val="Normal"/>
        <w:spacing w:before="140" w:after="60"/>
        <w:rPr/>
      </w:pPr>
      <w:r>
        <w:rPr>
          <w:rFonts w:eastAsia="Arial" w:cs="Arial"/>
          <w:b/>
          <w:bCs/>
          <w:sz w:val="22"/>
          <w:szCs w:val="22"/>
          <w:u w:val="single"/>
        </w:rPr>
        <w:t>F. Performance Improvement Cycle — PDSA</w:t>
      </w:r>
    </w:p>
    <w:p>
      <w:pPr>
        <w:pStyle w:val="Normal"/>
        <w:spacing w:before="40" w:after="60"/>
        <w:rPr/>
      </w:pPr>
      <w:r>
        <w:rPr>
          <w:rFonts w:eastAsia="Arial" w:cs="Arial"/>
          <w:sz w:val="22"/>
          <w:szCs w:val="22"/>
        </w:rPr>
        <w:t>When quality data reveals a concern, gap, or opportunity, the following PDSA cycle shall be initiated:</w:t>
      </w:r>
    </w:p>
    <w:p>
      <w:pPr>
        <w:pStyle w:val="Normal"/>
        <w:spacing w:before="30" w:after="30"/>
        <w:ind w:hanging="360" w:start="720"/>
        <w:rPr/>
      </w:pPr>
      <w:r>
        <w:rPr>
          <w:rFonts w:eastAsia="Arial" w:cs="Arial"/>
          <w:b/>
          <w:bCs/>
          <w:sz w:val="22"/>
          <w:szCs w:val="22"/>
        </w:rPr>
        <w:t xml:space="preserve">a.  </w:t>
      </w:r>
      <w:r>
        <w:rPr>
          <w:rFonts w:eastAsia="Arial" w:cs="Arial"/>
          <w:sz w:val="22"/>
          <w:szCs w:val="22"/>
        </w:rPr>
        <w:t>PLAN: Define the specific problem or opportunity clearly, using data. Identify the root cause(s) using the RCA framework. Develop a specific, measurable change to be tested. Define how the effectiveness of the change will be measured.</w:t>
      </w:r>
    </w:p>
    <w:p>
      <w:pPr>
        <w:pStyle w:val="Normal"/>
        <w:spacing w:before="30" w:after="30"/>
        <w:ind w:hanging="360" w:start="720"/>
        <w:rPr/>
      </w:pPr>
      <w:r>
        <w:rPr>
          <w:rFonts w:eastAsia="Arial" w:cs="Arial"/>
          <w:b/>
          <w:bCs/>
          <w:sz w:val="22"/>
          <w:szCs w:val="22"/>
        </w:rPr>
        <w:t xml:space="preserve">b.  </w:t>
      </w:r>
      <w:r>
        <w:rPr>
          <w:rFonts w:eastAsia="Arial" w:cs="Arial"/>
          <w:sz w:val="22"/>
          <w:szCs w:val="22"/>
        </w:rPr>
        <w:t>DO: Implement the change, starting on a small scale (e.g., one week, one process, one shift) when testing a new approach.</w:t>
      </w:r>
    </w:p>
    <w:p>
      <w:pPr>
        <w:pStyle w:val="Normal"/>
        <w:spacing w:before="30" w:after="30"/>
        <w:ind w:hanging="360" w:start="720"/>
        <w:rPr/>
      </w:pPr>
      <w:r>
        <w:rPr>
          <w:rFonts w:eastAsia="Arial" w:cs="Arial"/>
          <w:b/>
          <w:bCs/>
          <w:sz w:val="22"/>
          <w:szCs w:val="22"/>
        </w:rPr>
        <w:t xml:space="preserve">c.  </w:t>
      </w:r>
      <w:r>
        <w:rPr>
          <w:rFonts w:eastAsia="Arial" w:cs="Arial"/>
          <w:sz w:val="22"/>
          <w:szCs w:val="22"/>
        </w:rPr>
        <w:t>STUDY: Collect data after implementing the change. Compare the data to the baseline (before the change). Analyze whether the change produced the desired effect. Determine if the change produced any unintended consequences.</w:t>
      </w:r>
    </w:p>
    <w:p>
      <w:pPr>
        <w:pStyle w:val="Normal"/>
        <w:spacing w:before="30" w:after="30"/>
        <w:ind w:hanging="360" w:start="720"/>
        <w:rPr/>
      </w:pPr>
      <w:r>
        <w:rPr>
          <w:rFonts w:eastAsia="Arial" w:cs="Arial"/>
          <w:b/>
          <w:bCs/>
          <w:sz w:val="22"/>
          <w:szCs w:val="22"/>
        </w:rPr>
        <w:t xml:space="preserve">d.  </w:t>
      </w:r>
      <w:r>
        <w:rPr>
          <w:rFonts w:eastAsia="Arial" w:cs="Arial"/>
          <w:sz w:val="22"/>
          <w:szCs w:val="22"/>
        </w:rPr>
        <w:t>ACT: If the change was effective: expand implementation broadly and update relevant policies and procedures. If the change was partially effective: modify the approach and begin another PDSA cycle. If the change was not effective: select a different approach and begin again. Document all PDSA cycles, their outcomes, and the decisions made.</w:t>
      </w:r>
    </w:p>
    <w:p>
      <w:pPr>
        <w:pStyle w:val="Normal"/>
        <w:spacing w:before="140" w:after="60"/>
        <w:rPr/>
      </w:pPr>
      <w:r>
        <w:rPr>
          <w:rFonts w:eastAsia="Arial" w:cs="Arial"/>
          <w:b/>
          <w:bCs/>
          <w:sz w:val="22"/>
          <w:szCs w:val="22"/>
          <w:u w:val="single"/>
        </w:rPr>
        <w:t>G. Quarterly Quality Management Review</w:t>
      </w:r>
    </w:p>
    <w:p>
      <w:pPr>
        <w:pStyle w:val="Normal"/>
        <w:spacing w:before="30" w:after="30"/>
        <w:ind w:hanging="360" w:start="720"/>
        <w:rPr/>
      </w:pPr>
      <w:r>
        <w:rPr>
          <w:rFonts w:eastAsia="Arial" w:cs="Arial"/>
          <w:b/>
          <w:bCs/>
          <w:sz w:val="22"/>
          <w:szCs w:val="22"/>
        </w:rPr>
        <w:t xml:space="preserve">a.  </w:t>
      </w:r>
      <w:r>
        <w:rPr>
          <w:rFonts w:eastAsia="Arial" w:cs="Arial"/>
          <w:sz w:val="22"/>
          <w:szCs w:val="22"/>
        </w:rPr>
        <w:t>A formal Quality Management review meeting shall be conducted quarterly, with participation from the Administrator and, when applicable, supervising agency representatives.</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quarterly review shall include: presentation of data from all measurement areas (Section D above); analysis of trends, patterns, and outliers; review of active PDSA improvement cycles; review of corrective action plans — which are on track and which are not; completion status of prior quarter action items; and identification of new priorities for the coming quarter.</w:t>
      </w:r>
    </w:p>
    <w:p>
      <w:pPr>
        <w:pStyle w:val="Normal"/>
        <w:spacing w:before="30" w:after="30"/>
        <w:ind w:hanging="360" w:start="720"/>
        <w:rPr/>
      </w:pPr>
      <w:r>
        <w:rPr>
          <w:rFonts w:eastAsia="Arial" w:cs="Arial"/>
          <w:b/>
          <w:bCs/>
          <w:sz w:val="22"/>
          <w:szCs w:val="22"/>
        </w:rPr>
        <w:t xml:space="preserve">c.  </w:t>
      </w:r>
      <w:r>
        <w:rPr>
          <w:rFonts w:eastAsia="Arial" w:cs="Arial"/>
          <w:sz w:val="22"/>
          <w:szCs w:val="22"/>
        </w:rPr>
        <w:t>All quarterly QM meetings shall be documented with meeting minutes that include: date, attendees, data reviewed, key findings, decisions made, and action items with assigned responsibility and target dates.</w:t>
      </w:r>
    </w:p>
    <w:p>
      <w:pPr>
        <w:pStyle w:val="Normal"/>
        <w:spacing w:before="140" w:after="60"/>
        <w:rPr/>
      </w:pPr>
      <w:r>
        <w:rPr>
          <w:rFonts w:eastAsia="Arial" w:cs="Arial"/>
          <w:b/>
          <w:bCs/>
          <w:sz w:val="22"/>
          <w:szCs w:val="22"/>
          <w:u w:val="single"/>
        </w:rPr>
        <w:t>H. Sentinel Event Response (Policy 5.00 Cross-Reference)</w:t>
      </w:r>
    </w:p>
    <w:p>
      <w:pPr>
        <w:pStyle w:val="Normal"/>
        <w:spacing w:before="30" w:after="30"/>
        <w:ind w:hanging="360" w:start="720"/>
        <w:rPr/>
      </w:pPr>
      <w:r>
        <w:rPr>
          <w:rFonts w:eastAsia="Arial" w:cs="Arial"/>
          <w:b/>
          <w:bCs/>
          <w:sz w:val="22"/>
          <w:szCs w:val="22"/>
        </w:rPr>
        <w:t xml:space="preserve">a.  </w:t>
      </w:r>
      <w:r>
        <w:rPr>
          <w:rFonts w:eastAsia="Arial" w:cs="Arial"/>
          <w:sz w:val="22"/>
          <w:szCs w:val="22"/>
        </w:rPr>
        <w:t>When a sentinel event occurs, the Quality Management Program is activated for formal RCA and action planning per Policy 5.00. The effectiveness of sentinel event corrective actions shall be monitored and reported at the subsequent quarterly QM meeting.</w:t>
      </w:r>
    </w:p>
    <w:p>
      <w:pPr>
        <w:pStyle w:val="Normal"/>
        <w:spacing w:before="30" w:after="30"/>
        <w:ind w:hanging="360" w:start="720"/>
        <w:rPr/>
      </w:pPr>
      <w:r>
        <w:rPr>
          <w:rFonts w:eastAsia="Arial" w:cs="Arial"/>
          <w:b/>
          <w:bCs/>
          <w:sz w:val="22"/>
          <w:szCs w:val="22"/>
        </w:rPr>
        <w:t xml:space="preserve">b.  </w:t>
      </w:r>
      <w:r>
        <w:rPr>
          <w:rFonts w:eastAsia="Arial" w:cs="Arial"/>
          <w:sz w:val="22"/>
          <w:szCs w:val="22"/>
        </w:rPr>
        <w:t>Sentinel event data (type, frequency, outcomes of corrective actions) shall be tracked in the Quality Management Log and reviewed in the annual quality summary.</w:t>
      </w:r>
    </w:p>
    <w:p>
      <w:pPr>
        <w:pStyle w:val="Normal"/>
        <w:spacing w:before="140" w:after="60"/>
        <w:rPr/>
      </w:pPr>
      <w:r>
        <w:rPr>
          <w:rFonts w:eastAsia="Arial" w:cs="Arial"/>
          <w:b/>
          <w:bCs/>
          <w:sz w:val="22"/>
          <w:szCs w:val="22"/>
          <w:u w:val="single"/>
        </w:rPr>
        <w:t>I. Proactive Risk Assessment</w:t>
      </w:r>
    </w:p>
    <w:p>
      <w:pPr>
        <w:pStyle w:val="Normal"/>
        <w:spacing w:before="30" w:after="30"/>
        <w:ind w:hanging="360" w:start="720"/>
        <w:rPr/>
      </w:pPr>
      <w:r>
        <w:rPr>
          <w:rFonts w:eastAsia="Arial" w:cs="Arial"/>
          <w:b/>
          <w:bCs/>
          <w:sz w:val="22"/>
          <w:szCs w:val="22"/>
        </w:rPr>
        <w:t xml:space="preserve">a.  </w:t>
      </w:r>
      <w:r>
        <w:rPr>
          <w:rFonts w:eastAsia="Arial" w:cs="Arial"/>
          <w:sz w:val="22"/>
          <w:szCs w:val="22"/>
        </w:rPr>
        <w:t>In addition to responding to events that have occurred, this Provider shall conduct proactive risk assessment to identify potential failure points before harm occurs. Proactive risk assessment shall be conducted:</w:t>
      </w:r>
    </w:p>
    <w:p>
      <w:pPr>
        <w:pStyle w:val="ListParagraph"/>
        <w:numPr>
          <w:ilvl w:val="1"/>
          <w:numId w:val="1"/>
        </w:numPr>
        <w:spacing w:before="30" w:after="30"/>
        <w:rPr/>
      </w:pPr>
      <w:r>
        <w:rPr>
          <w:rFonts w:eastAsia="Arial" w:cs="Arial"/>
          <w:sz w:val="22"/>
          <w:szCs w:val="22"/>
        </w:rPr>
        <w:t>Annually, as part of the Environment of Care Risk Assessment (Policy 5.04) and the Hazard Vulnerability Analysis (Policy 5.01)</w:t>
      </w:r>
    </w:p>
    <w:p>
      <w:pPr>
        <w:pStyle w:val="ListParagraph"/>
        <w:numPr>
          <w:ilvl w:val="1"/>
          <w:numId w:val="1"/>
        </w:numPr>
        <w:spacing w:before="30" w:after="30"/>
        <w:rPr/>
      </w:pPr>
      <w:r>
        <w:rPr>
          <w:rFonts w:eastAsia="Arial" w:cs="Arial"/>
          <w:sz w:val="22"/>
          <w:szCs w:val="22"/>
        </w:rPr>
        <w:t>Whenever a new individual is admitted (individual-specific risk assessment)</w:t>
      </w:r>
    </w:p>
    <w:p>
      <w:pPr>
        <w:pStyle w:val="ListParagraph"/>
        <w:numPr>
          <w:ilvl w:val="1"/>
          <w:numId w:val="1"/>
        </w:numPr>
        <w:spacing w:before="30" w:after="30"/>
        <w:rPr/>
      </w:pPr>
      <w:r>
        <w:rPr>
          <w:rFonts w:eastAsia="Arial" w:cs="Arial"/>
          <w:sz w:val="22"/>
          <w:szCs w:val="22"/>
        </w:rPr>
        <w:t>Whenever a new process, medication, equipment, or staffing arrangement is introduced</w:t>
      </w:r>
    </w:p>
    <w:p>
      <w:pPr>
        <w:pStyle w:val="ListParagraph"/>
        <w:numPr>
          <w:ilvl w:val="1"/>
          <w:numId w:val="1"/>
        </w:numPr>
        <w:spacing w:before="30" w:after="30"/>
        <w:rPr/>
      </w:pPr>
      <w:r>
        <w:rPr>
          <w:rFonts w:eastAsia="Arial" w:cs="Arial"/>
          <w:sz w:val="22"/>
          <w:szCs w:val="22"/>
        </w:rPr>
        <w:t>When quality data reveals a near-miss pattern suggesting a higher-severity event is possible</w:t>
      </w:r>
    </w:p>
    <w:p>
      <w:pPr>
        <w:pStyle w:val="Normal"/>
        <w:spacing w:before="30" w:after="30"/>
        <w:ind w:hanging="360" w:start="720"/>
        <w:rPr/>
      </w:pPr>
      <w:r>
        <w:rPr>
          <w:rFonts w:eastAsia="Arial" w:cs="Arial"/>
          <w:b/>
          <w:bCs/>
          <w:sz w:val="22"/>
          <w:szCs w:val="22"/>
        </w:rPr>
        <w:t xml:space="preserve">b.  </w:t>
      </w:r>
      <w:r>
        <w:rPr>
          <w:rFonts w:eastAsia="Arial" w:cs="Arial"/>
          <w:sz w:val="22"/>
          <w:szCs w:val="22"/>
        </w:rPr>
        <w:t>Proactive risk assessment findings shall be documented, prioritized by risk level, and acted upon with corrective actions before harm occurs.</w:t>
      </w:r>
    </w:p>
    <w:p>
      <w:pPr>
        <w:pStyle w:val="Normal"/>
        <w:spacing w:before="140" w:after="60"/>
        <w:rPr/>
      </w:pPr>
      <w:r>
        <w:rPr>
          <w:rFonts w:eastAsia="Arial" w:cs="Arial"/>
          <w:b/>
          <w:bCs/>
          <w:sz w:val="22"/>
          <w:szCs w:val="22"/>
          <w:u w:val="single"/>
        </w:rPr>
        <w:t>J. Annual Quality Summary</w:t>
      </w:r>
    </w:p>
    <w:p>
      <w:pPr>
        <w:pStyle w:val="Normal"/>
        <w:spacing w:before="30" w:after="30"/>
        <w:ind w:hanging="360" w:start="720"/>
        <w:rPr/>
      </w:pPr>
      <w:r>
        <w:rPr>
          <w:rFonts w:eastAsia="Arial" w:cs="Arial"/>
          <w:b/>
          <w:bCs/>
          <w:sz w:val="22"/>
          <w:szCs w:val="22"/>
        </w:rPr>
        <w:t xml:space="preserve">a.  </w:t>
      </w:r>
      <w:r>
        <w:rPr>
          <w:rFonts w:eastAsia="Arial" w:cs="Arial"/>
          <w:sz w:val="22"/>
          <w:szCs w:val="22"/>
        </w:rPr>
        <w:t>An Annual Quality Summary shall be prepared by the Administrator at the conclusion of each calendar year, documenting: the year's quality improvement priorities and the outcomes achieved; significant improvements implemented and their measured effectiveness; sentinel events and the status of corrective actions; plans and priorities for the coming year.</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Annual Quality Summary shall be shared with the supervising agency and filed as part of the Quality Management record.</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Quality Management Log</w:t>
      </w:r>
    </w:p>
    <w:p>
      <w:pPr>
        <w:pStyle w:val="ListParagraph"/>
        <w:numPr>
          <w:ilvl w:val="0"/>
          <w:numId w:val="1"/>
        </w:numPr>
        <w:spacing w:before="30" w:after="30"/>
        <w:rPr/>
      </w:pPr>
      <w:r>
        <w:rPr>
          <w:rFonts w:eastAsia="Arial" w:cs="Arial"/>
          <w:sz w:val="22"/>
          <w:szCs w:val="22"/>
        </w:rPr>
        <w:t>Quarterly QM Meeting Minutes</w:t>
      </w:r>
    </w:p>
    <w:p>
      <w:pPr>
        <w:pStyle w:val="ListParagraph"/>
        <w:numPr>
          <w:ilvl w:val="0"/>
          <w:numId w:val="1"/>
        </w:numPr>
        <w:spacing w:before="30" w:after="30"/>
        <w:rPr/>
      </w:pPr>
      <w:r>
        <w:rPr>
          <w:rFonts w:eastAsia="Arial" w:cs="Arial"/>
          <w:sz w:val="22"/>
          <w:szCs w:val="22"/>
        </w:rPr>
        <w:t>PDSA Improvement Cycle Documentation</w:t>
      </w:r>
    </w:p>
    <w:p>
      <w:pPr>
        <w:pStyle w:val="ListParagraph"/>
        <w:numPr>
          <w:ilvl w:val="0"/>
          <w:numId w:val="1"/>
        </w:numPr>
        <w:spacing w:before="30" w:after="30"/>
        <w:rPr/>
      </w:pPr>
      <w:r>
        <w:rPr>
          <w:rFonts w:eastAsia="Arial" w:cs="Arial"/>
          <w:sz w:val="22"/>
          <w:szCs w:val="22"/>
        </w:rPr>
        <w:t>Sentinel Event RCA Template (Policy 5.00)</w:t>
      </w:r>
    </w:p>
    <w:p>
      <w:pPr>
        <w:pStyle w:val="ListParagraph"/>
        <w:numPr>
          <w:ilvl w:val="0"/>
          <w:numId w:val="1"/>
        </w:numPr>
        <w:spacing w:before="30" w:after="30"/>
        <w:rPr/>
      </w:pPr>
      <w:r>
        <w:rPr>
          <w:rFonts w:eastAsia="Arial" w:cs="Arial"/>
          <w:sz w:val="22"/>
          <w:szCs w:val="22"/>
        </w:rPr>
        <w:t>Annual Quality Summary Report</w:t>
      </w:r>
    </w:p>
    <w:p>
      <w:pPr>
        <w:pStyle w:val="ListParagraph"/>
        <w:numPr>
          <w:ilvl w:val="0"/>
          <w:numId w:val="1"/>
        </w:numPr>
        <w:spacing w:before="30" w:after="30"/>
        <w:rPr/>
      </w:pPr>
      <w:r>
        <w:rPr>
          <w:rFonts w:eastAsia="Arial" w:cs="Arial"/>
          <w:sz w:val="22"/>
          <w:szCs w:val="22"/>
        </w:rPr>
        <w:t>Annual EC Risk Assessment (Policy 5.04)</w:t>
      </w:r>
    </w:p>
    <w:p>
      <w:pPr>
        <w:pStyle w:val="ListParagraph"/>
        <w:numPr>
          <w:ilvl w:val="0"/>
          <w:numId w:val="1"/>
        </w:numPr>
        <w:spacing w:before="30" w:after="30"/>
        <w:rPr/>
      </w:pPr>
      <w:r>
        <w:rPr>
          <w:rFonts w:eastAsia="Arial" w:cs="Arial"/>
          <w:sz w:val="22"/>
          <w:szCs w:val="22"/>
        </w:rPr>
        <w:t>Annual HVA (Policy 5.01)</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#6.01: Documentation Standards, Record Content &amp; Data Integrity</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Administration / Quality</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6.01</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RC.01–RC.04 (JC Record of Care); IM.01–IM.02 (JC Information Management); HIPAA 45 CFR Parts 160 &amp; 164; State Record Retention Requirements</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[Provider Name /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establish consistent, professional standards for all documentation produced or maintained by this Provider; to define required record content elements aligned with Joint Commission Record of Care standards; to establish data integrity protections that ensure records are accurate, complete, and trustworthy; and to ensure records are retained in compliance with state and federal requirements and disposed of securely.</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All documentation produced or maintained by this Provider shall be accurate, timely, complete, legible, signed, dated, and consistent with what actually occurred. Documentation is a legal and clinical record — it must reflect reality, not what staff wish had occurred. Falsification of records is a terminable offense and may constitute a crime. Records shall be accessible to those who need them for care provision, and protected from unauthorized disclosure.</w:t>
      </w:r>
    </w:p>
    <w:p>
      <w:pPr>
        <w:pStyle w:val="Normal"/>
        <w:spacing w:before="120" w:after="40"/>
        <w:rPr/>
      </w:pPr>
      <w:r>
        <w:rPr>
          <w:rFonts w:eastAsia="Arial" w:cs="Arial"/>
          <w:b/>
          <w:bCs/>
          <w:color w:val="2E5DA8"/>
          <w:sz w:val="22"/>
          <w:szCs w:val="22"/>
        </w:rPr>
        <w:t>DOCUMENTATION STANDARDS</w:t>
      </w:r>
    </w:p>
    <w:p>
      <w:pPr>
        <w:pStyle w:val="Normal"/>
        <w:spacing w:before="140" w:after="60"/>
        <w:rPr/>
      </w:pPr>
      <w:r>
        <w:rPr>
          <w:rFonts w:eastAsia="Arial" w:cs="Arial"/>
          <w:b/>
          <w:bCs/>
          <w:sz w:val="22"/>
          <w:szCs w:val="22"/>
          <w:u w:val="single"/>
        </w:rPr>
        <w:t>A. Universal Documentation Standards</w:t>
      </w:r>
    </w:p>
    <w:p>
      <w:pPr>
        <w:pStyle w:val="Normal"/>
        <w:spacing w:before="30" w:after="30"/>
        <w:ind w:hanging="360" w:start="720"/>
        <w:rPr/>
      </w:pPr>
      <w:r>
        <w:rPr>
          <w:rFonts w:eastAsia="Arial" w:cs="Arial"/>
          <w:b/>
          <w:bCs/>
          <w:sz w:val="22"/>
          <w:szCs w:val="22"/>
        </w:rPr>
        <w:t xml:space="preserve">a.  </w:t>
      </w:r>
      <w:r>
        <w:rPr>
          <w:rFonts w:eastAsia="Arial" w:cs="Arial"/>
          <w:sz w:val="22"/>
          <w:szCs w:val="22"/>
        </w:rPr>
        <w:t>All entries in clinical records shall be: made at or near the time of the event (never in advance); signed with the documenting individual's full name and title; dated and timed using a twenty-four (24) hour or consistent AM/PM format; written in permanent ink (paper records) or through an authorized system (electronic records); legible and using only approved abbreviations.</w:t>
      </w:r>
    </w:p>
    <w:p>
      <w:pPr>
        <w:pStyle w:val="Normal"/>
        <w:spacing w:before="30" w:after="30"/>
        <w:ind w:hanging="360" w:start="720"/>
        <w:rPr/>
      </w:pPr>
      <w:r>
        <w:rPr>
          <w:rFonts w:eastAsia="Arial" w:cs="Arial"/>
          <w:b/>
          <w:bCs/>
          <w:sz w:val="22"/>
          <w:szCs w:val="22"/>
        </w:rPr>
        <w:t xml:space="preserve">b.  </w:t>
      </w:r>
      <w:r>
        <w:rPr>
          <w:rFonts w:eastAsia="Arial" w:cs="Arial"/>
          <w:sz w:val="22"/>
          <w:szCs w:val="22"/>
        </w:rPr>
        <w:t>Corrections to paper records: draw a single line through the error; write the correct information adjacent; initial, date, and time the correction; write a brief note explaining the correction (e.g., 'wrong date'). Never use correction fluid (white-out), erase, obscure, or otherwise make the original entry unreadable.</w:t>
      </w:r>
    </w:p>
    <w:p>
      <w:pPr>
        <w:pStyle w:val="Normal"/>
        <w:spacing w:before="30" w:after="30"/>
        <w:ind w:hanging="360" w:start="720"/>
        <w:rPr/>
      </w:pPr>
      <w:r>
        <w:rPr>
          <w:rFonts w:eastAsia="Arial" w:cs="Arial"/>
          <w:b/>
          <w:bCs/>
          <w:sz w:val="22"/>
          <w:szCs w:val="22"/>
        </w:rPr>
        <w:t xml:space="preserve">c.  </w:t>
      </w:r>
      <w:r>
        <w:rPr>
          <w:rFonts w:eastAsia="Arial" w:cs="Arial"/>
          <w:sz w:val="22"/>
          <w:szCs w:val="22"/>
        </w:rPr>
        <w:t>Electronic record corrections: use the system's built-in amendment or addendum function, which preserves the original entry. Do not delete original entries.</w:t>
      </w:r>
    </w:p>
    <w:p>
      <w:pPr>
        <w:pStyle w:val="Normal"/>
        <w:spacing w:before="30" w:after="30"/>
        <w:ind w:hanging="360" w:start="720"/>
        <w:rPr/>
      </w:pPr>
      <w:r>
        <w:rPr>
          <w:rFonts w:eastAsia="Arial" w:cs="Arial"/>
          <w:b/>
          <w:bCs/>
          <w:sz w:val="22"/>
          <w:szCs w:val="22"/>
        </w:rPr>
        <w:t xml:space="preserve">d.  </w:t>
      </w:r>
      <w:r>
        <w:rPr>
          <w:rFonts w:eastAsia="Arial" w:cs="Arial"/>
          <w:sz w:val="22"/>
          <w:szCs w:val="22"/>
        </w:rPr>
        <w:t>Late entries: if documentation is completed after the fact (e.g., documenting an overnight event at the beginning of the next shift), the entry shall be clearly labeled as a 'late entry' with the current date and time of documentation, along with the date and time of the actual event.</w:t>
      </w:r>
    </w:p>
    <w:p>
      <w:pPr>
        <w:pStyle w:val="Normal"/>
        <w:spacing w:before="140" w:after="60"/>
        <w:rPr/>
      </w:pPr>
      <w:r>
        <w:rPr>
          <w:rFonts w:eastAsia="Arial" w:cs="Arial"/>
          <w:b/>
          <w:bCs/>
          <w:sz w:val="22"/>
          <w:szCs w:val="22"/>
          <w:u w:val="single"/>
        </w:rPr>
        <w:t>B. Required Clinical Record Content</w:t>
      </w:r>
    </w:p>
    <w:p>
      <w:pPr>
        <w:pStyle w:val="Normal"/>
        <w:spacing w:before="40" w:after="60"/>
        <w:rPr/>
      </w:pPr>
      <w:r>
        <w:rPr>
          <w:rFonts w:eastAsia="Arial" w:cs="Arial"/>
          <w:sz w:val="22"/>
          <w:szCs w:val="22"/>
        </w:rPr>
        <w:t>Each individual's clinical record shall contain, at minimum, the following elements:</w:t>
      </w:r>
    </w:p>
    <w:p>
      <w:pPr>
        <w:pStyle w:val="Normal"/>
        <w:spacing w:before="30" w:after="30"/>
        <w:ind w:hanging="360" w:start="720"/>
        <w:rPr/>
      </w:pPr>
      <w:r>
        <w:rPr>
          <w:rFonts w:eastAsia="Arial" w:cs="Arial"/>
          <w:b/>
          <w:bCs/>
          <w:sz w:val="22"/>
          <w:szCs w:val="22"/>
        </w:rPr>
        <w:t xml:space="preserve">a.  </w:t>
      </w:r>
      <w:r>
        <w:rPr>
          <w:rFonts w:eastAsia="Arial" w:cs="Arial"/>
          <w:sz w:val="22"/>
          <w:szCs w:val="22"/>
        </w:rPr>
        <w:t>Face Sheet: full legal name, date of birth, gender identity and pronouns, primary language, AHCA/Medicaid/insurance ID numbers, emergency contacts (minimum two with relationship and phone), legal guardian name and contact, date of admission</w:t>
      </w:r>
    </w:p>
    <w:p>
      <w:pPr>
        <w:pStyle w:val="Normal"/>
        <w:spacing w:before="30" w:after="30"/>
        <w:ind w:hanging="360" w:start="720"/>
        <w:rPr/>
      </w:pPr>
      <w:r>
        <w:rPr>
          <w:rFonts w:eastAsia="Arial" w:cs="Arial"/>
          <w:b/>
          <w:bCs/>
          <w:sz w:val="22"/>
          <w:szCs w:val="22"/>
        </w:rPr>
        <w:t xml:space="preserve">b.  </w:t>
      </w:r>
      <w:r>
        <w:rPr>
          <w:rFonts w:eastAsia="Arial" w:cs="Arial"/>
          <w:sz w:val="22"/>
          <w:szCs w:val="22"/>
        </w:rPr>
        <w:t>Current PCP/ISP and all revisions, with dates</w:t>
      </w:r>
    </w:p>
    <w:p>
      <w:pPr>
        <w:pStyle w:val="Normal"/>
        <w:spacing w:before="30" w:after="30"/>
        <w:ind w:hanging="360" w:start="720"/>
        <w:rPr/>
      </w:pPr>
      <w:r>
        <w:rPr>
          <w:rFonts w:eastAsia="Arial" w:cs="Arial"/>
          <w:b/>
          <w:bCs/>
          <w:sz w:val="22"/>
          <w:szCs w:val="22"/>
        </w:rPr>
        <w:t xml:space="preserve">c.  </w:t>
      </w:r>
      <w:r>
        <w:rPr>
          <w:rFonts w:eastAsia="Arial" w:cs="Arial"/>
          <w:sz w:val="22"/>
          <w:szCs w:val="22"/>
        </w:rPr>
        <w:t>Assessment documents: initial and all subsequent assessments, functional assessment, and any specialized assessments</w:t>
      </w:r>
    </w:p>
    <w:p>
      <w:pPr>
        <w:pStyle w:val="Normal"/>
        <w:spacing w:before="30" w:after="30"/>
        <w:ind w:hanging="360" w:start="720"/>
        <w:rPr/>
      </w:pPr>
      <w:r>
        <w:rPr>
          <w:rFonts w:eastAsia="Arial" w:cs="Arial"/>
          <w:b/>
          <w:bCs/>
          <w:sz w:val="22"/>
          <w:szCs w:val="22"/>
        </w:rPr>
        <w:t xml:space="preserve">d.  </w:t>
      </w:r>
      <w:r>
        <w:rPr>
          <w:rFonts w:eastAsia="Arial" w:cs="Arial"/>
          <w:sz w:val="22"/>
          <w:szCs w:val="22"/>
        </w:rPr>
        <w:t>Physician / prescribing practitioner orders: all active standing orders and PRN orders, dated and signed</w:t>
      </w:r>
    </w:p>
    <w:p>
      <w:pPr>
        <w:pStyle w:val="Normal"/>
        <w:spacing w:before="30" w:after="30"/>
        <w:ind w:hanging="360" w:start="720"/>
        <w:rPr/>
      </w:pPr>
      <w:r>
        <w:rPr>
          <w:rFonts w:eastAsia="Arial" w:cs="Arial"/>
          <w:b/>
          <w:bCs/>
          <w:sz w:val="22"/>
          <w:szCs w:val="22"/>
        </w:rPr>
        <w:t xml:space="preserve">e.  </w:t>
      </w:r>
      <w:r>
        <w:rPr>
          <w:rFonts w:eastAsia="Arial" w:cs="Arial"/>
          <w:sz w:val="22"/>
          <w:szCs w:val="22"/>
        </w:rPr>
        <w:t>Advance directive / POLST / DNR: current status documented; if the individual has an advance directive, a current copy shall be on file; if the individual declines to execute an advance directive, this shall be documented</w:t>
      </w:r>
    </w:p>
    <w:p>
      <w:pPr>
        <w:pStyle w:val="Normal"/>
        <w:spacing w:before="30" w:after="30"/>
        <w:ind w:hanging="360" w:start="720"/>
        <w:rPr/>
      </w:pPr>
      <w:r>
        <w:rPr>
          <w:rFonts w:eastAsia="Arial" w:cs="Arial"/>
          <w:b/>
          <w:bCs/>
          <w:sz w:val="22"/>
          <w:szCs w:val="22"/>
        </w:rPr>
        <w:t xml:space="preserve">f.  </w:t>
      </w:r>
      <w:r>
        <w:rPr>
          <w:rFonts w:eastAsia="Arial" w:cs="Arial"/>
          <w:sz w:val="22"/>
          <w:szCs w:val="22"/>
        </w:rPr>
        <w:t>Current Medication Administration Record (MAR): covering at minimum the current cycle, with the prior three months retained for reference</w:t>
      </w:r>
    </w:p>
    <w:p>
      <w:pPr>
        <w:pStyle w:val="Normal"/>
        <w:spacing w:before="30" w:after="30"/>
        <w:ind w:hanging="360" w:start="720"/>
        <w:rPr/>
      </w:pPr>
      <w:r>
        <w:rPr>
          <w:rFonts w:eastAsia="Arial" w:cs="Arial"/>
          <w:b/>
          <w:bCs/>
          <w:sz w:val="22"/>
          <w:szCs w:val="22"/>
        </w:rPr>
        <w:t xml:space="preserve">g.  </w:t>
      </w:r>
      <w:r>
        <w:rPr>
          <w:rFonts w:eastAsia="Arial" w:cs="Arial"/>
          <w:sz w:val="22"/>
          <w:szCs w:val="22"/>
        </w:rPr>
        <w:t>Progress notes: dated, timed, signed entries for each shift documenting the individual's status, activities, any significant events, and care provided</w:t>
      </w:r>
    </w:p>
    <w:p>
      <w:pPr>
        <w:pStyle w:val="Normal"/>
        <w:spacing w:before="30" w:after="30"/>
        <w:ind w:hanging="360" w:start="720"/>
        <w:rPr/>
      </w:pPr>
      <w:r>
        <w:rPr>
          <w:rFonts w:eastAsia="Arial" w:cs="Arial"/>
          <w:b/>
          <w:bCs/>
          <w:sz w:val="22"/>
          <w:szCs w:val="22"/>
        </w:rPr>
        <w:t xml:space="preserve">h.  </w:t>
      </w:r>
      <w:r>
        <w:rPr>
          <w:rFonts w:eastAsia="Arial" w:cs="Arial"/>
          <w:sz w:val="22"/>
          <w:szCs w:val="22"/>
        </w:rPr>
        <w:t>Health monitoring records: vital signs logs, dietary and fluid intake records (when clinically indicated), weight logs (when clinically indicated)</w:t>
      </w:r>
    </w:p>
    <w:p>
      <w:pPr>
        <w:pStyle w:val="Normal"/>
        <w:spacing w:before="30" w:after="30"/>
        <w:ind w:hanging="360" w:start="720"/>
        <w:rPr/>
      </w:pPr>
      <w:r>
        <w:rPr>
          <w:rFonts w:eastAsia="Arial" w:cs="Arial"/>
          <w:b/>
          <w:bCs/>
          <w:sz w:val="22"/>
          <w:szCs w:val="22"/>
        </w:rPr>
        <w:t xml:space="preserve">i.  </w:t>
      </w:r>
      <w:r>
        <w:rPr>
          <w:rFonts w:eastAsia="Arial" w:cs="Arial"/>
          <w:sz w:val="22"/>
          <w:szCs w:val="22"/>
        </w:rPr>
        <w:t>Incident and critical incident reports: all reports and follow-up documentation</w:t>
      </w:r>
    </w:p>
    <w:p>
      <w:pPr>
        <w:pStyle w:val="Normal"/>
        <w:spacing w:before="30" w:after="30"/>
        <w:ind w:hanging="360" w:start="720"/>
        <w:rPr/>
      </w:pPr>
      <w:r>
        <w:rPr>
          <w:rFonts w:eastAsia="Arial" w:cs="Arial"/>
          <w:b/>
          <w:bCs/>
          <w:sz w:val="22"/>
          <w:szCs w:val="22"/>
        </w:rPr>
        <w:t xml:space="preserve">j.  </w:t>
      </w:r>
      <w:r>
        <w:rPr>
          <w:rFonts w:eastAsia="Arial" w:cs="Arial"/>
          <w:sz w:val="22"/>
          <w:szCs w:val="22"/>
        </w:rPr>
        <w:t>Rights Acknowledgment Form and any rights modification documentation</w:t>
      </w:r>
    </w:p>
    <w:p>
      <w:pPr>
        <w:pStyle w:val="Normal"/>
        <w:spacing w:before="30" w:after="30"/>
        <w:ind w:hanging="360" w:start="720"/>
        <w:rPr/>
      </w:pPr>
      <w:r>
        <w:rPr>
          <w:rFonts w:eastAsia="Arial" w:cs="Arial"/>
          <w:b/>
          <w:bCs/>
          <w:sz w:val="22"/>
          <w:szCs w:val="22"/>
        </w:rPr>
        <w:t xml:space="preserve">k.  </w:t>
      </w:r>
      <w:r>
        <w:rPr>
          <w:rFonts w:eastAsia="Arial" w:cs="Arial"/>
          <w:sz w:val="22"/>
          <w:szCs w:val="22"/>
        </w:rPr>
        <w:t>Consent to services documentation</w:t>
      </w:r>
    </w:p>
    <w:p>
      <w:pPr>
        <w:pStyle w:val="Normal"/>
        <w:spacing w:before="30" w:after="30"/>
        <w:ind w:hanging="360" w:start="720"/>
        <w:rPr/>
      </w:pPr>
      <w:r>
        <w:rPr>
          <w:rFonts w:eastAsia="Arial" w:cs="Arial"/>
          <w:b/>
          <w:bCs/>
          <w:sz w:val="22"/>
          <w:szCs w:val="22"/>
        </w:rPr>
        <w:t xml:space="preserve">l.  </w:t>
      </w:r>
      <w:r>
        <w:rPr>
          <w:rFonts w:eastAsia="Arial" w:cs="Arial"/>
          <w:sz w:val="22"/>
          <w:szCs w:val="22"/>
        </w:rPr>
        <w:t>Behavioral Incident Reports (if applicable)</w:t>
      </w:r>
    </w:p>
    <w:p>
      <w:pPr>
        <w:pStyle w:val="Normal"/>
        <w:spacing w:before="30" w:after="30"/>
        <w:ind w:hanging="360" w:start="720"/>
        <w:rPr/>
      </w:pPr>
      <w:r>
        <w:rPr>
          <w:rFonts w:eastAsia="Arial" w:cs="Arial"/>
          <w:b/>
          <w:bCs/>
          <w:sz w:val="22"/>
          <w:szCs w:val="22"/>
        </w:rPr>
        <w:t xml:space="preserve">m.  </w:t>
      </w:r>
      <w:r>
        <w:rPr>
          <w:rFonts w:eastAsia="Arial" w:cs="Arial"/>
          <w:sz w:val="22"/>
          <w:szCs w:val="22"/>
        </w:rPr>
        <w:t>Healthcare appointment summaries</w:t>
      </w:r>
    </w:p>
    <w:p>
      <w:pPr>
        <w:pStyle w:val="Normal"/>
        <w:spacing w:before="30" w:after="30"/>
        <w:ind w:hanging="360" w:start="720"/>
        <w:rPr/>
      </w:pPr>
      <w:r>
        <w:rPr>
          <w:rFonts w:eastAsia="Arial" w:cs="Arial"/>
          <w:b/>
          <w:bCs/>
          <w:sz w:val="22"/>
          <w:szCs w:val="22"/>
        </w:rPr>
        <w:t xml:space="preserve">n.  </w:t>
      </w:r>
      <w:r>
        <w:rPr>
          <w:rFonts w:eastAsia="Arial" w:cs="Arial"/>
          <w:sz w:val="22"/>
          <w:szCs w:val="22"/>
        </w:rPr>
        <w:t>Transition of care documentation (see Section C)</w:t>
      </w:r>
    </w:p>
    <w:p>
      <w:pPr>
        <w:pStyle w:val="Normal"/>
        <w:spacing w:before="140" w:after="60"/>
        <w:rPr/>
      </w:pPr>
      <w:r>
        <w:rPr>
          <w:rFonts w:eastAsia="Arial" w:cs="Arial"/>
          <w:b/>
          <w:bCs/>
          <w:sz w:val="22"/>
          <w:szCs w:val="22"/>
          <w:u w:val="single"/>
        </w:rPr>
        <w:t>C. Transition of Care Documentation Standards</w:t>
      </w:r>
    </w:p>
    <w:p>
      <w:pPr>
        <w:pStyle w:val="Normal"/>
        <w:spacing w:before="40" w:after="60"/>
        <w:rPr/>
      </w:pPr>
      <w:r>
        <w:rPr>
          <w:rFonts w:eastAsia="Arial" w:cs="Arial"/>
          <w:sz w:val="22"/>
          <w:szCs w:val="22"/>
        </w:rPr>
        <w:t>Continuity of care at transitions requires structured information transfer. The following shall be documented for every transition (see also Policy 3.01):</w:t>
      </w:r>
    </w:p>
    <w:p>
      <w:pPr>
        <w:pStyle w:val="Normal"/>
        <w:spacing w:before="30" w:after="30"/>
        <w:ind w:hanging="360" w:start="720"/>
        <w:rPr/>
      </w:pPr>
      <w:r>
        <w:rPr>
          <w:rFonts w:eastAsia="Arial" w:cs="Arial"/>
          <w:b/>
          <w:bCs/>
          <w:sz w:val="22"/>
          <w:szCs w:val="22"/>
        </w:rPr>
        <w:t xml:space="preserve">a.  </w:t>
      </w:r>
      <w:r>
        <w:rPr>
          <w:rFonts w:eastAsia="Arial" w:cs="Arial"/>
          <w:sz w:val="22"/>
          <w:szCs w:val="22"/>
        </w:rPr>
        <w:t>At admission: the receiving and reviewing of prior records, a reconciliation of the medication list, the completion of the initial assessment, and the briefing of all staff on the individual's current needs and care plan.</w:t>
      </w:r>
    </w:p>
    <w:p>
      <w:pPr>
        <w:pStyle w:val="Normal"/>
        <w:spacing w:before="30" w:after="30"/>
        <w:ind w:hanging="360" w:start="720"/>
        <w:rPr/>
      </w:pPr>
      <w:r>
        <w:rPr>
          <w:rFonts w:eastAsia="Arial" w:cs="Arial"/>
          <w:b/>
          <w:bCs/>
          <w:sz w:val="22"/>
          <w:szCs w:val="22"/>
        </w:rPr>
        <w:t xml:space="preserve">b.  </w:t>
      </w:r>
      <w:r>
        <w:rPr>
          <w:rFonts w:eastAsia="Arial" w:cs="Arial"/>
          <w:sz w:val="22"/>
          <w:szCs w:val="22"/>
        </w:rPr>
        <w:t>At every transition to another setting (hospital, respite, alternative placement): the time and date of departure, the destination, the name of the individual receiving the transfer, the clinical information transmitted, the current medication list transmitted, any pending follow-up items communicated, and the method of transmission (verbal report, written summary, electronic transfer).</w:t>
      </w:r>
    </w:p>
    <w:p>
      <w:pPr>
        <w:pStyle w:val="Normal"/>
        <w:spacing w:before="30" w:after="30"/>
        <w:ind w:hanging="360" w:start="720"/>
        <w:rPr/>
      </w:pPr>
      <w:r>
        <w:rPr>
          <w:rFonts w:eastAsia="Arial" w:cs="Arial"/>
          <w:b/>
          <w:bCs/>
          <w:sz w:val="22"/>
          <w:szCs w:val="22"/>
        </w:rPr>
        <w:t xml:space="preserve">c.  </w:t>
      </w:r>
      <w:r>
        <w:rPr>
          <w:rFonts w:eastAsia="Arial" w:cs="Arial"/>
          <w:sz w:val="22"/>
          <w:szCs w:val="22"/>
        </w:rPr>
        <w:t>Upon return from another setting: the time and date of return, the condition of the individual upon return, a medication reconciliation completed before the next medication administration, any new orders or care changes received, and any follow-up items required.</w:t>
      </w:r>
    </w:p>
    <w:p>
      <w:pPr>
        <w:pStyle w:val="Normal"/>
        <w:spacing w:before="140" w:after="60"/>
        <w:rPr/>
      </w:pPr>
      <w:r>
        <w:rPr>
          <w:rFonts w:eastAsia="Arial" w:cs="Arial"/>
          <w:b/>
          <w:bCs/>
          <w:sz w:val="22"/>
          <w:szCs w:val="22"/>
          <w:u w:val="single"/>
        </w:rPr>
        <w:t>D. Documentation of Assessments</w:t>
      </w:r>
    </w:p>
    <w:p>
      <w:pPr>
        <w:pStyle w:val="Normal"/>
        <w:spacing w:before="30" w:after="30"/>
        <w:ind w:hanging="360" w:start="720"/>
        <w:rPr/>
      </w:pPr>
      <w:r>
        <w:rPr>
          <w:rFonts w:eastAsia="Arial" w:cs="Arial"/>
          <w:b/>
          <w:bCs/>
          <w:sz w:val="22"/>
          <w:szCs w:val="22"/>
        </w:rPr>
        <w:t xml:space="preserve">a.  </w:t>
      </w:r>
      <w:r>
        <w:rPr>
          <w:rFonts w:eastAsia="Arial" w:cs="Arial"/>
          <w:sz w:val="22"/>
          <w:szCs w:val="22"/>
        </w:rPr>
        <w:t>All assessments shall include: the name and date of the assessment tool used; the date of administration; the name, credentials, and signature of the assessor; the results and their clinical interpretation; and the clinical recommendations arising from the results.</w:t>
      </w:r>
    </w:p>
    <w:p>
      <w:pPr>
        <w:pStyle w:val="Normal"/>
        <w:spacing w:before="30" w:after="30"/>
        <w:ind w:hanging="360" w:start="720"/>
        <w:rPr/>
      </w:pPr>
      <w:r>
        <w:rPr>
          <w:rFonts w:eastAsia="Arial" w:cs="Arial"/>
          <w:b/>
          <w:bCs/>
          <w:sz w:val="22"/>
          <w:szCs w:val="22"/>
        </w:rPr>
        <w:t xml:space="preserve">b.  </w:t>
      </w:r>
      <w:r>
        <w:rPr>
          <w:rFonts w:eastAsia="Arial" w:cs="Arial"/>
          <w:sz w:val="22"/>
          <w:szCs w:val="22"/>
        </w:rPr>
        <w:t>Assessment results shall be communicated to the individual's interdisciplinary team within forty-eight (48) hours and shall be reflected in the next PCP/ISP update.</w:t>
      </w:r>
    </w:p>
    <w:p>
      <w:pPr>
        <w:pStyle w:val="Normal"/>
        <w:spacing w:before="140" w:after="60"/>
        <w:rPr/>
      </w:pPr>
      <w:r>
        <w:rPr>
          <w:rFonts w:eastAsia="Arial" w:cs="Arial"/>
          <w:b/>
          <w:bCs/>
          <w:sz w:val="22"/>
          <w:szCs w:val="22"/>
          <w:u w:val="single"/>
        </w:rPr>
        <w:t>E. Data Integrity and Security</w:t>
      </w:r>
    </w:p>
    <w:p>
      <w:pPr>
        <w:pStyle w:val="Normal"/>
        <w:spacing w:before="30" w:after="30"/>
        <w:ind w:hanging="360" w:start="720"/>
        <w:rPr/>
      </w:pPr>
      <w:r>
        <w:rPr>
          <w:rFonts w:eastAsia="Arial" w:cs="Arial"/>
          <w:b/>
          <w:bCs/>
          <w:sz w:val="22"/>
          <w:szCs w:val="22"/>
        </w:rPr>
        <w:t xml:space="preserve">a.  </w:t>
      </w:r>
      <w:r>
        <w:rPr>
          <w:rFonts w:eastAsia="Arial" w:cs="Arial"/>
          <w:sz w:val="22"/>
          <w:szCs w:val="22"/>
        </w:rPr>
        <w:t>This Provider takes active measures to ensure the accuracy and security of all clinical and operational records:</w:t>
      </w:r>
    </w:p>
    <w:p>
      <w:pPr>
        <w:pStyle w:val="ListParagraph"/>
        <w:numPr>
          <w:ilvl w:val="1"/>
          <w:numId w:val="1"/>
        </w:numPr>
        <w:spacing w:before="30" w:after="30"/>
        <w:rPr/>
      </w:pPr>
      <w:r>
        <w:rPr>
          <w:rFonts w:eastAsia="Arial" w:cs="Arial"/>
          <w:sz w:val="22"/>
          <w:szCs w:val="22"/>
        </w:rPr>
        <w:t>Access controls: clinical records shall be accessible only to authorized individuals (see Policy 1.01). Access logs shall be maintained for electronic systems.</w:t>
      </w:r>
    </w:p>
    <w:p>
      <w:pPr>
        <w:pStyle w:val="ListParagraph"/>
        <w:numPr>
          <w:ilvl w:val="1"/>
          <w:numId w:val="1"/>
        </w:numPr>
        <w:spacing w:before="30" w:after="30"/>
        <w:rPr/>
      </w:pPr>
      <w:r>
        <w:rPr>
          <w:rFonts w:eastAsia="Arial" w:cs="Arial"/>
          <w:sz w:val="22"/>
          <w:szCs w:val="22"/>
        </w:rPr>
        <w:t>Accuracy verification: the Administrator shall conduct random periodic audits of clinical records to verify documentation accuracy, timeliness, and completeness. Audit findings shall be addressed through training or corrective action as appropriate.</w:t>
      </w:r>
    </w:p>
    <w:p>
      <w:pPr>
        <w:pStyle w:val="ListParagraph"/>
        <w:numPr>
          <w:ilvl w:val="1"/>
          <w:numId w:val="1"/>
        </w:numPr>
        <w:spacing w:before="30" w:after="30"/>
        <w:rPr/>
      </w:pPr>
      <w:r>
        <w:rPr>
          <w:rFonts w:eastAsia="Arial" w:cs="Arial"/>
          <w:sz w:val="22"/>
          <w:szCs w:val="22"/>
        </w:rPr>
        <w:t>Backup: electronic records shall be backed up at minimum daily to a secure, off-site or cloud-based location. Backup integrity shall be verified monthly.</w:t>
      </w:r>
    </w:p>
    <w:p>
      <w:pPr>
        <w:pStyle w:val="ListParagraph"/>
        <w:numPr>
          <w:ilvl w:val="1"/>
          <w:numId w:val="1"/>
        </w:numPr>
        <w:spacing w:before="30" w:after="30"/>
        <w:rPr/>
      </w:pPr>
      <w:r>
        <w:rPr>
          <w:rFonts w:eastAsia="Arial" w:cs="Arial"/>
          <w:sz w:val="22"/>
          <w:szCs w:val="22"/>
        </w:rPr>
        <w:t>Physical record security: paper records shall be stored in locked cabinets in secure areas. Records shall not be left unattended in common areas.</w:t>
      </w:r>
    </w:p>
    <w:p>
      <w:pPr>
        <w:pStyle w:val="ListParagraph"/>
        <w:numPr>
          <w:ilvl w:val="1"/>
          <w:numId w:val="1"/>
        </w:numPr>
        <w:spacing w:before="30" w:after="30"/>
        <w:rPr/>
      </w:pPr>
      <w:r>
        <w:rPr>
          <w:rFonts w:eastAsia="Arial" w:cs="Arial"/>
          <w:sz w:val="22"/>
          <w:szCs w:val="22"/>
        </w:rPr>
        <w:t>Falsification prevention: documentation that appears to have been altered, backdated, or falsified shall be investigated immediately. Confirmed falsification is grounds for immediate termination and potential criminal referral.</w:t>
      </w:r>
    </w:p>
    <w:p>
      <w:pPr>
        <w:pStyle w:val="Normal"/>
        <w:spacing w:before="140" w:after="60"/>
        <w:rPr/>
      </w:pPr>
      <w:r>
        <w:rPr>
          <w:rFonts w:eastAsia="Arial" w:cs="Arial"/>
          <w:b/>
          <w:bCs/>
          <w:sz w:val="22"/>
          <w:szCs w:val="22"/>
          <w:u w:val="single"/>
        </w:rPr>
        <w:t>F. Record Retention Schedule</w:t>
      </w:r>
    </w:p>
    <w:tbl>
      <w:tblPr>
        <w:tblW w:w="9360" w:type="dxa"/>
        <w:jc w:val="start"/>
        <w:tblInd w:w="0" w:type="dxa"/>
        <w:tblLayout w:type="fixed"/>
        <w:tblCellMar>
          <w:top w:w="60" w:type="dxa"/>
          <w:start w:w="100" w:type="dxa"/>
          <w:bottom w:w="60" w:type="dxa"/>
          <w:end w:w="100" w:type="dxa"/>
        </w:tblCellMar>
      </w:tblPr>
      <w:tblGrid>
        <w:gridCol w:w="5000"/>
        <w:gridCol w:w="4359"/>
      </w:tblGrid>
      <w:tr>
        <w:trPr/>
        <w:tc>
          <w:tcPr>
            <w:tcW w:w="5000" w:type="dxa"/>
            <w:tcBorders>
              <w:top w:val="single" w:sz="2" w:space="0" w:color="CCCCCC"/>
              <w:start w:val="single" w:sz="2" w:space="0" w:color="CCCCCC"/>
              <w:bottom w:val="single" w:sz="2" w:space="0" w:color="CCCCCC"/>
              <w:end w:val="single" w:sz="2" w:space="0" w:color="CCCCCC"/>
            </w:tcBorders>
            <w:shd w:fill="1F3864" w:val="clear"/>
          </w:tcPr>
          <w:p>
            <w:pPr>
              <w:pStyle w:val="Normal"/>
              <w:rPr/>
            </w:pPr>
            <w:r>
              <w:rPr>
                <w:rFonts w:eastAsia="Arial" w:cs="Arial"/>
                <w:b/>
                <w:bCs/>
                <w:color w:val="FFFFFF"/>
                <w:sz w:val="20"/>
                <w:szCs w:val="20"/>
              </w:rPr>
              <w:t>Record Type</w:t>
            </w:r>
          </w:p>
        </w:tc>
        <w:tc>
          <w:tcPr>
            <w:tcW w:w="4359" w:type="dxa"/>
            <w:tcBorders>
              <w:top w:val="single" w:sz="2" w:space="0" w:color="CCCCCC"/>
              <w:start w:val="single" w:sz="2" w:space="0" w:color="CCCCCC"/>
              <w:bottom w:val="single" w:sz="2" w:space="0" w:color="CCCCCC"/>
              <w:end w:val="single" w:sz="2" w:space="0" w:color="CCCCCC"/>
            </w:tcBorders>
            <w:shd w:fill="1F3864" w:val="clear"/>
          </w:tcPr>
          <w:p>
            <w:pPr>
              <w:pStyle w:val="Normal"/>
              <w:rPr/>
            </w:pPr>
            <w:r>
              <w:rPr>
                <w:rFonts w:eastAsia="Arial" w:cs="Arial"/>
                <w:b/>
                <w:bCs/>
                <w:color w:val="FFFFFF"/>
                <w:sz w:val="20"/>
                <w:szCs w:val="20"/>
              </w:rPr>
              <w:t>Minimum Retention Period</w:t>
            </w:r>
          </w:p>
        </w:tc>
      </w:tr>
      <w:tr>
        <w:trPr/>
        <w:tc>
          <w:tcPr>
            <w:tcW w:w="5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Clinical / Individual Records</w:t>
            </w:r>
          </w:p>
        </w:tc>
        <w:tc>
          <w:tcPr>
            <w:tcW w:w="435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7 years after discharge or death</w:t>
            </w:r>
          </w:p>
        </w:tc>
      </w:tr>
      <w:tr>
        <w:trPr/>
        <w:tc>
          <w:tcPr>
            <w:tcW w:w="5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Medication Administration Records (MAR)</w:t>
            </w:r>
          </w:p>
        </w:tc>
        <w:tc>
          <w:tcPr>
            <w:tcW w:w="435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7 years</w:t>
            </w:r>
          </w:p>
        </w:tc>
      </w:tr>
      <w:tr>
        <w:trPr/>
        <w:tc>
          <w:tcPr>
            <w:tcW w:w="5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Incident / Critical Incident Reports</w:t>
            </w:r>
          </w:p>
        </w:tc>
        <w:tc>
          <w:tcPr>
            <w:tcW w:w="435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7 years</w:t>
            </w:r>
          </w:p>
        </w:tc>
      </w:tr>
      <w:tr>
        <w:trPr/>
        <w:tc>
          <w:tcPr>
            <w:tcW w:w="5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Transition of Care Documentation</w:t>
            </w:r>
          </w:p>
        </w:tc>
        <w:tc>
          <w:tcPr>
            <w:tcW w:w="435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7 years</w:t>
            </w:r>
          </w:p>
        </w:tc>
      </w:tr>
      <w:tr>
        <w:trPr/>
        <w:tc>
          <w:tcPr>
            <w:tcW w:w="5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Quality Management Logs and Meeting Minutes</w:t>
            </w:r>
          </w:p>
        </w:tc>
        <w:tc>
          <w:tcPr>
            <w:tcW w:w="435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5 years</w:t>
            </w:r>
          </w:p>
        </w:tc>
      </w:tr>
      <w:tr>
        <w:trPr/>
        <w:tc>
          <w:tcPr>
            <w:tcW w:w="5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Personnel Files</w:t>
            </w:r>
          </w:p>
        </w:tc>
        <w:tc>
          <w:tcPr>
            <w:tcW w:w="435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3 years after separation</w:t>
            </w:r>
          </w:p>
        </w:tc>
      </w:tr>
      <w:tr>
        <w:trPr/>
        <w:tc>
          <w:tcPr>
            <w:tcW w:w="5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Training and Certification Records</w:t>
            </w:r>
          </w:p>
        </w:tc>
        <w:tc>
          <w:tcPr>
            <w:tcW w:w="435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3 years after separation</w:t>
            </w:r>
          </w:p>
        </w:tc>
      </w:tr>
      <w:tr>
        <w:trPr/>
        <w:tc>
          <w:tcPr>
            <w:tcW w:w="5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Financial / Fund Management Records</w:t>
            </w:r>
          </w:p>
        </w:tc>
        <w:tc>
          <w:tcPr>
            <w:tcW w:w="435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3 years minimum (verify state law)</w:t>
            </w:r>
          </w:p>
        </w:tc>
      </w:tr>
      <w:tr>
        <w:trPr/>
        <w:tc>
          <w:tcPr>
            <w:tcW w:w="5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Environmental Inspection Records</w:t>
            </w:r>
          </w:p>
        </w:tc>
        <w:tc>
          <w:tcPr>
            <w:tcW w:w="435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3 years</w:t>
            </w:r>
          </w:p>
        </w:tc>
      </w:tr>
      <w:tr>
        <w:trPr/>
        <w:tc>
          <w:tcPr>
            <w:tcW w:w="5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Hazardous Materials Records / SDS</w:t>
            </w:r>
          </w:p>
        </w:tc>
        <w:tc>
          <w:tcPr>
            <w:tcW w:w="435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Duration of use + 30 years (SDS)</w:t>
            </w:r>
          </w:p>
        </w:tc>
      </w:tr>
      <w:tr>
        <w:trPr/>
        <w:tc>
          <w:tcPr>
            <w:tcW w:w="5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Emergency Preparedness Plans and AARs</w:t>
            </w:r>
          </w:p>
        </w:tc>
        <w:tc>
          <w:tcPr>
            <w:tcW w:w="435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3 years</w:t>
            </w:r>
          </w:p>
        </w:tc>
      </w:tr>
      <w:tr>
        <w:trPr/>
        <w:tc>
          <w:tcPr>
            <w:tcW w:w="5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Grievance and Complaint Files</w:t>
            </w:r>
          </w:p>
        </w:tc>
        <w:tc>
          <w:tcPr>
            <w:tcW w:w="435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7 years</w:t>
            </w:r>
          </w:p>
        </w:tc>
      </w:tr>
      <w:tr>
        <w:trPr/>
        <w:tc>
          <w:tcPr>
            <w:tcW w:w="5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Infection Surveillance Logs</w:t>
            </w:r>
          </w:p>
        </w:tc>
        <w:tc>
          <w:tcPr>
            <w:tcW w:w="435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3 years</w:t>
            </w:r>
          </w:p>
        </w:tc>
      </w:tr>
    </w:tbl>
    <w:p>
      <w:pPr>
        <w:pStyle w:val="Normal"/>
        <w:spacing w:before="0" w:after="80"/>
        <w:rPr/>
      </w:pPr>
      <w:r>
        <w:rPr/>
      </w:r>
    </w:p>
    <w:p>
      <w:pPr>
        <w:pStyle w:val="Normal"/>
        <w:spacing w:before="140" w:after="60"/>
        <w:rPr/>
      </w:pPr>
      <w:r>
        <w:rPr>
          <w:rFonts w:eastAsia="Arial" w:cs="Arial"/>
          <w:b/>
          <w:bCs/>
          <w:sz w:val="22"/>
          <w:szCs w:val="22"/>
          <w:u w:val="single"/>
        </w:rPr>
        <w:t>G. Secure Record Destruction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Paper records shall be shredded by a cross-cut shredder or a HIPAA-compliant document destruction service. A Certificate of Destruction shall be maintained.</w:t>
      </w:r>
    </w:p>
    <w:p>
      <w:pPr>
        <w:pStyle w:val="Normal"/>
        <w:spacing w:before="30" w:after="30"/>
        <w:ind w:hanging="360" w:start="720"/>
        <w:rPr/>
      </w:pPr>
      <w:r>
        <w:rPr>
          <w:rFonts w:eastAsia="Arial" w:cs="Arial"/>
          <w:b/>
          <w:bCs/>
          <w:sz w:val="22"/>
          <w:szCs w:val="22"/>
        </w:rPr>
        <w:t xml:space="preserve">b.  </w:t>
      </w:r>
      <w:r>
        <w:rPr>
          <w:rFonts w:eastAsia="Arial" w:cs="Arial"/>
          <w:sz w:val="22"/>
          <w:szCs w:val="22"/>
        </w:rPr>
        <w:t>Electronic records shall be securely deleted using a certified data destruction method. Proof of secure deletion shall be maintained.</w:t>
      </w:r>
    </w:p>
    <w:p>
      <w:pPr>
        <w:pStyle w:val="Normal"/>
        <w:spacing w:before="30" w:after="30"/>
        <w:ind w:hanging="360" w:start="720"/>
        <w:rPr/>
      </w:pPr>
      <w:r>
        <w:rPr>
          <w:rFonts w:eastAsia="Arial" w:cs="Arial"/>
          <w:b/>
          <w:bCs/>
          <w:sz w:val="22"/>
          <w:szCs w:val="22"/>
        </w:rPr>
        <w:t xml:space="preserve">c.  </w:t>
      </w:r>
      <w:r>
        <w:rPr>
          <w:rFonts w:eastAsia="Arial" w:cs="Arial"/>
          <w:sz w:val="22"/>
          <w:szCs w:val="22"/>
        </w:rPr>
        <w:t>Record destruction shall not occur while an investigation, litigation, or audit involving those records is pending.</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#6.02: Provider Agreements, Licensing, Regulatory Compliance &amp; Ethics</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Administration / Compliance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6.02</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LD.01 (JC Leadership / Ethics); APR.01 (JC Accreditation Participation); State Licensing and Waiver Provider Requirements; Applicable State and Federal Statutes</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[Provider Name /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ensure that this Provider maintains all required licenses, certifications, and provider agreements in current standing; that all regulatory reporting obligations are met on time and accurately; and that the Provider's operations reflect the ethical commitments and leadership accountability that characterize a high-quality, trustworthy provider of services to individuals with intellectual and developmental disabilities.</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This Provider shall at all times maintain the licenses, certifications, and provider agreements required by state and federal authorities. Regulatory compliance is a baseline obligation — ethical and quality practice extends beyond minimum compliance to active commitment to the highest standards of care. The Provider/Administrator is personally accountable for the accuracy of all information submitted to licensing, waiver, and oversight authorities.</w:t>
      </w:r>
    </w:p>
    <w:p>
      <w:pPr>
        <w:pStyle w:val="Normal"/>
        <w:spacing w:before="120" w:after="40"/>
        <w:rPr/>
      </w:pPr>
      <w:r>
        <w:rPr>
          <w:rFonts w:eastAsia="Arial" w:cs="Arial"/>
          <w:b/>
          <w:bCs/>
          <w:color w:val="2E5DA8"/>
          <w:sz w:val="22"/>
          <w:szCs w:val="22"/>
        </w:rPr>
        <w:t>REQUIRED LICENSES &amp; AGREEMENTS</w:t>
      </w:r>
    </w:p>
    <w:p>
      <w:pPr>
        <w:pStyle w:val="Normal"/>
        <w:spacing w:before="40" w:after="60"/>
        <w:rPr/>
      </w:pPr>
      <w:r>
        <w:rPr>
          <w:rFonts w:eastAsia="Arial" w:cs="Arial"/>
          <w:sz w:val="22"/>
          <w:szCs w:val="22"/>
        </w:rPr>
        <w:t>The following credentials shall be maintained in current standing (state-specific — refer to the state-applicable cover page and How to Use section for specific license and agreement types):</w:t>
      </w:r>
    </w:p>
    <w:p>
      <w:pPr>
        <w:pStyle w:val="Normal"/>
        <w:spacing w:before="30" w:after="30"/>
        <w:ind w:hanging="360" w:start="720"/>
        <w:rPr/>
      </w:pPr>
      <w:r>
        <w:rPr>
          <w:rFonts w:eastAsia="Arial" w:cs="Arial"/>
          <w:b/>
          <w:bCs/>
          <w:sz w:val="22"/>
          <w:szCs w:val="22"/>
        </w:rPr>
        <w:t xml:space="preserve">a.  </w:t>
      </w:r>
      <w:r>
        <w:rPr>
          <w:rFonts w:eastAsia="Arial" w:cs="Arial"/>
          <w:sz w:val="22"/>
          <w:szCs w:val="22"/>
        </w:rPr>
        <w:t>State residential facility license or developmental home certification — as applicable</w:t>
      </w:r>
    </w:p>
    <w:p>
      <w:pPr>
        <w:pStyle w:val="Normal"/>
        <w:spacing w:before="30" w:after="30"/>
        <w:ind w:hanging="360" w:start="720"/>
        <w:rPr/>
      </w:pPr>
      <w:r>
        <w:rPr>
          <w:rFonts w:eastAsia="Arial" w:cs="Arial"/>
          <w:b/>
          <w:bCs/>
          <w:sz w:val="22"/>
          <w:szCs w:val="22"/>
        </w:rPr>
        <w:t xml:space="preserve">b.  </w:t>
      </w:r>
      <w:r>
        <w:rPr>
          <w:rFonts w:eastAsia="Arial" w:cs="Arial"/>
          <w:sz w:val="22"/>
          <w:szCs w:val="22"/>
        </w:rPr>
        <w:t>Medicaid waiver provider agreement or qualification — maintained per state requirements</w:t>
      </w:r>
    </w:p>
    <w:p>
      <w:pPr>
        <w:pStyle w:val="Normal"/>
        <w:spacing w:before="30" w:after="30"/>
        <w:ind w:hanging="360" w:start="720"/>
        <w:rPr/>
      </w:pPr>
      <w:r>
        <w:rPr>
          <w:rFonts w:eastAsia="Arial" w:cs="Arial"/>
          <w:b/>
          <w:bCs/>
          <w:sz w:val="22"/>
          <w:szCs w:val="22"/>
        </w:rPr>
        <w:t xml:space="preserve">c.  </w:t>
      </w:r>
      <w:r>
        <w:rPr>
          <w:rFonts w:eastAsia="Arial" w:cs="Arial"/>
          <w:sz w:val="22"/>
          <w:szCs w:val="22"/>
        </w:rPr>
        <w:t>HCBS Certificate or equivalent state certification — as applicable</w:t>
      </w:r>
    </w:p>
    <w:p>
      <w:pPr>
        <w:pStyle w:val="Normal"/>
        <w:spacing w:before="30" w:after="30"/>
        <w:ind w:hanging="360" w:start="720"/>
        <w:rPr/>
      </w:pPr>
      <w:r>
        <w:rPr>
          <w:rFonts w:eastAsia="Arial" w:cs="Arial"/>
          <w:b/>
          <w:bCs/>
          <w:sz w:val="22"/>
          <w:szCs w:val="22"/>
        </w:rPr>
        <w:t xml:space="preserve">d.  </w:t>
      </w:r>
      <w:r>
        <w:rPr>
          <w:rFonts w:eastAsia="Arial" w:cs="Arial"/>
          <w:sz w:val="22"/>
          <w:szCs w:val="22"/>
        </w:rPr>
        <w:t>General liability and professional liability insurance — certificates on file</w:t>
      </w:r>
    </w:p>
    <w:p>
      <w:pPr>
        <w:pStyle w:val="Normal"/>
        <w:spacing w:before="30" w:after="30"/>
        <w:ind w:hanging="360" w:start="720"/>
        <w:rPr/>
      </w:pPr>
      <w:r>
        <w:rPr>
          <w:rFonts w:eastAsia="Arial" w:cs="Arial"/>
          <w:b/>
          <w:bCs/>
          <w:sz w:val="22"/>
          <w:szCs w:val="22"/>
        </w:rPr>
        <w:t xml:space="preserve">e.  </w:t>
      </w:r>
      <w:r>
        <w:rPr>
          <w:rFonts w:eastAsia="Arial" w:cs="Arial"/>
          <w:sz w:val="22"/>
          <w:szCs w:val="22"/>
        </w:rPr>
        <w:t>All required background check clearances — for Provider and all adult household members or agency employees</w:t>
      </w:r>
    </w:p>
    <w:p>
      <w:pPr>
        <w:pStyle w:val="Normal"/>
        <w:spacing w:before="30" w:after="30"/>
        <w:ind w:hanging="360" w:start="720"/>
        <w:rPr/>
      </w:pPr>
      <w:r>
        <w:rPr>
          <w:rFonts w:eastAsia="Arial" w:cs="Arial"/>
          <w:b/>
          <w:bCs/>
          <w:sz w:val="22"/>
          <w:szCs w:val="22"/>
        </w:rPr>
        <w:t xml:space="preserve">f.  </w:t>
      </w:r>
      <w:r>
        <w:rPr>
          <w:rFonts w:eastAsia="Arial" w:cs="Arial"/>
          <w:sz w:val="22"/>
          <w:szCs w:val="22"/>
        </w:rPr>
        <w:t>Workers' Compensation insurance — as required by state law</w:t>
      </w:r>
    </w:p>
    <w:p>
      <w:pPr>
        <w:pStyle w:val="Normal"/>
        <w:spacing w:before="30" w:after="30"/>
        <w:ind w:hanging="360" w:start="720"/>
        <w:rPr/>
      </w:pPr>
      <w:r>
        <w:rPr>
          <w:rFonts w:eastAsia="Arial" w:cs="Arial"/>
          <w:b/>
          <w:bCs/>
          <w:sz w:val="22"/>
          <w:szCs w:val="22"/>
        </w:rPr>
        <w:t xml:space="preserve">g.  </w:t>
      </w:r>
      <w:r>
        <w:rPr>
          <w:rFonts w:eastAsia="Arial" w:cs="Arial"/>
          <w:sz w:val="22"/>
          <w:szCs w:val="22"/>
        </w:rPr>
        <w:t>Any other licenses or certifications required by the state or supervising agency</w:t>
      </w:r>
    </w:p>
    <w:p>
      <w:pPr>
        <w:pStyle w:val="Normal"/>
        <w:spacing w:before="120" w:after="40"/>
        <w:rPr/>
      </w:pPr>
      <w:r>
        <w:rPr>
          <w:rFonts w:eastAsia="Arial" w:cs="Arial"/>
          <w:b/>
          <w:bCs/>
          <w:color w:val="2E5DA8"/>
          <w:sz w:val="22"/>
          <w:szCs w:val="22"/>
        </w:rPr>
        <w:t>REGULATORY REPORTING OBLIGATIONS</w:t>
      </w:r>
    </w:p>
    <w:p>
      <w:pPr>
        <w:pStyle w:val="Normal"/>
        <w:spacing w:before="40" w:after="60"/>
        <w:rPr/>
      </w:pPr>
      <w:r>
        <w:rPr>
          <w:rFonts w:eastAsia="Arial" w:cs="Arial"/>
          <w:sz w:val="22"/>
          <w:szCs w:val="22"/>
        </w:rPr>
        <w:t>This Provider shall comply with all mandatory reporting timeframes. Key categories include (see state-specific policy addendum for exact timeframes):</w:t>
      </w:r>
    </w:p>
    <w:p>
      <w:pPr>
        <w:pStyle w:val="Normal"/>
        <w:spacing w:before="30" w:after="30"/>
        <w:ind w:hanging="360" w:start="720"/>
        <w:rPr/>
      </w:pPr>
      <w:r>
        <w:rPr>
          <w:rFonts w:eastAsia="Arial" w:cs="Arial"/>
          <w:b/>
          <w:bCs/>
          <w:sz w:val="22"/>
          <w:szCs w:val="22"/>
        </w:rPr>
        <w:t xml:space="preserve">a.  </w:t>
      </w:r>
      <w:r>
        <w:rPr>
          <w:rFonts w:eastAsia="Arial" w:cs="Arial"/>
          <w:sz w:val="22"/>
          <w:szCs w:val="22"/>
        </w:rPr>
        <w:t>Abuse, neglect, and exploitation of at-risk adults — same shift; APS hotline (mandatory reporter obligation, independent of administrative reporting)</w:t>
      </w:r>
    </w:p>
    <w:p>
      <w:pPr>
        <w:pStyle w:val="Normal"/>
        <w:spacing w:before="30" w:after="30"/>
        <w:ind w:hanging="360" w:start="720"/>
        <w:rPr/>
      </w:pPr>
      <w:r>
        <w:rPr>
          <w:rFonts w:eastAsia="Arial" w:cs="Arial"/>
          <w:b/>
          <w:bCs/>
          <w:sz w:val="22"/>
          <w:szCs w:val="22"/>
        </w:rPr>
        <w:t xml:space="preserve">b.  </w:t>
      </w:r>
      <w:r>
        <w:rPr>
          <w:rFonts w:eastAsia="Arial" w:cs="Arial"/>
          <w:sz w:val="22"/>
          <w:szCs w:val="22"/>
        </w:rPr>
        <w:t>Critical incidents to the state waiver or licensing authority — within twenty-four (24) hours initial report, with final written report within five (5) business days</w:t>
      </w:r>
    </w:p>
    <w:p>
      <w:pPr>
        <w:pStyle w:val="Normal"/>
        <w:spacing w:before="30" w:after="30"/>
        <w:ind w:hanging="360" w:start="720"/>
        <w:rPr/>
      </w:pPr>
      <w:r>
        <w:rPr>
          <w:rFonts w:eastAsia="Arial" w:cs="Arial"/>
          <w:b/>
          <w:bCs/>
          <w:sz w:val="22"/>
          <w:szCs w:val="22"/>
        </w:rPr>
        <w:t xml:space="preserve">c.  </w:t>
      </w:r>
      <w:r>
        <w:rPr>
          <w:rFonts w:eastAsia="Arial" w:cs="Arial"/>
          <w:sz w:val="22"/>
          <w:szCs w:val="22"/>
        </w:rPr>
        <w:t>Individual relocations, discharges, or emergency placements — per state requirements (typically twenty-four to forty-eight hours)</w:t>
      </w:r>
    </w:p>
    <w:p>
      <w:pPr>
        <w:pStyle w:val="Normal"/>
        <w:spacing w:before="30" w:after="30"/>
        <w:ind w:hanging="360" w:start="720"/>
        <w:rPr/>
      </w:pPr>
      <w:r>
        <w:rPr>
          <w:rFonts w:eastAsia="Arial" w:cs="Arial"/>
          <w:b/>
          <w:bCs/>
          <w:sz w:val="22"/>
          <w:szCs w:val="22"/>
        </w:rPr>
        <w:t xml:space="preserve">d.  </w:t>
      </w:r>
      <w:r>
        <w:rPr>
          <w:rFonts w:eastAsia="Arial" w:cs="Arial"/>
          <w:sz w:val="22"/>
          <w:szCs w:val="22"/>
        </w:rPr>
        <w:t>Changes in the Facility Operator, Administrator, or household composition — typically within thirty (30) days</w:t>
      </w:r>
    </w:p>
    <w:p>
      <w:pPr>
        <w:pStyle w:val="Normal"/>
        <w:spacing w:before="30" w:after="30"/>
        <w:ind w:hanging="360" w:start="720"/>
        <w:rPr/>
      </w:pPr>
      <w:r>
        <w:rPr>
          <w:rFonts w:eastAsia="Arial" w:cs="Arial"/>
          <w:b/>
          <w:bCs/>
          <w:sz w:val="22"/>
          <w:szCs w:val="22"/>
        </w:rPr>
        <w:t xml:space="preserve">e.  </w:t>
      </w:r>
      <w:r>
        <w:rPr>
          <w:rFonts w:eastAsia="Arial" w:cs="Arial"/>
          <w:sz w:val="22"/>
          <w:szCs w:val="22"/>
        </w:rPr>
        <w:t>Communicable disease outbreaks — within twenty-four (24) hours to state public health authority</w:t>
      </w:r>
    </w:p>
    <w:p>
      <w:pPr>
        <w:pStyle w:val="Normal"/>
        <w:spacing w:before="30" w:after="30"/>
        <w:ind w:hanging="360" w:start="720"/>
        <w:rPr/>
      </w:pPr>
      <w:r>
        <w:rPr>
          <w:rFonts w:eastAsia="Arial" w:cs="Arial"/>
          <w:b/>
          <w:bCs/>
          <w:sz w:val="22"/>
          <w:szCs w:val="22"/>
        </w:rPr>
        <w:t xml:space="preserve">f.  </w:t>
      </w:r>
      <w:r>
        <w:rPr>
          <w:rFonts w:eastAsia="Arial" w:cs="Arial"/>
          <w:sz w:val="22"/>
          <w:szCs w:val="22"/>
        </w:rPr>
        <w:t>Annual quality/outcomes reporting — per state HCBS quality framework requirements</w:t>
      </w:r>
    </w:p>
    <w:p>
      <w:pPr>
        <w:pStyle w:val="Normal"/>
        <w:spacing w:before="30" w:after="30"/>
        <w:ind w:hanging="360" w:start="720"/>
        <w:rPr/>
      </w:pPr>
      <w:r>
        <w:rPr>
          <w:rFonts w:eastAsia="Arial" w:cs="Arial"/>
          <w:b/>
          <w:bCs/>
          <w:sz w:val="22"/>
          <w:szCs w:val="22"/>
        </w:rPr>
        <w:t xml:space="preserve">g.  </w:t>
      </w:r>
      <w:r>
        <w:rPr>
          <w:rFonts w:eastAsia="Arial" w:cs="Arial"/>
          <w:sz w:val="22"/>
          <w:szCs w:val="22"/>
        </w:rPr>
        <w:t>License renewal — initiated at least sixty to ninety (60–90) days before expiration</w:t>
      </w:r>
    </w:p>
    <w:p>
      <w:pPr>
        <w:pStyle w:val="Normal"/>
        <w:spacing w:before="120" w:after="40"/>
        <w:rPr/>
      </w:pPr>
      <w:r>
        <w:rPr>
          <w:rFonts w:eastAsia="Arial" w:cs="Arial"/>
          <w:b/>
          <w:bCs/>
          <w:color w:val="2E5DA8"/>
          <w:sz w:val="22"/>
          <w:szCs w:val="22"/>
        </w:rPr>
        <w:t>COMPLIANCE MANAGEMENT</w:t>
      </w:r>
    </w:p>
    <w:p>
      <w:pPr>
        <w:pStyle w:val="Normal"/>
        <w:spacing w:before="140" w:after="60"/>
        <w:rPr/>
      </w:pPr>
      <w:r>
        <w:rPr>
          <w:rFonts w:eastAsia="Arial" w:cs="Arial"/>
          <w:b/>
          <w:bCs/>
          <w:sz w:val="22"/>
          <w:szCs w:val="22"/>
          <w:u w:val="single"/>
        </w:rPr>
        <w:t>A. Compliance Calendar</w:t>
      </w:r>
    </w:p>
    <w:p>
      <w:pPr>
        <w:pStyle w:val="Normal"/>
        <w:spacing w:before="30" w:after="30"/>
        <w:ind w:hanging="360" w:start="720"/>
        <w:rPr/>
      </w:pPr>
      <w:r>
        <w:rPr>
          <w:rFonts w:eastAsia="Arial" w:cs="Arial"/>
          <w:b/>
          <w:bCs/>
          <w:sz w:val="22"/>
          <w:szCs w:val="22"/>
        </w:rPr>
        <w:t xml:space="preserve">a.  </w:t>
      </w:r>
      <w:r>
        <w:rPr>
          <w:rFonts w:eastAsia="Arial" w:cs="Arial"/>
          <w:sz w:val="22"/>
          <w:szCs w:val="22"/>
        </w:rPr>
        <w:t>The Administrator shall maintain a Compliance Calendar tracking all reporting deadlines, license and certificate renewal dates, staff certification expiration dates, required review cycles, and annual required assessments.</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Compliance Calendar shall be reviewed monthly to identify upcoming obligations and shall be updated whenever a new requirement is identified.</w:t>
      </w:r>
    </w:p>
    <w:p>
      <w:pPr>
        <w:pStyle w:val="Normal"/>
        <w:spacing w:before="30" w:after="30"/>
        <w:ind w:hanging="360" w:start="720"/>
        <w:rPr/>
      </w:pPr>
      <w:r>
        <w:rPr>
          <w:rFonts w:eastAsia="Arial" w:cs="Arial"/>
          <w:b/>
          <w:bCs/>
          <w:sz w:val="22"/>
          <w:szCs w:val="22"/>
        </w:rPr>
        <w:t xml:space="preserve">c.  </w:t>
      </w:r>
      <w:r>
        <w:rPr>
          <w:rFonts w:eastAsia="Arial" w:cs="Arial"/>
          <w:sz w:val="22"/>
          <w:szCs w:val="22"/>
        </w:rPr>
        <w:t>Renewal actions shall be initiated at least sixty (60) days before any expiration date, with the exception of licenses or certifications with longer lead-time requirements (follow the specific licensing authority's timeline).</w:t>
      </w:r>
    </w:p>
    <w:p>
      <w:pPr>
        <w:pStyle w:val="Normal"/>
        <w:spacing w:before="140" w:after="60"/>
        <w:rPr/>
      </w:pPr>
      <w:r>
        <w:rPr>
          <w:rFonts w:eastAsia="Arial" w:cs="Arial"/>
          <w:b/>
          <w:bCs/>
          <w:sz w:val="22"/>
          <w:szCs w:val="22"/>
          <w:u w:val="single"/>
        </w:rPr>
        <w:t>B. Survey and Inspection Readiness</w:t>
      </w:r>
    </w:p>
    <w:p>
      <w:pPr>
        <w:pStyle w:val="Normal"/>
        <w:spacing w:before="30" w:after="30"/>
        <w:ind w:hanging="360" w:start="720"/>
        <w:rPr/>
      </w:pPr>
      <w:r>
        <w:rPr>
          <w:rFonts w:eastAsia="Arial" w:cs="Arial"/>
          <w:b/>
          <w:bCs/>
          <w:sz w:val="22"/>
          <w:szCs w:val="22"/>
        </w:rPr>
        <w:t xml:space="preserve">a.  </w:t>
      </w:r>
      <w:r>
        <w:rPr>
          <w:rFonts w:eastAsia="Arial" w:cs="Arial"/>
          <w:sz w:val="22"/>
          <w:szCs w:val="22"/>
        </w:rPr>
        <w:t>All clinical records, personnel files, training records, and facility documentation shall be maintained in a survey-ready condition at all times — not only in preparation for known surveys.</w:t>
      </w:r>
    </w:p>
    <w:p>
      <w:pPr>
        <w:pStyle w:val="Normal"/>
        <w:spacing w:before="30" w:after="30"/>
        <w:ind w:hanging="360" w:start="720"/>
        <w:rPr/>
      </w:pPr>
      <w:r>
        <w:rPr>
          <w:rFonts w:eastAsia="Arial" w:cs="Arial"/>
          <w:b/>
          <w:bCs/>
          <w:sz w:val="22"/>
          <w:szCs w:val="22"/>
        </w:rPr>
        <w:t xml:space="preserve">b.  </w:t>
      </w:r>
      <w:r>
        <w:rPr>
          <w:rFonts w:eastAsia="Arial" w:cs="Arial"/>
          <w:sz w:val="22"/>
          <w:szCs w:val="22"/>
        </w:rPr>
        <w:t>State licensing surveyors, waiver oversight representatives, and Adult Protective Services investigators shall be greeted professionally and given access to all requested records and areas of the home without delay or obstruction.</w:t>
      </w:r>
    </w:p>
    <w:p>
      <w:pPr>
        <w:pStyle w:val="Normal"/>
        <w:spacing w:before="30" w:after="30"/>
        <w:ind w:hanging="360" w:start="720"/>
        <w:rPr/>
      </w:pPr>
      <w:r>
        <w:rPr>
          <w:rFonts w:eastAsia="Arial" w:cs="Arial"/>
          <w:b/>
          <w:bCs/>
          <w:sz w:val="22"/>
          <w:szCs w:val="22"/>
        </w:rPr>
        <w:t xml:space="preserve">c.  </w:t>
      </w:r>
      <w:r>
        <w:rPr>
          <w:rFonts w:eastAsia="Arial" w:cs="Arial"/>
          <w:sz w:val="22"/>
          <w:szCs w:val="22"/>
        </w:rPr>
        <w:t>This Provider shall never provide false or misleading information to a licensing authority, waiver agency, or regulatory body. Any misrepresentation — whether deliberate or negligent — shall be corrected immediately and disclosed to the appropriate authority.</w:t>
      </w:r>
    </w:p>
    <w:p>
      <w:pPr>
        <w:pStyle w:val="Normal"/>
        <w:spacing w:before="140" w:after="60"/>
        <w:rPr/>
      </w:pPr>
      <w:r>
        <w:rPr>
          <w:rFonts w:eastAsia="Arial" w:cs="Arial"/>
          <w:b/>
          <w:bCs/>
          <w:sz w:val="22"/>
          <w:szCs w:val="22"/>
          <w:u w:val="single"/>
        </w:rPr>
        <w:t>C. Ethical Business Practices</w:t>
      </w:r>
    </w:p>
    <w:p>
      <w:pPr>
        <w:pStyle w:val="Normal"/>
        <w:spacing w:before="30" w:after="30"/>
        <w:ind w:hanging="360" w:start="720"/>
        <w:rPr/>
      </w:pPr>
      <w:r>
        <w:rPr>
          <w:rFonts w:eastAsia="Arial" w:cs="Arial"/>
          <w:b/>
          <w:bCs/>
          <w:sz w:val="22"/>
          <w:szCs w:val="22"/>
        </w:rPr>
        <w:t xml:space="preserve">a.  </w:t>
      </w:r>
      <w:r>
        <w:rPr>
          <w:rFonts w:eastAsia="Arial" w:cs="Arial"/>
          <w:sz w:val="22"/>
          <w:szCs w:val="22"/>
        </w:rPr>
        <w:t>This Provider shall not engage in: fraudulent billing or claims submission; falsification of records or reports submitted to regulatory authorities; kickbacks or referral arrangements that could compromise the interests of individuals served; or any other practice that violates applicable laws, regulations, or professional ethics standards.</w:t>
      </w:r>
    </w:p>
    <w:p>
      <w:pPr>
        <w:pStyle w:val="Normal"/>
        <w:spacing w:before="30" w:after="30"/>
        <w:ind w:hanging="360" w:start="720"/>
        <w:rPr/>
      </w:pPr>
      <w:r>
        <w:rPr>
          <w:rFonts w:eastAsia="Arial" w:cs="Arial"/>
          <w:b/>
          <w:bCs/>
          <w:sz w:val="22"/>
          <w:szCs w:val="22"/>
        </w:rPr>
        <w:t xml:space="preserve">b.  </w:t>
      </w:r>
      <w:r>
        <w:rPr>
          <w:rFonts w:eastAsia="Arial" w:cs="Arial"/>
          <w:sz w:val="22"/>
          <w:szCs w:val="22"/>
        </w:rPr>
        <w:t>Any staff member who becomes aware of potentially fraudulent or unethical business practices shall report the concern to the Administrator, the supervising agency, or the state Medicaid fraud control unit without fear of retaliation.</w:t>
      </w:r>
    </w:p>
    <w:p>
      <w:pPr>
        <w:pStyle w:val="Normal"/>
        <w:spacing w:before="140" w:after="60"/>
        <w:rPr/>
      </w:pPr>
      <w:r>
        <w:rPr>
          <w:rFonts w:eastAsia="Arial" w:cs="Arial"/>
          <w:b/>
          <w:bCs/>
          <w:sz w:val="22"/>
          <w:szCs w:val="22"/>
          <w:u w:val="single"/>
        </w:rPr>
        <w:t>D. Response to Survey Findings</w:t>
      </w:r>
    </w:p>
    <w:p>
      <w:pPr>
        <w:pStyle w:val="Normal"/>
        <w:spacing w:before="30" w:after="30"/>
        <w:ind w:hanging="360" w:start="720"/>
        <w:rPr/>
      </w:pPr>
      <w:r>
        <w:rPr>
          <w:rFonts w:eastAsia="Arial" w:cs="Arial"/>
          <w:b/>
          <w:bCs/>
          <w:sz w:val="22"/>
          <w:szCs w:val="22"/>
        </w:rPr>
        <w:t xml:space="preserve">a.  </w:t>
      </w:r>
      <w:r>
        <w:rPr>
          <w:rFonts w:eastAsia="Arial" w:cs="Arial"/>
          <w:sz w:val="22"/>
          <w:szCs w:val="22"/>
        </w:rPr>
        <w:t>If a licensing survey, HCBS waiver review, or other regulatory inspection results in findings or citations, the Administrator shall develop a written corrective action plan within the timeframe required by the issuing authority.</w:t>
      </w:r>
    </w:p>
    <w:p>
      <w:pPr>
        <w:pStyle w:val="Normal"/>
        <w:spacing w:before="30" w:after="30"/>
        <w:ind w:hanging="360" w:start="720"/>
        <w:rPr/>
      </w:pPr>
      <w:r>
        <w:rPr>
          <w:rFonts w:eastAsia="Arial" w:cs="Arial"/>
          <w:b/>
          <w:bCs/>
          <w:sz w:val="22"/>
          <w:szCs w:val="22"/>
        </w:rPr>
        <w:t xml:space="preserve">b.  </w:t>
      </w:r>
      <w:r>
        <w:rPr>
          <w:rFonts w:eastAsia="Arial" w:cs="Arial"/>
          <w:sz w:val="22"/>
          <w:szCs w:val="22"/>
        </w:rPr>
        <w:t>Corrective action plans shall address the specific finding, the root cause, the corrective action, the responsible party, and the implementation timeline. Progress shall be documented and reported to the issuing authority per their instructions.</w:t>
      </w:r>
    </w:p>
    <w:p>
      <w:pPr>
        <w:pStyle w:val="Normal"/>
        <w:spacing w:before="30" w:after="30"/>
        <w:ind w:hanging="360" w:start="720"/>
        <w:rPr/>
      </w:pPr>
      <w:r>
        <w:rPr>
          <w:rFonts w:eastAsia="Arial" w:cs="Arial"/>
          <w:b/>
          <w:bCs/>
          <w:sz w:val="22"/>
          <w:szCs w:val="22"/>
        </w:rPr>
        <w:t xml:space="preserve">c.  </w:t>
      </w:r>
      <w:r>
        <w:rPr>
          <w:rFonts w:eastAsia="Arial" w:cs="Arial"/>
          <w:sz w:val="22"/>
          <w:szCs w:val="22"/>
        </w:rPr>
        <w:t>All regulatory correspondence, survey reports, and corrective action plans shall be retained in the Regulatory Correspondence File for a minimum of five (5) years.</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Compliance Calendar</w:t>
      </w:r>
    </w:p>
    <w:p>
      <w:pPr>
        <w:pStyle w:val="ListParagraph"/>
        <w:numPr>
          <w:ilvl w:val="0"/>
          <w:numId w:val="1"/>
        </w:numPr>
        <w:spacing w:before="30" w:after="30"/>
        <w:rPr/>
      </w:pPr>
      <w:r>
        <w:rPr>
          <w:rFonts w:eastAsia="Arial" w:cs="Arial"/>
          <w:sz w:val="22"/>
          <w:szCs w:val="22"/>
        </w:rPr>
        <w:t>State Critical Incident Reporting Portal / Form</w:t>
      </w:r>
    </w:p>
    <w:p>
      <w:pPr>
        <w:pStyle w:val="ListParagraph"/>
        <w:numPr>
          <w:ilvl w:val="0"/>
          <w:numId w:val="1"/>
        </w:numPr>
        <w:spacing w:before="30" w:after="30"/>
        <w:rPr/>
      </w:pPr>
      <w:r>
        <w:rPr>
          <w:rFonts w:eastAsia="Arial" w:cs="Arial"/>
          <w:sz w:val="22"/>
          <w:szCs w:val="22"/>
        </w:rPr>
        <w:t>Insurance Certificate File</w:t>
      </w:r>
    </w:p>
    <w:p>
      <w:pPr>
        <w:pStyle w:val="ListParagraph"/>
        <w:numPr>
          <w:ilvl w:val="0"/>
          <w:numId w:val="1"/>
        </w:numPr>
        <w:spacing w:before="30" w:after="30"/>
        <w:rPr/>
      </w:pPr>
      <w:r>
        <w:rPr>
          <w:rFonts w:eastAsia="Arial" w:cs="Arial"/>
          <w:sz w:val="22"/>
          <w:szCs w:val="22"/>
        </w:rPr>
        <w:t>License and Certificate Renewal File</w:t>
      </w:r>
    </w:p>
    <w:p>
      <w:pPr>
        <w:pStyle w:val="ListParagraph"/>
        <w:numPr>
          <w:ilvl w:val="0"/>
          <w:numId w:val="1"/>
        </w:numPr>
        <w:spacing w:before="30" w:after="30"/>
        <w:rPr/>
      </w:pPr>
      <w:r>
        <w:rPr>
          <w:rFonts w:eastAsia="Arial" w:cs="Arial"/>
          <w:sz w:val="22"/>
          <w:szCs w:val="22"/>
        </w:rPr>
        <w:t>Regulatory Correspondence File</w:t>
      </w:r>
    </w:p>
    <w:p>
      <w:pPr>
        <w:pStyle w:val="ListParagraph"/>
        <w:numPr>
          <w:ilvl w:val="0"/>
          <w:numId w:val="1"/>
        </w:numPr>
        <w:spacing w:before="30" w:after="30"/>
        <w:rPr/>
      </w:pPr>
      <w:r>
        <w:rPr>
          <w:rFonts w:eastAsia="Arial" w:cs="Arial"/>
          <w:sz w:val="22"/>
          <w:szCs w:val="22"/>
        </w:rPr>
        <w:t>Corrective Action Plan Template</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bl>
    <w:p>
      <w:pPr>
        <w:pStyle w:val="Normal"/>
        <w:rPr/>
      </w:pPr>
      <w:r>
        <w:rPr/>
        <w:br/>
      </w:r>
    </w:p>
    <w:p>
      <w:pPr>
        <w:pStyle w:val="Normal"/>
        <w:shd w:val="clear" w:fill="1F3864"/>
        <w:spacing w:before="0" w:after="0"/>
        <w:jc w:val="center"/>
        <w:rPr/>
      </w:pPr>
      <w:r>
        <w:rPr>
          <w:rFonts w:eastAsia="Arial" w:cs="Arial"/>
          <w:b/>
          <w:bCs/>
          <w:color w:val="FFFFFF"/>
          <w:sz w:val="32"/>
          <w:szCs w:val="32"/>
        </w:rPr>
        <w:t>APPENDICES</w:t>
      </w:r>
    </w:p>
    <w:p>
      <w:pPr>
        <w:pStyle w:val="Normal"/>
        <w:spacing w:before="0" w:after="200"/>
        <w:rPr/>
      </w:pPr>
      <w:r>
        <w:rPr/>
      </w:r>
    </w:p>
    <w:p>
      <w:pPr>
        <w:pStyle w:val="Heading1"/>
        <w:pBdr>
          <w:bottom w:val="single" w:sz="6" w:space="1" w:color="2E5DA8"/>
        </w:pBdr>
        <w:spacing w:before="200" w:after="120"/>
        <w:rPr/>
      </w:pPr>
      <w:r>
        <w:rPr>
          <w:rFonts w:eastAsia="Arial" w:cs="Arial" w:ascii="Arial" w:hAnsi="Arial"/>
          <w:b/>
          <w:bCs/>
          <w:color w:val="1F3864"/>
          <w:sz w:val="28"/>
          <w:szCs w:val="28"/>
        </w:rPr>
        <w:t>APPENDIX A — Required Forms Checklist</w:t>
      </w:r>
    </w:p>
    <w:p>
      <w:pPr>
        <w:pStyle w:val="Normal"/>
        <w:spacing w:before="40" w:after="60"/>
        <w:rPr/>
      </w:pPr>
      <w:r>
        <w:rPr>
          <w:rFonts w:eastAsia="Arial" w:cs="Arial"/>
          <w:sz w:val="22"/>
          <w:szCs w:val="22"/>
        </w:rPr>
        <w:t>The following forms are referenced throughout this manual. Complete or adapt each form prior to placement. Retain per the record retention schedule in Policy 6.01.</w:t>
      </w:r>
    </w:p>
    <w:p>
      <w:pPr>
        <w:pStyle w:val="ListParagraph"/>
        <w:numPr>
          <w:ilvl w:val="0"/>
          <w:numId w:val="1"/>
        </w:numPr>
        <w:spacing w:before="30" w:after="30"/>
        <w:rPr/>
      </w:pPr>
      <w:r>
        <w:rPr>
          <w:rFonts w:eastAsia="Arial" w:cs="Arial"/>
          <w:sz w:val="22"/>
          <w:szCs w:val="22"/>
        </w:rPr>
        <w:t>Individual Rights Acknowledgment Form (Appendix D)</w:t>
      </w:r>
    </w:p>
    <w:p>
      <w:pPr>
        <w:pStyle w:val="ListParagraph"/>
        <w:numPr>
          <w:ilvl w:val="0"/>
          <w:numId w:val="1"/>
        </w:numPr>
        <w:spacing w:before="30" w:after="30"/>
        <w:rPr/>
      </w:pPr>
      <w:r>
        <w:rPr>
          <w:rFonts w:eastAsia="Arial" w:cs="Arial"/>
          <w:sz w:val="22"/>
          <w:szCs w:val="22"/>
        </w:rPr>
        <w:t>Rights Modification Documentation (per HHSC/Program Provider requirements)</w:t>
      </w:r>
    </w:p>
    <w:p>
      <w:pPr>
        <w:pStyle w:val="ListParagraph"/>
        <w:numPr>
          <w:ilvl w:val="0"/>
          <w:numId w:val="1"/>
        </w:numPr>
        <w:spacing w:before="30" w:after="30"/>
        <w:rPr/>
      </w:pPr>
      <w:r>
        <w:rPr>
          <w:rFonts w:eastAsia="Arial" w:cs="Arial"/>
          <w:sz w:val="22"/>
          <w:szCs w:val="22"/>
        </w:rPr>
        <w:t>Authorization to Release Information Form</w:t>
      </w:r>
    </w:p>
    <w:p>
      <w:pPr>
        <w:pStyle w:val="ListParagraph"/>
        <w:numPr>
          <w:ilvl w:val="0"/>
          <w:numId w:val="1"/>
        </w:numPr>
        <w:spacing w:before="30" w:after="30"/>
        <w:rPr/>
      </w:pPr>
      <w:r>
        <w:rPr>
          <w:rFonts w:eastAsia="Arial" w:cs="Arial"/>
          <w:sz w:val="22"/>
          <w:szCs w:val="22"/>
        </w:rPr>
        <w:t>Grievance &amp; Complaint Form</w:t>
      </w:r>
    </w:p>
    <w:p>
      <w:pPr>
        <w:pStyle w:val="ListParagraph"/>
        <w:numPr>
          <w:ilvl w:val="0"/>
          <w:numId w:val="1"/>
        </w:numPr>
        <w:spacing w:before="30" w:after="30"/>
        <w:rPr/>
      </w:pPr>
      <w:r>
        <w:rPr>
          <w:rFonts w:eastAsia="Arial" w:cs="Arial"/>
          <w:sz w:val="22"/>
          <w:szCs w:val="22"/>
        </w:rPr>
        <w:t>Incident Report Form (per Program Provider / HHSC format)</w:t>
      </w:r>
    </w:p>
    <w:p>
      <w:pPr>
        <w:pStyle w:val="ListParagraph"/>
        <w:numPr>
          <w:ilvl w:val="0"/>
          <w:numId w:val="1"/>
        </w:numPr>
        <w:spacing w:before="30" w:after="30"/>
        <w:rPr/>
      </w:pPr>
      <w:r>
        <w:rPr>
          <w:rFonts w:eastAsia="Arial" w:cs="Arial"/>
          <w:sz w:val="22"/>
          <w:szCs w:val="22"/>
        </w:rPr>
        <w:t>HHSC Critical Incident Report (submit per Program Provider instructions)</w:t>
      </w:r>
    </w:p>
    <w:p>
      <w:pPr>
        <w:pStyle w:val="ListParagraph"/>
        <w:numPr>
          <w:ilvl w:val="0"/>
          <w:numId w:val="1"/>
        </w:numPr>
        <w:spacing w:before="30" w:after="30"/>
        <w:rPr/>
      </w:pPr>
      <w:r>
        <w:rPr>
          <w:rFonts w:eastAsia="Arial" w:cs="Arial"/>
          <w:sz w:val="22"/>
          <w:szCs w:val="22"/>
        </w:rPr>
        <w:t>Substitute Caregiver Coverage Log (Policy 1.04)</w:t>
      </w:r>
    </w:p>
    <w:p>
      <w:pPr>
        <w:pStyle w:val="ListParagraph"/>
        <w:numPr>
          <w:ilvl w:val="0"/>
          <w:numId w:val="1"/>
        </w:numPr>
        <w:spacing w:before="30" w:after="30"/>
        <w:rPr/>
      </w:pPr>
      <w:r>
        <w:rPr>
          <w:rFonts w:eastAsia="Arial" w:cs="Arial"/>
          <w:sz w:val="22"/>
          <w:szCs w:val="22"/>
        </w:rPr>
        <w:t>Program Provider After-Hours On-Call Contact</w:t>
      </w:r>
    </w:p>
    <w:p>
      <w:pPr>
        <w:pStyle w:val="ListParagraph"/>
        <w:numPr>
          <w:ilvl w:val="0"/>
          <w:numId w:val="1"/>
        </w:numPr>
        <w:spacing w:before="30" w:after="30"/>
        <w:rPr/>
      </w:pPr>
      <w:r>
        <w:rPr>
          <w:rFonts w:eastAsia="Arial" w:cs="Arial"/>
          <w:sz w:val="22"/>
          <w:szCs w:val="22"/>
        </w:rPr>
        <w:t>TULIP Background Clearance Confirmations (DPS, EMR, NAR) — per provider and household member</w:t>
      </w:r>
    </w:p>
    <w:p>
      <w:pPr>
        <w:pStyle w:val="ListParagraph"/>
        <w:numPr>
          <w:ilvl w:val="0"/>
          <w:numId w:val="1"/>
        </w:numPr>
        <w:spacing w:before="30" w:after="30"/>
        <w:rPr/>
      </w:pPr>
      <w:r>
        <w:rPr>
          <w:rFonts w:eastAsia="Arial" w:cs="Arial"/>
          <w:sz w:val="22"/>
          <w:szCs w:val="22"/>
        </w:rPr>
        <w:t>Annual EMR/NAR Renewal Confirmations</w:t>
      </w:r>
    </w:p>
    <w:p>
      <w:pPr>
        <w:pStyle w:val="ListParagraph"/>
        <w:numPr>
          <w:ilvl w:val="0"/>
          <w:numId w:val="1"/>
        </w:numPr>
        <w:spacing w:before="30" w:after="30"/>
        <w:rPr/>
      </w:pPr>
      <w:r>
        <w:rPr>
          <w:rFonts w:eastAsia="Arial" w:cs="Arial"/>
          <w:sz w:val="22"/>
          <w:szCs w:val="22"/>
        </w:rPr>
        <w:t>HH/CC Provider Agreement</w:t>
      </w:r>
    </w:p>
    <w:p>
      <w:pPr>
        <w:pStyle w:val="ListParagraph"/>
        <w:numPr>
          <w:ilvl w:val="0"/>
          <w:numId w:val="1"/>
        </w:numPr>
        <w:spacing w:before="30" w:after="30"/>
        <w:rPr/>
      </w:pPr>
      <w:r>
        <w:rPr>
          <w:rFonts w:eastAsia="Arial" w:cs="Arial"/>
          <w:sz w:val="22"/>
          <w:szCs w:val="22"/>
        </w:rPr>
        <w:t>Home Inspection Approval Form (Program Provider)</w:t>
      </w:r>
    </w:p>
    <w:p>
      <w:pPr>
        <w:pStyle w:val="ListParagraph"/>
        <w:numPr>
          <w:ilvl w:val="0"/>
          <w:numId w:val="1"/>
        </w:numPr>
        <w:spacing w:before="30" w:after="30"/>
        <w:rPr/>
      </w:pPr>
      <w:r>
        <w:rPr>
          <w:rFonts w:eastAsia="Arial" w:cs="Arial"/>
          <w:sz w:val="22"/>
          <w:szCs w:val="22"/>
        </w:rPr>
        <w:t>Person-Specific Orientation Checklist</w:t>
      </w:r>
    </w:p>
    <w:p>
      <w:pPr>
        <w:pStyle w:val="ListParagraph"/>
        <w:numPr>
          <w:ilvl w:val="0"/>
          <w:numId w:val="1"/>
        </w:numPr>
        <w:spacing w:before="30" w:after="30"/>
        <w:rPr/>
      </w:pPr>
      <w:r>
        <w:rPr>
          <w:rFonts w:eastAsia="Arial" w:cs="Arial"/>
          <w:sz w:val="22"/>
          <w:szCs w:val="22"/>
        </w:rPr>
        <w:t>Training Completion Record</w:t>
      </w:r>
    </w:p>
    <w:p>
      <w:pPr>
        <w:pStyle w:val="ListParagraph"/>
        <w:numPr>
          <w:ilvl w:val="0"/>
          <w:numId w:val="1"/>
        </w:numPr>
        <w:spacing w:before="30" w:after="30"/>
        <w:rPr/>
      </w:pPr>
      <w:r>
        <w:rPr>
          <w:rFonts w:eastAsia="Arial" w:cs="Arial"/>
          <w:sz w:val="22"/>
          <w:szCs w:val="22"/>
        </w:rPr>
        <w:t>Competency Assessment Checklist (per skill area)</w:t>
      </w:r>
    </w:p>
    <w:p>
      <w:pPr>
        <w:pStyle w:val="ListParagraph"/>
        <w:numPr>
          <w:ilvl w:val="0"/>
          <w:numId w:val="1"/>
        </w:numPr>
        <w:spacing w:before="30" w:after="30"/>
        <w:rPr/>
      </w:pPr>
      <w:r>
        <w:rPr>
          <w:rFonts w:eastAsia="Arial" w:cs="Arial"/>
          <w:sz w:val="22"/>
          <w:szCs w:val="22"/>
        </w:rPr>
        <w:t>HHSC-Approved Medication Administration Training Certificate</w:t>
      </w:r>
    </w:p>
    <w:p>
      <w:pPr>
        <w:pStyle w:val="ListParagraph"/>
        <w:numPr>
          <w:ilvl w:val="0"/>
          <w:numId w:val="1"/>
        </w:numPr>
        <w:spacing w:before="30" w:after="30"/>
        <w:rPr/>
      </w:pPr>
      <w:r>
        <w:rPr>
          <w:rFonts w:eastAsia="Arial" w:cs="Arial"/>
          <w:sz w:val="22"/>
          <w:szCs w:val="22"/>
        </w:rPr>
        <w:t>Medication Administration Record (MAR)</w:t>
      </w:r>
    </w:p>
    <w:p>
      <w:pPr>
        <w:pStyle w:val="ListParagraph"/>
        <w:numPr>
          <w:ilvl w:val="0"/>
          <w:numId w:val="1"/>
        </w:numPr>
        <w:spacing w:before="30" w:after="30"/>
        <w:rPr/>
      </w:pPr>
      <w:r>
        <w:rPr>
          <w:rFonts w:eastAsia="Arial" w:cs="Arial"/>
          <w:sz w:val="22"/>
          <w:szCs w:val="22"/>
        </w:rPr>
        <w:t>Physician Order Form</w:t>
      </w:r>
    </w:p>
    <w:p>
      <w:pPr>
        <w:pStyle w:val="ListParagraph"/>
        <w:numPr>
          <w:ilvl w:val="0"/>
          <w:numId w:val="1"/>
        </w:numPr>
        <w:spacing w:before="30" w:after="30"/>
        <w:rPr/>
      </w:pPr>
      <w:r>
        <w:rPr>
          <w:rFonts w:eastAsia="Arial" w:cs="Arial"/>
          <w:sz w:val="22"/>
          <w:szCs w:val="22"/>
        </w:rPr>
        <w:t>Narcotics &amp; Controlled Substances Count Sheet (Appendix C)</w:t>
      </w:r>
    </w:p>
    <w:p>
      <w:pPr>
        <w:pStyle w:val="ListParagraph"/>
        <w:numPr>
          <w:ilvl w:val="0"/>
          <w:numId w:val="1"/>
        </w:numPr>
        <w:spacing w:before="30" w:after="30"/>
        <w:rPr/>
      </w:pPr>
      <w:r>
        <w:rPr>
          <w:rFonts w:eastAsia="Arial" w:cs="Arial"/>
          <w:sz w:val="22"/>
          <w:szCs w:val="22"/>
        </w:rPr>
        <w:t>Behavioral Incident Report</w:t>
      </w:r>
    </w:p>
    <w:p>
      <w:pPr>
        <w:pStyle w:val="ListParagraph"/>
        <w:numPr>
          <w:ilvl w:val="0"/>
          <w:numId w:val="1"/>
        </w:numPr>
        <w:spacing w:before="30" w:after="30"/>
        <w:rPr/>
      </w:pPr>
      <w:r>
        <w:rPr>
          <w:rFonts w:eastAsia="Arial" w:cs="Arial"/>
          <w:sz w:val="22"/>
          <w:szCs w:val="22"/>
        </w:rPr>
        <w:t>Monthly Home Safety Log</w:t>
      </w:r>
    </w:p>
    <w:p>
      <w:pPr>
        <w:pStyle w:val="ListParagraph"/>
        <w:numPr>
          <w:ilvl w:val="0"/>
          <w:numId w:val="1"/>
        </w:numPr>
        <w:spacing w:before="30" w:after="30"/>
        <w:rPr/>
      </w:pPr>
      <w:r>
        <w:rPr>
          <w:rFonts w:eastAsia="Arial" w:cs="Arial"/>
          <w:sz w:val="22"/>
          <w:szCs w:val="22"/>
        </w:rPr>
        <w:t>Annual Environment of Care Risk Assessment</w:t>
      </w:r>
    </w:p>
    <w:p>
      <w:pPr>
        <w:pStyle w:val="ListParagraph"/>
        <w:numPr>
          <w:ilvl w:val="0"/>
          <w:numId w:val="1"/>
        </w:numPr>
        <w:spacing w:before="30" w:after="30"/>
        <w:rPr/>
      </w:pPr>
      <w:r>
        <w:rPr>
          <w:rFonts w:eastAsia="Arial" w:cs="Arial"/>
          <w:sz w:val="22"/>
          <w:szCs w:val="22"/>
        </w:rPr>
        <w:t>Annual Hazard Vulnerability Analysis</w:t>
      </w:r>
    </w:p>
    <w:p>
      <w:pPr>
        <w:pStyle w:val="ListParagraph"/>
        <w:numPr>
          <w:ilvl w:val="0"/>
          <w:numId w:val="1"/>
        </w:numPr>
        <w:spacing w:before="30" w:after="30"/>
        <w:rPr/>
      </w:pPr>
      <w:r>
        <w:rPr>
          <w:rFonts w:eastAsia="Arial" w:cs="Arial"/>
          <w:sz w:val="22"/>
          <w:szCs w:val="22"/>
        </w:rPr>
        <w:t>Emergency Preparedness &amp; Response Plan</w:t>
      </w:r>
    </w:p>
    <w:p>
      <w:pPr>
        <w:pStyle w:val="ListParagraph"/>
        <w:numPr>
          <w:ilvl w:val="0"/>
          <w:numId w:val="1"/>
        </w:numPr>
        <w:spacing w:before="30" w:after="30"/>
        <w:rPr/>
      </w:pPr>
      <w:r>
        <w:rPr>
          <w:rFonts w:eastAsia="Arial" w:cs="Arial"/>
          <w:sz w:val="22"/>
          <w:szCs w:val="22"/>
        </w:rPr>
        <w:t>Evacuation Diagram — posted in home</w:t>
      </w:r>
    </w:p>
    <w:p>
      <w:pPr>
        <w:pStyle w:val="ListParagraph"/>
        <w:numPr>
          <w:ilvl w:val="0"/>
          <w:numId w:val="1"/>
        </w:numPr>
        <w:spacing w:before="30" w:after="30"/>
        <w:rPr/>
      </w:pPr>
      <w:r>
        <w:rPr>
          <w:rFonts w:eastAsia="Arial" w:cs="Arial"/>
          <w:sz w:val="22"/>
          <w:szCs w:val="22"/>
        </w:rPr>
        <w:t>Individual Emergency Information Packet</w:t>
      </w:r>
    </w:p>
    <w:p>
      <w:pPr>
        <w:pStyle w:val="ListParagraph"/>
        <w:numPr>
          <w:ilvl w:val="0"/>
          <w:numId w:val="1"/>
        </w:numPr>
        <w:spacing w:before="30" w:after="30"/>
        <w:rPr/>
      </w:pPr>
      <w:r>
        <w:rPr>
          <w:rFonts w:eastAsia="Arial" w:cs="Arial"/>
          <w:sz w:val="22"/>
          <w:szCs w:val="22"/>
        </w:rPr>
        <w:t>Quality Management Log</w:t>
      </w:r>
    </w:p>
    <w:p>
      <w:pPr>
        <w:pStyle w:val="ListParagraph"/>
        <w:numPr>
          <w:ilvl w:val="0"/>
          <w:numId w:val="1"/>
        </w:numPr>
        <w:spacing w:before="30" w:after="30"/>
        <w:rPr/>
      </w:pPr>
      <w:r>
        <w:rPr>
          <w:rFonts w:eastAsia="Arial" w:cs="Arial"/>
          <w:sz w:val="22"/>
          <w:szCs w:val="22"/>
        </w:rPr>
        <w:t>Individual Fund Ledger &amp; Disbursement Receipt Form</w:t>
      </w:r>
    </w:p>
    <w:p>
      <w:pPr>
        <w:pStyle w:val="ListParagraph"/>
        <w:numPr>
          <w:ilvl w:val="0"/>
          <w:numId w:val="1"/>
        </w:numPr>
        <w:spacing w:before="30" w:after="30"/>
        <w:rPr/>
      </w:pPr>
      <w:r>
        <w:rPr>
          <w:rFonts w:eastAsia="Arial" w:cs="Arial"/>
          <w:sz w:val="22"/>
          <w:szCs w:val="22"/>
        </w:rPr>
        <w:t>IPC / Implementation Plan — maintained by LIDDA / Program Provider</w:t>
      </w:r>
    </w:p>
    <w:p>
      <w:pPr>
        <w:pStyle w:val="Normal"/>
        <w:spacing w:before="0" w:after="200"/>
        <w:rPr/>
      </w:pPr>
      <w:r>
        <w:rPr/>
      </w:r>
    </w:p>
    <w:p>
      <w:pPr>
        <w:pStyle w:val="Heading1"/>
        <w:pBdr>
          <w:bottom w:val="single" w:sz="6" w:space="1" w:color="2E5DA8"/>
        </w:pBdr>
        <w:spacing w:before="200" w:after="120"/>
        <w:rPr/>
      </w:pPr>
      <w:r>
        <w:rPr>
          <w:rFonts w:eastAsia="Arial" w:cs="Arial" w:ascii="Arial" w:hAnsi="Arial"/>
          <w:b/>
          <w:bCs/>
          <w:color w:val="1F3864"/>
          <w:sz w:val="28"/>
          <w:szCs w:val="28"/>
        </w:rPr>
        <w:t>APPENDIX B — Key Agency Contact Directory (Texas)</w:t>
      </w:r>
    </w:p>
    <w:tbl>
      <w:tblPr>
        <w:tblW w:w="9360" w:type="dxa"/>
        <w:jc w:val="start"/>
        <w:tblInd w:w="0" w:type="dxa"/>
        <w:tblLayout w:type="fixed"/>
        <w:tblCellMar>
          <w:top w:w="60" w:type="dxa"/>
          <w:start w:w="100" w:type="dxa"/>
          <w:bottom w:w="60" w:type="dxa"/>
          <w:end w:w="100" w:type="dxa"/>
        </w:tblCellMar>
      </w:tblPr>
      <w:tblGrid>
        <w:gridCol w:w="3499"/>
        <w:gridCol w:w="3000"/>
        <w:gridCol w:w="2861"/>
      </w:tblGrid>
      <w:tr>
        <w:trPr/>
        <w:tc>
          <w:tcPr>
            <w:tcW w:w="3499" w:type="dxa"/>
            <w:tcBorders>
              <w:top w:val="single" w:sz="2" w:space="0" w:color="CCCCCC"/>
              <w:start w:val="single" w:sz="2" w:space="0" w:color="CCCCCC"/>
              <w:bottom w:val="single" w:sz="2" w:space="0" w:color="CCCCCC"/>
              <w:end w:val="single" w:sz="2" w:space="0" w:color="CCCCCC"/>
            </w:tcBorders>
            <w:shd w:fill="1F3864" w:val="clear"/>
          </w:tcPr>
          <w:p>
            <w:pPr>
              <w:pStyle w:val="Normal"/>
              <w:rPr/>
            </w:pPr>
            <w:r>
              <w:rPr>
                <w:rFonts w:eastAsia="Arial" w:cs="Arial"/>
                <w:b/>
                <w:bCs/>
                <w:color w:val="FFFFFF"/>
                <w:sz w:val="18"/>
                <w:szCs w:val="18"/>
              </w:rPr>
              <w:t>Agency / Resource</w:t>
            </w:r>
          </w:p>
        </w:tc>
        <w:tc>
          <w:tcPr>
            <w:tcW w:w="3000" w:type="dxa"/>
            <w:tcBorders>
              <w:top w:val="single" w:sz="2" w:space="0" w:color="CCCCCC"/>
              <w:start w:val="single" w:sz="2" w:space="0" w:color="CCCCCC"/>
              <w:bottom w:val="single" w:sz="2" w:space="0" w:color="CCCCCC"/>
              <w:end w:val="single" w:sz="2" w:space="0" w:color="CCCCCC"/>
            </w:tcBorders>
            <w:shd w:fill="1F3864" w:val="clear"/>
          </w:tcPr>
          <w:p>
            <w:pPr>
              <w:pStyle w:val="Normal"/>
              <w:rPr/>
            </w:pPr>
            <w:r>
              <w:rPr>
                <w:rFonts w:eastAsia="Arial" w:cs="Arial"/>
                <w:b/>
                <w:bCs/>
                <w:color w:val="FFFFFF"/>
                <w:sz w:val="18"/>
                <w:szCs w:val="18"/>
              </w:rPr>
              <w:t>Phone</w:t>
            </w:r>
          </w:p>
        </w:tc>
        <w:tc>
          <w:tcPr>
            <w:tcW w:w="2861" w:type="dxa"/>
            <w:tcBorders>
              <w:top w:val="single" w:sz="2" w:space="0" w:color="CCCCCC"/>
              <w:start w:val="single" w:sz="2" w:space="0" w:color="CCCCCC"/>
              <w:bottom w:val="single" w:sz="2" w:space="0" w:color="CCCCCC"/>
              <w:end w:val="single" w:sz="2" w:space="0" w:color="CCCCCC"/>
            </w:tcBorders>
            <w:shd w:fill="1F3864" w:val="clear"/>
          </w:tcPr>
          <w:p>
            <w:pPr>
              <w:pStyle w:val="Normal"/>
              <w:rPr/>
            </w:pPr>
            <w:r>
              <w:rPr>
                <w:rFonts w:eastAsia="Arial" w:cs="Arial"/>
                <w:b/>
                <w:bCs/>
                <w:color w:val="FFFFFF"/>
                <w:sz w:val="18"/>
                <w:szCs w:val="18"/>
              </w:rPr>
              <w:t>Website / Notes</w:t>
            </w:r>
          </w:p>
        </w:tc>
      </w:tr>
      <w:tr>
        <w:trPr/>
        <w:tc>
          <w:tcPr>
            <w:tcW w:w="34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HHSC IDD Ombudsman</w:t>
            </w:r>
          </w:p>
        </w:tc>
        <w:tc>
          <w:tcPr>
            <w:tcW w:w="3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1-877-787-8999</w:t>
            </w:r>
          </w:p>
        </w:tc>
        <w:tc>
          <w:tcPr>
            <w:tcW w:w="2861"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hhs.texas.gov</w:t>
            </w:r>
          </w:p>
        </w:tc>
      </w:tr>
      <w:tr>
        <w:trPr/>
        <w:tc>
          <w:tcPr>
            <w:tcW w:w="34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DFPS Adult Protective Services</w:t>
            </w:r>
          </w:p>
        </w:tc>
        <w:tc>
          <w:tcPr>
            <w:tcW w:w="3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1-800-458-9858</w:t>
            </w:r>
          </w:p>
        </w:tc>
        <w:tc>
          <w:tcPr>
            <w:tcW w:w="28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24-hour hotline</w:t>
            </w:r>
          </w:p>
        </w:tc>
      </w:tr>
      <w:tr>
        <w:trPr/>
        <w:tc>
          <w:tcPr>
            <w:tcW w:w="34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DFPS Abuse/Neglect Hotline</w:t>
            </w:r>
          </w:p>
        </w:tc>
        <w:tc>
          <w:tcPr>
            <w:tcW w:w="3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1-800-252-5400</w:t>
            </w:r>
          </w:p>
        </w:tc>
        <w:tc>
          <w:tcPr>
            <w:tcW w:w="2861"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24-hour hotline</w:t>
            </w:r>
          </w:p>
        </w:tc>
      </w:tr>
      <w:tr>
        <w:trPr/>
        <w:tc>
          <w:tcPr>
            <w:tcW w:w="34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HHSC Long-Term Care Ombudsman</w:t>
            </w:r>
          </w:p>
        </w:tc>
        <w:tc>
          <w:tcPr>
            <w:tcW w:w="3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1-800-252-2412</w:t>
            </w:r>
          </w:p>
        </w:tc>
        <w:tc>
          <w:tcPr>
            <w:tcW w:w="28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ltcop.texas.gov</w:t>
            </w:r>
          </w:p>
        </w:tc>
      </w:tr>
      <w:tr>
        <w:trPr/>
        <w:tc>
          <w:tcPr>
            <w:tcW w:w="34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Disability Rights Texas</w:t>
            </w:r>
          </w:p>
        </w:tc>
        <w:tc>
          <w:tcPr>
            <w:tcW w:w="3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1-800-252-9108</w:t>
            </w:r>
          </w:p>
        </w:tc>
        <w:tc>
          <w:tcPr>
            <w:tcW w:w="2861"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disabilityrightstx.org</w:t>
            </w:r>
          </w:p>
        </w:tc>
      </w:tr>
      <w:tr>
        <w:trPr/>
        <w:tc>
          <w:tcPr>
            <w:tcW w:w="34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HHSC Civil Rights Office</w:t>
            </w:r>
          </w:p>
        </w:tc>
        <w:tc>
          <w:tcPr>
            <w:tcW w:w="3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(512) 438-4313</w:t>
            </w:r>
          </w:p>
        </w:tc>
        <w:tc>
          <w:tcPr>
            <w:tcW w:w="28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hhs.texas.gov</w:t>
            </w:r>
          </w:p>
        </w:tc>
      </w:tr>
      <w:tr>
        <w:trPr/>
        <w:tc>
          <w:tcPr>
            <w:tcW w:w="34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HHSC TULIP (Background Checks)</w:t>
            </w:r>
          </w:p>
        </w:tc>
        <w:tc>
          <w:tcPr>
            <w:tcW w:w="3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hhs.texas.gov/tulip</w:t>
            </w:r>
          </w:p>
        </w:tc>
        <w:tc>
          <w:tcPr>
            <w:tcW w:w="2861"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DPS/EMR/NAR portal</w:t>
            </w:r>
          </w:p>
        </w:tc>
      </w:tr>
      <w:tr>
        <w:trPr/>
        <w:tc>
          <w:tcPr>
            <w:tcW w:w="34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Texas DPS (Criminal History)</w:t>
            </w:r>
          </w:p>
        </w:tc>
        <w:tc>
          <w:tcPr>
            <w:tcW w:w="3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(512) 424-2474</w:t>
            </w:r>
          </w:p>
        </w:tc>
        <w:tc>
          <w:tcPr>
            <w:tcW w:w="28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dps.texas.gov</w:t>
            </w:r>
          </w:p>
        </w:tc>
      </w:tr>
      <w:tr>
        <w:trPr/>
        <w:tc>
          <w:tcPr>
            <w:tcW w:w="34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Poison Control</w:t>
            </w:r>
          </w:p>
        </w:tc>
        <w:tc>
          <w:tcPr>
            <w:tcW w:w="3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1-800-222-1222</w:t>
            </w:r>
          </w:p>
        </w:tc>
        <w:tc>
          <w:tcPr>
            <w:tcW w:w="2861"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National 24-hour line</w:t>
            </w:r>
          </w:p>
        </w:tc>
      </w:tr>
      <w:tr>
        <w:trPr/>
        <w:tc>
          <w:tcPr>
            <w:tcW w:w="34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Program Provider (Agency)</w:t>
            </w:r>
          </w:p>
        </w:tc>
        <w:tc>
          <w:tcPr>
            <w:tcW w:w="3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[Program Provider Name]</w:t>
            </w:r>
          </w:p>
        </w:tc>
        <w:tc>
          <w:tcPr>
            <w:tcW w:w="28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[Phone] — [Website]</w:t>
            </w:r>
          </w:p>
        </w:tc>
      </w:tr>
      <w:tr>
        <w:trPr/>
        <w:tc>
          <w:tcPr>
            <w:tcW w:w="34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LIDDA / Service Coordinator</w:t>
            </w:r>
          </w:p>
        </w:tc>
        <w:tc>
          <w:tcPr>
            <w:tcW w:w="3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[LIDDA Name]</w:t>
            </w:r>
          </w:p>
        </w:tc>
        <w:tc>
          <w:tcPr>
            <w:tcW w:w="2861"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[Service Coordinator] — [Phone]</w:t>
            </w:r>
          </w:p>
        </w:tc>
      </w:tr>
      <w:tr>
        <w:trPr/>
        <w:tc>
          <w:tcPr>
            <w:tcW w:w="34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Prescribing Physician</w:t>
            </w:r>
          </w:p>
        </w:tc>
        <w:tc>
          <w:tcPr>
            <w:tcW w:w="3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[Physician Name]</w:t>
            </w:r>
          </w:p>
        </w:tc>
        <w:tc>
          <w:tcPr>
            <w:tcW w:w="28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[Clinic] [Phone]</w:t>
            </w:r>
          </w:p>
        </w:tc>
      </w:tr>
      <w:tr>
        <w:trPr/>
        <w:tc>
          <w:tcPr>
            <w:tcW w:w="34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Pharmacy</w:t>
            </w:r>
          </w:p>
        </w:tc>
        <w:tc>
          <w:tcPr>
            <w:tcW w:w="3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[Pharmacy Name]</w:t>
            </w:r>
          </w:p>
        </w:tc>
        <w:tc>
          <w:tcPr>
            <w:tcW w:w="2861"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[Phone]</w:t>
            </w:r>
          </w:p>
        </w:tc>
      </w:tr>
      <w:tr>
        <w:trPr/>
        <w:tc>
          <w:tcPr>
            <w:tcW w:w="34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Local Police (non-emergency)</w:t>
            </w:r>
          </w:p>
        </w:tc>
        <w:tc>
          <w:tcPr>
            <w:tcW w:w="3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[Local Number]</w:t>
            </w:r>
          </w:p>
        </w:tc>
        <w:tc>
          <w:tcPr>
            <w:tcW w:w="28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Call 911 for emergencies</w:t>
            </w:r>
          </w:p>
        </w:tc>
      </w:tr>
    </w:tbl>
    <w:p>
      <w:pPr>
        <w:pStyle w:val="Normal"/>
        <w:rPr/>
      </w:pPr>
      <w:r>
        <w:rPr/>
        <w:br/>
      </w:r>
    </w:p>
    <w:p>
      <w:pPr>
        <w:pStyle w:val="Heading1"/>
        <w:pBdr>
          <w:bottom w:val="single" w:sz="6" w:space="1" w:color="2E5DA8"/>
        </w:pBdr>
        <w:spacing w:before="200" w:after="120"/>
        <w:rPr/>
      </w:pPr>
      <w:r>
        <w:rPr>
          <w:rFonts w:eastAsia="Arial" w:cs="Arial" w:ascii="Arial" w:hAnsi="Arial"/>
          <w:b/>
          <w:bCs/>
          <w:color w:val="1F3864"/>
          <w:sz w:val="28"/>
          <w:szCs w:val="28"/>
        </w:rPr>
        <w:t>APPENDIX C — Narcotics &amp; Controlled Substances Count Sheet</w:t>
      </w:r>
    </w:p>
    <w:p>
      <w:pPr>
        <w:pStyle w:val="Normal"/>
        <w:spacing w:before="40" w:after="60"/>
        <w:rPr/>
      </w:pPr>
      <w:r>
        <w:rPr>
          <w:rFonts w:eastAsia="Arial" w:cs="Arial"/>
          <w:sz w:val="22"/>
          <w:szCs w:val="22"/>
        </w:rPr>
        <w:t>Use one sheet per controlled substance per monthly medication cycle. Both the HH/CC Provider (or Substitute Caregiver) and a witness must sign at each coverage transition. Retain for seven (7) years.</w:t>
      </w:r>
    </w:p>
    <w:tbl>
      <w:tblPr>
        <w:tblW w:w="9360" w:type="dxa"/>
        <w:jc w:val="start"/>
        <w:tblInd w:w="0" w:type="dxa"/>
        <w:tblLayout w:type="fixed"/>
        <w:tblCellMar>
          <w:top w:w="80" w:type="dxa"/>
          <w:start w:w="120" w:type="dxa"/>
          <w:bottom w:w="80" w:type="dxa"/>
          <w:end w:w="120" w:type="dxa"/>
        </w:tblCellMar>
      </w:tblPr>
      <w:tblGrid>
        <w:gridCol w:w="3919"/>
        <w:gridCol w:w="2720"/>
        <w:gridCol w:w="2721"/>
      </w:tblGrid>
      <w:tr>
        <w:trPr/>
        <w:tc>
          <w:tcPr>
            <w:tcW w:w="9360" w:type="dxa"/>
            <w:gridSpan w:val="3"/>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2"/>
                <w:szCs w:val="22"/>
              </w:rPr>
              <w:t>NARCOTICS &amp; CONTROLLED SUBSTANCES COUNT SHEET</w:t>
            </w:r>
          </w:p>
        </w:tc>
      </w:tr>
      <w:tr>
        <w:trPr/>
        <w:tc>
          <w:tcPr>
            <w:tcW w:w="3919" w:type="dxa"/>
            <w:tcBorders>
              <w:top w:val="single" w:sz="2" w:space="0" w:color="CCCCCC"/>
              <w:start w:val="single" w:sz="2" w:space="0" w:color="CCCCCC"/>
              <w:bottom w:val="single" w:sz="2" w:space="0" w:color="CCCCCC"/>
              <w:end w:val="single" w:sz="2" w:space="0" w:color="CCCCCC"/>
            </w:tcBorders>
            <w:shd w:fill="D9E6F5" w:val="clear"/>
            <w:tcMar>
              <w:top w:w="60" w:type="dxa"/>
              <w:start w:w="100" w:type="dxa"/>
              <w:bottom w:w="60" w:type="dxa"/>
              <w:end w:w="100" w:type="dxa"/>
            </w:tcMar>
          </w:tcPr>
          <w:p>
            <w:pPr>
              <w:pStyle w:val="Normal"/>
              <w:rPr/>
            </w:pPr>
            <w:r>
              <w:rPr>
                <w:rFonts w:eastAsia="Arial" w:cs="Arial"/>
                <w:sz w:val="18"/>
                <w:szCs w:val="18"/>
              </w:rPr>
              <w:t>Individual Name: ______________________</w:t>
            </w:r>
          </w:p>
        </w:tc>
        <w:tc>
          <w:tcPr>
            <w:tcW w:w="2720" w:type="dxa"/>
            <w:tcBorders>
              <w:top w:val="single" w:sz="2" w:space="0" w:color="CCCCCC"/>
              <w:start w:val="single" w:sz="2" w:space="0" w:color="CCCCCC"/>
              <w:bottom w:val="single" w:sz="2" w:space="0" w:color="CCCCCC"/>
              <w:end w:val="single" w:sz="2" w:space="0" w:color="CCCCCC"/>
            </w:tcBorders>
            <w:shd w:fill="D9E6F5" w:val="clear"/>
            <w:tcMar>
              <w:top w:w="60" w:type="dxa"/>
              <w:start w:w="100" w:type="dxa"/>
              <w:bottom w:w="60" w:type="dxa"/>
              <w:end w:w="100" w:type="dxa"/>
            </w:tcMar>
          </w:tcPr>
          <w:p>
            <w:pPr>
              <w:pStyle w:val="Normal"/>
              <w:rPr/>
            </w:pPr>
            <w:r>
              <w:rPr>
                <w:rFonts w:eastAsia="Arial" w:cs="Arial"/>
                <w:sz w:val="18"/>
                <w:szCs w:val="18"/>
              </w:rPr>
              <w:t>Medication: ___________________________</w:t>
            </w:r>
          </w:p>
        </w:tc>
        <w:tc>
          <w:tcPr>
            <w:tcW w:w="2721" w:type="dxa"/>
            <w:tcBorders>
              <w:top w:val="single" w:sz="2" w:space="0" w:color="CCCCCC"/>
              <w:start w:val="single" w:sz="2" w:space="0" w:color="CCCCCC"/>
              <w:bottom w:val="single" w:sz="2" w:space="0" w:color="CCCCCC"/>
              <w:end w:val="single" w:sz="2" w:space="0" w:color="CCCCCC"/>
            </w:tcBorders>
            <w:shd w:fill="D9E6F5" w:val="clear"/>
            <w:tcMar>
              <w:top w:w="60" w:type="dxa"/>
              <w:start w:w="100" w:type="dxa"/>
              <w:bottom w:w="60" w:type="dxa"/>
              <w:end w:w="100" w:type="dxa"/>
            </w:tcMar>
          </w:tcPr>
          <w:p>
            <w:pPr>
              <w:pStyle w:val="Normal"/>
              <w:rPr/>
            </w:pPr>
            <w:r>
              <w:rPr>
                <w:rFonts w:eastAsia="Arial" w:cs="Arial"/>
                <w:sz w:val="18"/>
                <w:szCs w:val="18"/>
              </w:rPr>
              <w:t>Dose / Strength: ______________________</w:t>
            </w:r>
          </w:p>
        </w:tc>
      </w:tr>
      <w:tr>
        <w:trPr/>
        <w:tc>
          <w:tcPr>
            <w:tcW w:w="3919" w:type="dxa"/>
            <w:tcBorders>
              <w:top w:val="single" w:sz="2" w:space="0" w:color="CCCCCC"/>
              <w:start w:val="single" w:sz="2" w:space="0" w:color="CCCCCC"/>
              <w:bottom w:val="single" w:sz="2" w:space="0" w:color="CCCCCC"/>
              <w:end w:val="single" w:sz="2" w:space="0" w:color="CCCCCC"/>
            </w:tcBorders>
            <w:shd w:fill="1F3864" w:val="clear"/>
            <w:tcMar>
              <w:top w:w="60" w:type="dxa"/>
              <w:start w:w="100" w:type="dxa"/>
              <w:bottom w:w="60" w:type="dxa"/>
              <w:end w:w="100" w:type="dxa"/>
            </w:tcMar>
          </w:tcPr>
          <w:p>
            <w:pPr>
              <w:pStyle w:val="Normal"/>
              <w:jc w:val="center"/>
              <w:rPr/>
            </w:pPr>
            <w:r>
              <w:rPr>
                <w:rFonts w:eastAsia="Arial" w:cs="Arial"/>
                <w:b/>
                <w:bCs/>
                <w:color w:val="FFFFFF"/>
                <w:sz w:val="16"/>
                <w:szCs w:val="16"/>
              </w:rPr>
              <w:t>Date &amp; Time</w:t>
            </w:r>
          </w:p>
        </w:tc>
        <w:tc>
          <w:tcPr>
            <w:tcW w:w="2720" w:type="dxa"/>
            <w:tcBorders>
              <w:top w:val="single" w:sz="2" w:space="0" w:color="CCCCCC"/>
              <w:start w:val="single" w:sz="2" w:space="0" w:color="CCCCCC"/>
              <w:bottom w:val="single" w:sz="2" w:space="0" w:color="CCCCCC"/>
              <w:end w:val="single" w:sz="2" w:space="0" w:color="CCCCCC"/>
            </w:tcBorders>
            <w:shd w:fill="1F3864" w:val="clear"/>
            <w:tcMar>
              <w:top w:w="60" w:type="dxa"/>
              <w:start w:w="100" w:type="dxa"/>
              <w:bottom w:w="60" w:type="dxa"/>
              <w:end w:w="100" w:type="dxa"/>
            </w:tcMar>
          </w:tcPr>
          <w:p>
            <w:pPr>
              <w:pStyle w:val="Normal"/>
              <w:jc w:val="center"/>
              <w:rPr/>
            </w:pPr>
            <w:r>
              <w:rPr>
                <w:rFonts w:eastAsia="Arial" w:cs="Arial"/>
                <w:b/>
                <w:bCs/>
                <w:color w:val="FFFFFF"/>
                <w:sz w:val="16"/>
                <w:szCs w:val="16"/>
              </w:rPr>
              <w:t>Count on Hand</w:t>
            </w:r>
          </w:p>
        </w:tc>
        <w:tc>
          <w:tcPr>
            <w:tcW w:w="2721" w:type="dxa"/>
            <w:tcBorders>
              <w:top w:val="single" w:sz="2" w:space="0" w:color="CCCCCC"/>
              <w:start w:val="single" w:sz="2" w:space="0" w:color="CCCCCC"/>
              <w:bottom w:val="single" w:sz="2" w:space="0" w:color="CCCCCC"/>
              <w:end w:val="single" w:sz="2" w:space="0" w:color="CCCCCC"/>
            </w:tcBorders>
            <w:shd w:fill="1F3864" w:val="clear"/>
            <w:tcMar>
              <w:top w:w="60" w:type="dxa"/>
              <w:start w:w="100" w:type="dxa"/>
              <w:bottom w:w="60" w:type="dxa"/>
              <w:end w:w="100" w:type="dxa"/>
            </w:tcMar>
          </w:tcPr>
          <w:p>
            <w:pPr>
              <w:pStyle w:val="Normal"/>
              <w:jc w:val="center"/>
              <w:rPr/>
            </w:pPr>
            <w:r>
              <w:rPr>
                <w:rFonts w:eastAsia="Arial" w:cs="Arial"/>
                <w:b/>
                <w:bCs/>
                <w:color w:val="FFFFFF"/>
                <w:sz w:val="16"/>
                <w:szCs w:val="16"/>
              </w:rPr>
              <w:t>Provider/Caregiver Signature</w:t>
            </w:r>
          </w:p>
        </w:tc>
      </w:tr>
      <w:tr>
        <w:trPr>
          <w:trHeight w:val="450" w:hRule="atLeast"/>
        </w:trPr>
        <w:tc>
          <w:tcPr>
            <w:tcW w:w="3919" w:type="dxa"/>
            <w:tcBorders>
              <w:top w:val="single" w:sz="2" w:space="0" w:color="CCCCCC"/>
              <w:start w:val="single" w:sz="2" w:space="0" w:color="CCCCCC"/>
              <w:bottom w:val="single" w:sz="2" w:space="0" w:color="CCCCCC"/>
              <w:end w:val="single" w:sz="2" w:space="0" w:color="CCCCCC"/>
            </w:tcBorders>
            <w:shd w:fill="EAF1FB" w:val="clear"/>
            <w:tcMar>
              <w:top w:w="40" w:type="dxa"/>
              <w:start w:w="80" w:type="dxa"/>
              <w:bottom w:w="40" w:type="dxa"/>
              <w:end w:w="80" w:type="dxa"/>
            </w:tcMar>
          </w:tcPr>
          <w:p>
            <w:pPr>
              <w:pStyle w:val="Normal"/>
              <w:rPr/>
            </w:pPr>
            <w:r>
              <w:rPr/>
            </w:r>
          </w:p>
        </w:tc>
        <w:tc>
          <w:tcPr>
            <w:tcW w:w="2720" w:type="dxa"/>
            <w:tcBorders>
              <w:top w:val="single" w:sz="2" w:space="0" w:color="CCCCCC"/>
              <w:start w:val="single" w:sz="2" w:space="0" w:color="CCCCCC"/>
              <w:bottom w:val="single" w:sz="2" w:space="0" w:color="CCCCCC"/>
              <w:end w:val="single" w:sz="2" w:space="0" w:color="CCCCCC"/>
            </w:tcBorders>
            <w:shd w:fill="EAF1FB" w:val="clear"/>
            <w:tcMar>
              <w:top w:w="40" w:type="dxa"/>
              <w:start w:w="80" w:type="dxa"/>
              <w:bottom w:w="40" w:type="dxa"/>
              <w:end w:w="80" w:type="dxa"/>
            </w:tcMar>
          </w:tcPr>
          <w:p>
            <w:pPr>
              <w:pStyle w:val="Normal"/>
              <w:rPr/>
            </w:pPr>
            <w:r>
              <w:rPr/>
            </w:r>
          </w:p>
        </w:tc>
        <w:tc>
          <w:tcPr>
            <w:tcW w:w="2721" w:type="dxa"/>
            <w:tcBorders>
              <w:top w:val="single" w:sz="2" w:space="0" w:color="CCCCCC"/>
              <w:start w:val="single" w:sz="2" w:space="0" w:color="CCCCCC"/>
              <w:bottom w:val="single" w:sz="2" w:space="0" w:color="CCCCCC"/>
              <w:end w:val="single" w:sz="2" w:space="0" w:color="CCCCCC"/>
            </w:tcBorders>
            <w:shd w:fill="EAF1FB" w:val="clear"/>
            <w:tcMar>
              <w:top w:w="40" w:type="dxa"/>
              <w:start w:w="80" w:type="dxa"/>
              <w:bottom w:w="40" w:type="dxa"/>
              <w:end w:w="80" w:type="dxa"/>
            </w:tcMar>
          </w:tcPr>
          <w:p>
            <w:pPr>
              <w:pStyle w:val="Normal"/>
              <w:rPr/>
            </w:pPr>
            <w:r>
              <w:rPr/>
            </w:r>
          </w:p>
        </w:tc>
      </w:tr>
      <w:tr>
        <w:trPr>
          <w:trHeight w:val="450" w:hRule="atLeast"/>
        </w:trPr>
        <w:tc>
          <w:tcPr>
            <w:tcW w:w="3919" w:type="dxa"/>
            <w:tcBorders>
              <w:top w:val="single" w:sz="2" w:space="0" w:color="CCCCCC"/>
              <w:start w:val="single" w:sz="2" w:space="0" w:color="CCCCCC"/>
              <w:bottom w:val="single" w:sz="2" w:space="0" w:color="CCCCCC"/>
              <w:end w:val="single" w:sz="2" w:space="0" w:color="CCCCCC"/>
            </w:tcBorders>
            <w:shd w:fill="FFFFFF" w:val="clear"/>
            <w:tcMar>
              <w:top w:w="40" w:type="dxa"/>
              <w:start w:w="80" w:type="dxa"/>
              <w:bottom w:w="40" w:type="dxa"/>
              <w:end w:w="80" w:type="dxa"/>
            </w:tcMar>
          </w:tcPr>
          <w:p>
            <w:pPr>
              <w:pStyle w:val="Normal"/>
              <w:rPr/>
            </w:pPr>
            <w:r>
              <w:rPr/>
            </w:r>
          </w:p>
        </w:tc>
        <w:tc>
          <w:tcPr>
            <w:tcW w:w="2720" w:type="dxa"/>
            <w:tcBorders>
              <w:top w:val="single" w:sz="2" w:space="0" w:color="CCCCCC"/>
              <w:start w:val="single" w:sz="2" w:space="0" w:color="CCCCCC"/>
              <w:bottom w:val="single" w:sz="2" w:space="0" w:color="CCCCCC"/>
              <w:end w:val="single" w:sz="2" w:space="0" w:color="CCCCCC"/>
            </w:tcBorders>
            <w:shd w:fill="FFFFFF" w:val="clear"/>
            <w:tcMar>
              <w:top w:w="40" w:type="dxa"/>
              <w:start w:w="80" w:type="dxa"/>
              <w:bottom w:w="40" w:type="dxa"/>
              <w:end w:w="80" w:type="dxa"/>
            </w:tcMar>
          </w:tcPr>
          <w:p>
            <w:pPr>
              <w:pStyle w:val="Normal"/>
              <w:rPr/>
            </w:pPr>
            <w:r>
              <w:rPr/>
            </w:r>
          </w:p>
        </w:tc>
        <w:tc>
          <w:tcPr>
            <w:tcW w:w="2721" w:type="dxa"/>
            <w:tcBorders>
              <w:top w:val="single" w:sz="2" w:space="0" w:color="CCCCCC"/>
              <w:start w:val="single" w:sz="2" w:space="0" w:color="CCCCCC"/>
              <w:bottom w:val="single" w:sz="2" w:space="0" w:color="CCCCCC"/>
              <w:end w:val="single" w:sz="2" w:space="0" w:color="CCCCCC"/>
            </w:tcBorders>
            <w:shd w:fill="FFFFFF" w:val="clear"/>
            <w:tcMar>
              <w:top w:w="40" w:type="dxa"/>
              <w:start w:w="80" w:type="dxa"/>
              <w:bottom w:w="40" w:type="dxa"/>
              <w:end w:w="80" w:type="dxa"/>
            </w:tcMar>
          </w:tcPr>
          <w:p>
            <w:pPr>
              <w:pStyle w:val="Normal"/>
              <w:rPr/>
            </w:pPr>
            <w:r>
              <w:rPr/>
            </w:r>
          </w:p>
        </w:tc>
      </w:tr>
      <w:tr>
        <w:trPr>
          <w:trHeight w:val="450" w:hRule="atLeast"/>
        </w:trPr>
        <w:tc>
          <w:tcPr>
            <w:tcW w:w="3919" w:type="dxa"/>
            <w:tcBorders>
              <w:top w:val="single" w:sz="2" w:space="0" w:color="CCCCCC"/>
              <w:start w:val="single" w:sz="2" w:space="0" w:color="CCCCCC"/>
              <w:bottom w:val="single" w:sz="2" w:space="0" w:color="CCCCCC"/>
              <w:end w:val="single" w:sz="2" w:space="0" w:color="CCCCCC"/>
            </w:tcBorders>
            <w:shd w:fill="EAF1FB" w:val="clear"/>
            <w:tcMar>
              <w:top w:w="40" w:type="dxa"/>
              <w:start w:w="80" w:type="dxa"/>
              <w:bottom w:w="40" w:type="dxa"/>
              <w:end w:w="80" w:type="dxa"/>
            </w:tcMar>
          </w:tcPr>
          <w:p>
            <w:pPr>
              <w:pStyle w:val="Normal"/>
              <w:rPr/>
            </w:pPr>
            <w:r>
              <w:rPr/>
            </w:r>
          </w:p>
        </w:tc>
        <w:tc>
          <w:tcPr>
            <w:tcW w:w="2720" w:type="dxa"/>
            <w:tcBorders>
              <w:top w:val="single" w:sz="2" w:space="0" w:color="CCCCCC"/>
              <w:start w:val="single" w:sz="2" w:space="0" w:color="CCCCCC"/>
              <w:bottom w:val="single" w:sz="2" w:space="0" w:color="CCCCCC"/>
              <w:end w:val="single" w:sz="2" w:space="0" w:color="CCCCCC"/>
            </w:tcBorders>
            <w:shd w:fill="EAF1FB" w:val="clear"/>
            <w:tcMar>
              <w:top w:w="40" w:type="dxa"/>
              <w:start w:w="80" w:type="dxa"/>
              <w:bottom w:w="40" w:type="dxa"/>
              <w:end w:w="80" w:type="dxa"/>
            </w:tcMar>
          </w:tcPr>
          <w:p>
            <w:pPr>
              <w:pStyle w:val="Normal"/>
              <w:rPr/>
            </w:pPr>
            <w:r>
              <w:rPr/>
            </w:r>
          </w:p>
        </w:tc>
        <w:tc>
          <w:tcPr>
            <w:tcW w:w="2721" w:type="dxa"/>
            <w:tcBorders>
              <w:top w:val="single" w:sz="2" w:space="0" w:color="CCCCCC"/>
              <w:start w:val="single" w:sz="2" w:space="0" w:color="CCCCCC"/>
              <w:bottom w:val="single" w:sz="2" w:space="0" w:color="CCCCCC"/>
              <w:end w:val="single" w:sz="2" w:space="0" w:color="CCCCCC"/>
            </w:tcBorders>
            <w:shd w:fill="EAF1FB" w:val="clear"/>
            <w:tcMar>
              <w:top w:w="40" w:type="dxa"/>
              <w:start w:w="80" w:type="dxa"/>
              <w:bottom w:w="40" w:type="dxa"/>
              <w:end w:w="80" w:type="dxa"/>
            </w:tcMar>
          </w:tcPr>
          <w:p>
            <w:pPr>
              <w:pStyle w:val="Normal"/>
              <w:rPr/>
            </w:pPr>
            <w:r>
              <w:rPr/>
            </w:r>
          </w:p>
        </w:tc>
      </w:tr>
      <w:tr>
        <w:trPr>
          <w:trHeight w:val="450" w:hRule="atLeast"/>
        </w:trPr>
        <w:tc>
          <w:tcPr>
            <w:tcW w:w="3919" w:type="dxa"/>
            <w:tcBorders>
              <w:top w:val="single" w:sz="2" w:space="0" w:color="CCCCCC"/>
              <w:start w:val="single" w:sz="2" w:space="0" w:color="CCCCCC"/>
              <w:bottom w:val="single" w:sz="2" w:space="0" w:color="CCCCCC"/>
              <w:end w:val="single" w:sz="2" w:space="0" w:color="CCCCCC"/>
            </w:tcBorders>
            <w:shd w:fill="FFFFFF" w:val="clear"/>
            <w:tcMar>
              <w:top w:w="40" w:type="dxa"/>
              <w:start w:w="80" w:type="dxa"/>
              <w:bottom w:w="40" w:type="dxa"/>
              <w:end w:w="80" w:type="dxa"/>
            </w:tcMar>
          </w:tcPr>
          <w:p>
            <w:pPr>
              <w:pStyle w:val="Normal"/>
              <w:rPr/>
            </w:pPr>
            <w:r>
              <w:rPr/>
            </w:r>
          </w:p>
        </w:tc>
        <w:tc>
          <w:tcPr>
            <w:tcW w:w="2720" w:type="dxa"/>
            <w:tcBorders>
              <w:top w:val="single" w:sz="2" w:space="0" w:color="CCCCCC"/>
              <w:start w:val="single" w:sz="2" w:space="0" w:color="CCCCCC"/>
              <w:bottom w:val="single" w:sz="2" w:space="0" w:color="CCCCCC"/>
              <w:end w:val="single" w:sz="2" w:space="0" w:color="CCCCCC"/>
            </w:tcBorders>
            <w:shd w:fill="FFFFFF" w:val="clear"/>
            <w:tcMar>
              <w:top w:w="40" w:type="dxa"/>
              <w:start w:w="80" w:type="dxa"/>
              <w:bottom w:w="40" w:type="dxa"/>
              <w:end w:w="80" w:type="dxa"/>
            </w:tcMar>
          </w:tcPr>
          <w:p>
            <w:pPr>
              <w:pStyle w:val="Normal"/>
              <w:rPr/>
            </w:pPr>
            <w:r>
              <w:rPr/>
            </w:r>
          </w:p>
        </w:tc>
        <w:tc>
          <w:tcPr>
            <w:tcW w:w="2721" w:type="dxa"/>
            <w:tcBorders>
              <w:top w:val="single" w:sz="2" w:space="0" w:color="CCCCCC"/>
              <w:start w:val="single" w:sz="2" w:space="0" w:color="CCCCCC"/>
              <w:bottom w:val="single" w:sz="2" w:space="0" w:color="CCCCCC"/>
              <w:end w:val="single" w:sz="2" w:space="0" w:color="CCCCCC"/>
            </w:tcBorders>
            <w:shd w:fill="FFFFFF" w:val="clear"/>
            <w:tcMar>
              <w:top w:w="40" w:type="dxa"/>
              <w:start w:w="80" w:type="dxa"/>
              <w:bottom w:w="40" w:type="dxa"/>
              <w:end w:w="80" w:type="dxa"/>
            </w:tcMar>
          </w:tcPr>
          <w:p>
            <w:pPr>
              <w:pStyle w:val="Normal"/>
              <w:rPr/>
            </w:pPr>
            <w:r>
              <w:rPr/>
            </w:r>
          </w:p>
        </w:tc>
      </w:tr>
      <w:tr>
        <w:trPr>
          <w:trHeight w:val="450" w:hRule="atLeast"/>
        </w:trPr>
        <w:tc>
          <w:tcPr>
            <w:tcW w:w="3919" w:type="dxa"/>
            <w:tcBorders>
              <w:top w:val="single" w:sz="2" w:space="0" w:color="CCCCCC"/>
              <w:start w:val="single" w:sz="2" w:space="0" w:color="CCCCCC"/>
              <w:bottom w:val="single" w:sz="2" w:space="0" w:color="CCCCCC"/>
              <w:end w:val="single" w:sz="2" w:space="0" w:color="CCCCCC"/>
            </w:tcBorders>
            <w:shd w:fill="EAF1FB" w:val="clear"/>
            <w:tcMar>
              <w:top w:w="40" w:type="dxa"/>
              <w:start w:w="80" w:type="dxa"/>
              <w:bottom w:w="40" w:type="dxa"/>
              <w:end w:w="80" w:type="dxa"/>
            </w:tcMar>
          </w:tcPr>
          <w:p>
            <w:pPr>
              <w:pStyle w:val="Normal"/>
              <w:rPr/>
            </w:pPr>
            <w:r>
              <w:rPr/>
            </w:r>
          </w:p>
        </w:tc>
        <w:tc>
          <w:tcPr>
            <w:tcW w:w="2720" w:type="dxa"/>
            <w:tcBorders>
              <w:top w:val="single" w:sz="2" w:space="0" w:color="CCCCCC"/>
              <w:start w:val="single" w:sz="2" w:space="0" w:color="CCCCCC"/>
              <w:bottom w:val="single" w:sz="2" w:space="0" w:color="CCCCCC"/>
              <w:end w:val="single" w:sz="2" w:space="0" w:color="CCCCCC"/>
            </w:tcBorders>
            <w:shd w:fill="EAF1FB" w:val="clear"/>
            <w:tcMar>
              <w:top w:w="40" w:type="dxa"/>
              <w:start w:w="80" w:type="dxa"/>
              <w:bottom w:w="40" w:type="dxa"/>
              <w:end w:w="80" w:type="dxa"/>
            </w:tcMar>
          </w:tcPr>
          <w:p>
            <w:pPr>
              <w:pStyle w:val="Normal"/>
              <w:rPr/>
            </w:pPr>
            <w:r>
              <w:rPr/>
            </w:r>
          </w:p>
        </w:tc>
        <w:tc>
          <w:tcPr>
            <w:tcW w:w="2721" w:type="dxa"/>
            <w:tcBorders>
              <w:top w:val="single" w:sz="2" w:space="0" w:color="CCCCCC"/>
              <w:start w:val="single" w:sz="2" w:space="0" w:color="CCCCCC"/>
              <w:bottom w:val="single" w:sz="2" w:space="0" w:color="CCCCCC"/>
              <w:end w:val="single" w:sz="2" w:space="0" w:color="CCCCCC"/>
            </w:tcBorders>
            <w:shd w:fill="EAF1FB" w:val="clear"/>
            <w:tcMar>
              <w:top w:w="40" w:type="dxa"/>
              <w:start w:w="80" w:type="dxa"/>
              <w:bottom w:w="40" w:type="dxa"/>
              <w:end w:w="80" w:type="dxa"/>
            </w:tcMar>
          </w:tcPr>
          <w:p>
            <w:pPr>
              <w:pStyle w:val="Normal"/>
              <w:rPr/>
            </w:pPr>
            <w:r>
              <w:rPr/>
            </w:r>
          </w:p>
        </w:tc>
      </w:tr>
      <w:tr>
        <w:trPr>
          <w:trHeight w:val="450" w:hRule="atLeast"/>
        </w:trPr>
        <w:tc>
          <w:tcPr>
            <w:tcW w:w="3919" w:type="dxa"/>
            <w:tcBorders>
              <w:top w:val="single" w:sz="2" w:space="0" w:color="CCCCCC"/>
              <w:start w:val="single" w:sz="2" w:space="0" w:color="CCCCCC"/>
              <w:bottom w:val="single" w:sz="2" w:space="0" w:color="CCCCCC"/>
              <w:end w:val="single" w:sz="2" w:space="0" w:color="CCCCCC"/>
            </w:tcBorders>
            <w:shd w:fill="FFFFFF" w:val="clear"/>
            <w:tcMar>
              <w:top w:w="40" w:type="dxa"/>
              <w:start w:w="80" w:type="dxa"/>
              <w:bottom w:w="40" w:type="dxa"/>
              <w:end w:w="80" w:type="dxa"/>
            </w:tcMar>
          </w:tcPr>
          <w:p>
            <w:pPr>
              <w:pStyle w:val="Normal"/>
              <w:rPr/>
            </w:pPr>
            <w:r>
              <w:rPr/>
            </w:r>
          </w:p>
        </w:tc>
        <w:tc>
          <w:tcPr>
            <w:tcW w:w="2720" w:type="dxa"/>
            <w:tcBorders>
              <w:top w:val="single" w:sz="2" w:space="0" w:color="CCCCCC"/>
              <w:start w:val="single" w:sz="2" w:space="0" w:color="CCCCCC"/>
              <w:bottom w:val="single" w:sz="2" w:space="0" w:color="CCCCCC"/>
              <w:end w:val="single" w:sz="2" w:space="0" w:color="CCCCCC"/>
            </w:tcBorders>
            <w:shd w:fill="FFFFFF" w:val="clear"/>
            <w:tcMar>
              <w:top w:w="40" w:type="dxa"/>
              <w:start w:w="80" w:type="dxa"/>
              <w:bottom w:w="40" w:type="dxa"/>
              <w:end w:w="80" w:type="dxa"/>
            </w:tcMar>
          </w:tcPr>
          <w:p>
            <w:pPr>
              <w:pStyle w:val="Normal"/>
              <w:rPr/>
            </w:pPr>
            <w:r>
              <w:rPr/>
            </w:r>
          </w:p>
        </w:tc>
        <w:tc>
          <w:tcPr>
            <w:tcW w:w="2721" w:type="dxa"/>
            <w:tcBorders>
              <w:top w:val="single" w:sz="2" w:space="0" w:color="CCCCCC"/>
              <w:start w:val="single" w:sz="2" w:space="0" w:color="CCCCCC"/>
              <w:bottom w:val="single" w:sz="2" w:space="0" w:color="CCCCCC"/>
              <w:end w:val="single" w:sz="2" w:space="0" w:color="CCCCCC"/>
            </w:tcBorders>
            <w:shd w:fill="FFFFFF" w:val="clear"/>
            <w:tcMar>
              <w:top w:w="40" w:type="dxa"/>
              <w:start w:w="80" w:type="dxa"/>
              <w:bottom w:w="40" w:type="dxa"/>
              <w:end w:w="80" w:type="dxa"/>
            </w:tcMar>
          </w:tcPr>
          <w:p>
            <w:pPr>
              <w:pStyle w:val="Normal"/>
              <w:rPr/>
            </w:pPr>
            <w:r>
              <w:rPr/>
            </w:r>
          </w:p>
        </w:tc>
      </w:tr>
      <w:tr>
        <w:trPr>
          <w:trHeight w:val="450" w:hRule="atLeast"/>
        </w:trPr>
        <w:tc>
          <w:tcPr>
            <w:tcW w:w="3919" w:type="dxa"/>
            <w:tcBorders>
              <w:top w:val="single" w:sz="2" w:space="0" w:color="CCCCCC"/>
              <w:start w:val="single" w:sz="2" w:space="0" w:color="CCCCCC"/>
              <w:bottom w:val="single" w:sz="2" w:space="0" w:color="CCCCCC"/>
              <w:end w:val="single" w:sz="2" w:space="0" w:color="CCCCCC"/>
            </w:tcBorders>
            <w:shd w:fill="EAF1FB" w:val="clear"/>
            <w:tcMar>
              <w:top w:w="40" w:type="dxa"/>
              <w:start w:w="80" w:type="dxa"/>
              <w:bottom w:w="40" w:type="dxa"/>
              <w:end w:w="80" w:type="dxa"/>
            </w:tcMar>
          </w:tcPr>
          <w:p>
            <w:pPr>
              <w:pStyle w:val="Normal"/>
              <w:rPr/>
            </w:pPr>
            <w:r>
              <w:rPr/>
            </w:r>
          </w:p>
        </w:tc>
        <w:tc>
          <w:tcPr>
            <w:tcW w:w="2720" w:type="dxa"/>
            <w:tcBorders>
              <w:top w:val="single" w:sz="2" w:space="0" w:color="CCCCCC"/>
              <w:start w:val="single" w:sz="2" w:space="0" w:color="CCCCCC"/>
              <w:bottom w:val="single" w:sz="2" w:space="0" w:color="CCCCCC"/>
              <w:end w:val="single" w:sz="2" w:space="0" w:color="CCCCCC"/>
            </w:tcBorders>
            <w:shd w:fill="EAF1FB" w:val="clear"/>
            <w:tcMar>
              <w:top w:w="40" w:type="dxa"/>
              <w:start w:w="80" w:type="dxa"/>
              <w:bottom w:w="40" w:type="dxa"/>
              <w:end w:w="80" w:type="dxa"/>
            </w:tcMar>
          </w:tcPr>
          <w:p>
            <w:pPr>
              <w:pStyle w:val="Normal"/>
              <w:rPr/>
            </w:pPr>
            <w:r>
              <w:rPr/>
            </w:r>
          </w:p>
        </w:tc>
        <w:tc>
          <w:tcPr>
            <w:tcW w:w="2721" w:type="dxa"/>
            <w:tcBorders>
              <w:top w:val="single" w:sz="2" w:space="0" w:color="CCCCCC"/>
              <w:start w:val="single" w:sz="2" w:space="0" w:color="CCCCCC"/>
              <w:bottom w:val="single" w:sz="2" w:space="0" w:color="CCCCCC"/>
              <w:end w:val="single" w:sz="2" w:space="0" w:color="CCCCCC"/>
            </w:tcBorders>
            <w:shd w:fill="EAF1FB" w:val="clear"/>
            <w:tcMar>
              <w:top w:w="40" w:type="dxa"/>
              <w:start w:w="80" w:type="dxa"/>
              <w:bottom w:w="40" w:type="dxa"/>
              <w:end w:w="80" w:type="dxa"/>
            </w:tcMar>
          </w:tcPr>
          <w:p>
            <w:pPr>
              <w:pStyle w:val="Normal"/>
              <w:rPr/>
            </w:pPr>
            <w:r>
              <w:rPr/>
            </w:r>
          </w:p>
        </w:tc>
      </w:tr>
      <w:tr>
        <w:trPr>
          <w:trHeight w:val="450" w:hRule="atLeast"/>
        </w:trPr>
        <w:tc>
          <w:tcPr>
            <w:tcW w:w="3919" w:type="dxa"/>
            <w:tcBorders>
              <w:top w:val="single" w:sz="2" w:space="0" w:color="CCCCCC"/>
              <w:start w:val="single" w:sz="2" w:space="0" w:color="CCCCCC"/>
              <w:bottom w:val="single" w:sz="2" w:space="0" w:color="CCCCCC"/>
              <w:end w:val="single" w:sz="2" w:space="0" w:color="CCCCCC"/>
            </w:tcBorders>
            <w:shd w:fill="FFFFFF" w:val="clear"/>
            <w:tcMar>
              <w:top w:w="40" w:type="dxa"/>
              <w:start w:w="80" w:type="dxa"/>
              <w:bottom w:w="40" w:type="dxa"/>
              <w:end w:w="80" w:type="dxa"/>
            </w:tcMar>
          </w:tcPr>
          <w:p>
            <w:pPr>
              <w:pStyle w:val="Normal"/>
              <w:rPr/>
            </w:pPr>
            <w:r>
              <w:rPr/>
            </w:r>
          </w:p>
        </w:tc>
        <w:tc>
          <w:tcPr>
            <w:tcW w:w="2720" w:type="dxa"/>
            <w:tcBorders>
              <w:top w:val="single" w:sz="2" w:space="0" w:color="CCCCCC"/>
              <w:start w:val="single" w:sz="2" w:space="0" w:color="CCCCCC"/>
              <w:bottom w:val="single" w:sz="2" w:space="0" w:color="CCCCCC"/>
              <w:end w:val="single" w:sz="2" w:space="0" w:color="CCCCCC"/>
            </w:tcBorders>
            <w:shd w:fill="FFFFFF" w:val="clear"/>
            <w:tcMar>
              <w:top w:w="40" w:type="dxa"/>
              <w:start w:w="80" w:type="dxa"/>
              <w:bottom w:w="40" w:type="dxa"/>
              <w:end w:w="80" w:type="dxa"/>
            </w:tcMar>
          </w:tcPr>
          <w:p>
            <w:pPr>
              <w:pStyle w:val="Normal"/>
              <w:rPr/>
            </w:pPr>
            <w:r>
              <w:rPr/>
            </w:r>
          </w:p>
        </w:tc>
        <w:tc>
          <w:tcPr>
            <w:tcW w:w="2721" w:type="dxa"/>
            <w:tcBorders>
              <w:top w:val="single" w:sz="2" w:space="0" w:color="CCCCCC"/>
              <w:start w:val="single" w:sz="2" w:space="0" w:color="CCCCCC"/>
              <w:bottom w:val="single" w:sz="2" w:space="0" w:color="CCCCCC"/>
              <w:end w:val="single" w:sz="2" w:space="0" w:color="CCCCCC"/>
            </w:tcBorders>
            <w:shd w:fill="FFFFFF" w:val="clear"/>
            <w:tcMar>
              <w:top w:w="40" w:type="dxa"/>
              <w:start w:w="80" w:type="dxa"/>
              <w:bottom w:w="40" w:type="dxa"/>
              <w:end w:w="80" w:type="dxa"/>
            </w:tcMar>
          </w:tcPr>
          <w:p>
            <w:pPr>
              <w:pStyle w:val="Normal"/>
              <w:rPr/>
            </w:pPr>
            <w:r>
              <w:rPr/>
            </w:r>
          </w:p>
        </w:tc>
      </w:tr>
      <w:tr>
        <w:trPr>
          <w:trHeight w:val="450" w:hRule="atLeast"/>
        </w:trPr>
        <w:tc>
          <w:tcPr>
            <w:tcW w:w="3919" w:type="dxa"/>
            <w:tcBorders>
              <w:top w:val="single" w:sz="2" w:space="0" w:color="CCCCCC"/>
              <w:start w:val="single" w:sz="2" w:space="0" w:color="CCCCCC"/>
              <w:bottom w:val="single" w:sz="2" w:space="0" w:color="CCCCCC"/>
              <w:end w:val="single" w:sz="2" w:space="0" w:color="CCCCCC"/>
            </w:tcBorders>
            <w:shd w:fill="EAF1FB" w:val="clear"/>
            <w:tcMar>
              <w:top w:w="40" w:type="dxa"/>
              <w:start w:w="80" w:type="dxa"/>
              <w:bottom w:w="40" w:type="dxa"/>
              <w:end w:w="80" w:type="dxa"/>
            </w:tcMar>
          </w:tcPr>
          <w:p>
            <w:pPr>
              <w:pStyle w:val="Normal"/>
              <w:rPr/>
            </w:pPr>
            <w:r>
              <w:rPr/>
            </w:r>
          </w:p>
        </w:tc>
        <w:tc>
          <w:tcPr>
            <w:tcW w:w="2720" w:type="dxa"/>
            <w:tcBorders>
              <w:top w:val="single" w:sz="2" w:space="0" w:color="CCCCCC"/>
              <w:start w:val="single" w:sz="2" w:space="0" w:color="CCCCCC"/>
              <w:bottom w:val="single" w:sz="2" w:space="0" w:color="CCCCCC"/>
              <w:end w:val="single" w:sz="2" w:space="0" w:color="CCCCCC"/>
            </w:tcBorders>
            <w:shd w:fill="EAF1FB" w:val="clear"/>
            <w:tcMar>
              <w:top w:w="40" w:type="dxa"/>
              <w:start w:w="80" w:type="dxa"/>
              <w:bottom w:w="40" w:type="dxa"/>
              <w:end w:w="80" w:type="dxa"/>
            </w:tcMar>
          </w:tcPr>
          <w:p>
            <w:pPr>
              <w:pStyle w:val="Normal"/>
              <w:rPr/>
            </w:pPr>
            <w:r>
              <w:rPr/>
            </w:r>
          </w:p>
        </w:tc>
        <w:tc>
          <w:tcPr>
            <w:tcW w:w="2721" w:type="dxa"/>
            <w:tcBorders>
              <w:top w:val="single" w:sz="2" w:space="0" w:color="CCCCCC"/>
              <w:start w:val="single" w:sz="2" w:space="0" w:color="CCCCCC"/>
              <w:bottom w:val="single" w:sz="2" w:space="0" w:color="CCCCCC"/>
              <w:end w:val="single" w:sz="2" w:space="0" w:color="CCCCCC"/>
            </w:tcBorders>
            <w:shd w:fill="EAF1FB" w:val="clear"/>
            <w:tcMar>
              <w:top w:w="40" w:type="dxa"/>
              <w:start w:w="80" w:type="dxa"/>
              <w:bottom w:w="40" w:type="dxa"/>
              <w:end w:w="80" w:type="dxa"/>
            </w:tcMar>
          </w:tcPr>
          <w:p>
            <w:pPr>
              <w:pStyle w:val="Normal"/>
              <w:rPr/>
            </w:pPr>
            <w:r>
              <w:rPr/>
            </w:r>
          </w:p>
        </w:tc>
      </w:tr>
      <w:tr>
        <w:trPr>
          <w:trHeight w:val="450" w:hRule="atLeast"/>
        </w:trPr>
        <w:tc>
          <w:tcPr>
            <w:tcW w:w="3919" w:type="dxa"/>
            <w:tcBorders>
              <w:top w:val="single" w:sz="2" w:space="0" w:color="CCCCCC"/>
              <w:start w:val="single" w:sz="2" w:space="0" w:color="CCCCCC"/>
              <w:bottom w:val="single" w:sz="2" w:space="0" w:color="CCCCCC"/>
              <w:end w:val="single" w:sz="2" w:space="0" w:color="CCCCCC"/>
            </w:tcBorders>
            <w:shd w:fill="FFFFFF" w:val="clear"/>
            <w:tcMar>
              <w:top w:w="40" w:type="dxa"/>
              <w:start w:w="80" w:type="dxa"/>
              <w:bottom w:w="40" w:type="dxa"/>
              <w:end w:w="80" w:type="dxa"/>
            </w:tcMar>
          </w:tcPr>
          <w:p>
            <w:pPr>
              <w:pStyle w:val="Normal"/>
              <w:rPr/>
            </w:pPr>
            <w:r>
              <w:rPr/>
            </w:r>
          </w:p>
        </w:tc>
        <w:tc>
          <w:tcPr>
            <w:tcW w:w="2720" w:type="dxa"/>
            <w:tcBorders>
              <w:top w:val="single" w:sz="2" w:space="0" w:color="CCCCCC"/>
              <w:start w:val="single" w:sz="2" w:space="0" w:color="CCCCCC"/>
              <w:bottom w:val="single" w:sz="2" w:space="0" w:color="CCCCCC"/>
              <w:end w:val="single" w:sz="2" w:space="0" w:color="CCCCCC"/>
            </w:tcBorders>
            <w:shd w:fill="FFFFFF" w:val="clear"/>
            <w:tcMar>
              <w:top w:w="40" w:type="dxa"/>
              <w:start w:w="80" w:type="dxa"/>
              <w:bottom w:w="40" w:type="dxa"/>
              <w:end w:w="80" w:type="dxa"/>
            </w:tcMar>
          </w:tcPr>
          <w:p>
            <w:pPr>
              <w:pStyle w:val="Normal"/>
              <w:rPr/>
            </w:pPr>
            <w:r>
              <w:rPr/>
            </w:r>
          </w:p>
        </w:tc>
        <w:tc>
          <w:tcPr>
            <w:tcW w:w="2721" w:type="dxa"/>
            <w:tcBorders>
              <w:top w:val="single" w:sz="2" w:space="0" w:color="CCCCCC"/>
              <w:start w:val="single" w:sz="2" w:space="0" w:color="CCCCCC"/>
              <w:bottom w:val="single" w:sz="2" w:space="0" w:color="CCCCCC"/>
              <w:end w:val="single" w:sz="2" w:space="0" w:color="CCCCCC"/>
            </w:tcBorders>
            <w:shd w:fill="FFFFFF" w:val="clear"/>
            <w:tcMar>
              <w:top w:w="40" w:type="dxa"/>
              <w:start w:w="80" w:type="dxa"/>
              <w:bottom w:w="40" w:type="dxa"/>
              <w:end w:w="80" w:type="dxa"/>
            </w:tcMar>
          </w:tcPr>
          <w:p>
            <w:pPr>
              <w:pStyle w:val="Normal"/>
              <w:rPr/>
            </w:pPr>
            <w:r>
              <w:rPr/>
            </w:r>
          </w:p>
        </w:tc>
      </w:tr>
      <w:tr>
        <w:trPr>
          <w:trHeight w:val="450" w:hRule="atLeast"/>
        </w:trPr>
        <w:tc>
          <w:tcPr>
            <w:tcW w:w="3919" w:type="dxa"/>
            <w:tcBorders>
              <w:top w:val="single" w:sz="2" w:space="0" w:color="CCCCCC"/>
              <w:start w:val="single" w:sz="2" w:space="0" w:color="CCCCCC"/>
              <w:bottom w:val="single" w:sz="2" w:space="0" w:color="CCCCCC"/>
              <w:end w:val="single" w:sz="2" w:space="0" w:color="CCCCCC"/>
            </w:tcBorders>
            <w:shd w:fill="EAF1FB" w:val="clear"/>
            <w:tcMar>
              <w:top w:w="40" w:type="dxa"/>
              <w:start w:w="80" w:type="dxa"/>
              <w:bottom w:w="40" w:type="dxa"/>
              <w:end w:w="80" w:type="dxa"/>
            </w:tcMar>
          </w:tcPr>
          <w:p>
            <w:pPr>
              <w:pStyle w:val="Normal"/>
              <w:rPr/>
            </w:pPr>
            <w:r>
              <w:rPr/>
            </w:r>
          </w:p>
        </w:tc>
        <w:tc>
          <w:tcPr>
            <w:tcW w:w="2720" w:type="dxa"/>
            <w:tcBorders>
              <w:top w:val="single" w:sz="2" w:space="0" w:color="CCCCCC"/>
              <w:start w:val="single" w:sz="2" w:space="0" w:color="CCCCCC"/>
              <w:bottom w:val="single" w:sz="2" w:space="0" w:color="CCCCCC"/>
              <w:end w:val="single" w:sz="2" w:space="0" w:color="CCCCCC"/>
            </w:tcBorders>
            <w:shd w:fill="EAF1FB" w:val="clear"/>
            <w:tcMar>
              <w:top w:w="40" w:type="dxa"/>
              <w:start w:w="80" w:type="dxa"/>
              <w:bottom w:w="40" w:type="dxa"/>
              <w:end w:w="80" w:type="dxa"/>
            </w:tcMar>
          </w:tcPr>
          <w:p>
            <w:pPr>
              <w:pStyle w:val="Normal"/>
              <w:rPr/>
            </w:pPr>
            <w:r>
              <w:rPr/>
            </w:r>
          </w:p>
        </w:tc>
        <w:tc>
          <w:tcPr>
            <w:tcW w:w="2721" w:type="dxa"/>
            <w:tcBorders>
              <w:top w:val="single" w:sz="2" w:space="0" w:color="CCCCCC"/>
              <w:start w:val="single" w:sz="2" w:space="0" w:color="CCCCCC"/>
              <w:bottom w:val="single" w:sz="2" w:space="0" w:color="CCCCCC"/>
              <w:end w:val="single" w:sz="2" w:space="0" w:color="CCCCCC"/>
            </w:tcBorders>
            <w:shd w:fill="EAF1FB" w:val="clear"/>
            <w:tcMar>
              <w:top w:w="40" w:type="dxa"/>
              <w:start w:w="80" w:type="dxa"/>
              <w:bottom w:w="40" w:type="dxa"/>
              <w:end w:w="80" w:type="dxa"/>
            </w:tcMar>
          </w:tcPr>
          <w:p>
            <w:pPr>
              <w:pStyle w:val="Normal"/>
              <w:rPr/>
            </w:pPr>
            <w:r>
              <w:rPr/>
            </w:r>
          </w:p>
        </w:tc>
      </w:tr>
      <w:tr>
        <w:trPr>
          <w:trHeight w:val="450" w:hRule="atLeast"/>
        </w:trPr>
        <w:tc>
          <w:tcPr>
            <w:tcW w:w="3919" w:type="dxa"/>
            <w:tcBorders>
              <w:top w:val="single" w:sz="2" w:space="0" w:color="CCCCCC"/>
              <w:start w:val="single" w:sz="2" w:space="0" w:color="CCCCCC"/>
              <w:bottom w:val="single" w:sz="2" w:space="0" w:color="CCCCCC"/>
              <w:end w:val="single" w:sz="2" w:space="0" w:color="CCCCCC"/>
            </w:tcBorders>
            <w:shd w:fill="FFFFFF" w:val="clear"/>
            <w:tcMar>
              <w:top w:w="40" w:type="dxa"/>
              <w:start w:w="80" w:type="dxa"/>
              <w:bottom w:w="40" w:type="dxa"/>
              <w:end w:w="80" w:type="dxa"/>
            </w:tcMar>
          </w:tcPr>
          <w:p>
            <w:pPr>
              <w:pStyle w:val="Normal"/>
              <w:rPr/>
            </w:pPr>
            <w:r>
              <w:rPr/>
            </w:r>
          </w:p>
        </w:tc>
        <w:tc>
          <w:tcPr>
            <w:tcW w:w="2720" w:type="dxa"/>
            <w:tcBorders>
              <w:top w:val="single" w:sz="2" w:space="0" w:color="CCCCCC"/>
              <w:start w:val="single" w:sz="2" w:space="0" w:color="CCCCCC"/>
              <w:bottom w:val="single" w:sz="2" w:space="0" w:color="CCCCCC"/>
              <w:end w:val="single" w:sz="2" w:space="0" w:color="CCCCCC"/>
            </w:tcBorders>
            <w:shd w:fill="FFFFFF" w:val="clear"/>
            <w:tcMar>
              <w:top w:w="40" w:type="dxa"/>
              <w:start w:w="80" w:type="dxa"/>
              <w:bottom w:w="40" w:type="dxa"/>
              <w:end w:w="80" w:type="dxa"/>
            </w:tcMar>
          </w:tcPr>
          <w:p>
            <w:pPr>
              <w:pStyle w:val="Normal"/>
              <w:rPr/>
            </w:pPr>
            <w:r>
              <w:rPr/>
            </w:r>
          </w:p>
        </w:tc>
        <w:tc>
          <w:tcPr>
            <w:tcW w:w="2721" w:type="dxa"/>
            <w:tcBorders>
              <w:top w:val="single" w:sz="2" w:space="0" w:color="CCCCCC"/>
              <w:start w:val="single" w:sz="2" w:space="0" w:color="CCCCCC"/>
              <w:bottom w:val="single" w:sz="2" w:space="0" w:color="CCCCCC"/>
              <w:end w:val="single" w:sz="2" w:space="0" w:color="CCCCCC"/>
            </w:tcBorders>
            <w:shd w:fill="FFFFFF" w:val="clear"/>
            <w:tcMar>
              <w:top w:w="40" w:type="dxa"/>
              <w:start w:w="80" w:type="dxa"/>
              <w:bottom w:w="40" w:type="dxa"/>
              <w:end w:w="80" w:type="dxa"/>
            </w:tcMar>
          </w:tcPr>
          <w:p>
            <w:pPr>
              <w:pStyle w:val="Normal"/>
              <w:rPr/>
            </w:pPr>
            <w:r>
              <w:rPr/>
            </w:r>
          </w:p>
        </w:tc>
      </w:tr>
    </w:tbl>
    <w:p>
      <w:pPr>
        <w:pStyle w:val="Normal"/>
        <w:spacing w:before="0" w:after="200"/>
        <w:rPr/>
      </w:pPr>
      <w:r>
        <w:rPr/>
      </w:r>
    </w:p>
    <w:p>
      <w:pPr>
        <w:pStyle w:val="Heading1"/>
        <w:pBdr>
          <w:bottom w:val="single" w:sz="6" w:space="1" w:color="2E5DA8"/>
        </w:pBdr>
        <w:spacing w:before="200" w:after="120"/>
        <w:rPr/>
      </w:pPr>
      <w:r>
        <w:rPr>
          <w:rFonts w:eastAsia="Arial" w:cs="Arial" w:ascii="Arial" w:hAnsi="Arial"/>
          <w:b/>
          <w:bCs/>
          <w:color w:val="1F3864"/>
          <w:sz w:val="28"/>
          <w:szCs w:val="28"/>
        </w:rPr>
        <w:t>APPENDIX D — Individual Rights Acknowledgment Form</w:t>
      </w:r>
    </w:p>
    <w:p>
      <w:pPr>
        <w:pStyle w:val="Normal"/>
        <w:spacing w:before="40" w:after="60"/>
        <w:rPr/>
      </w:pPr>
      <w:r>
        <w:rPr>
          <w:rFonts w:eastAsia="Arial" w:cs="Arial"/>
          <w:sz w:val="22"/>
          <w:szCs w:val="22"/>
        </w:rPr>
        <w:t>Complete with the individual and/or their LAR within twenty-four (24) hours of placement and at each annual IPC/IP review. File a signed copy in the individual's permanent record.</w:t>
      </w:r>
    </w:p>
    <w:p>
      <w:pPr>
        <w:pStyle w:val="Normal"/>
        <w:spacing w:before="0" w:after="80"/>
        <w:rPr/>
      </w:pPr>
      <w:r>
        <w:rPr/>
      </w:r>
    </w:p>
    <w:p>
      <w:pPr>
        <w:pStyle w:val="Normal"/>
        <w:spacing w:before="40" w:after="40"/>
        <w:rPr/>
      </w:pPr>
      <w:r>
        <w:rPr>
          <w:rFonts w:eastAsia="Arial" w:cs="Arial"/>
          <w:b/>
          <w:bCs/>
          <w:sz w:val="22"/>
          <w:szCs w:val="22"/>
        </w:rPr>
        <w:t xml:space="preserve">Individual Name:: </w:t>
      </w:r>
      <w:r>
        <w:rPr>
          <w:rFonts w:eastAsia="Arial" w:cs="Arial"/>
          <w:sz w:val="22"/>
          <w:szCs w:val="22"/>
        </w:rPr>
        <w:t>_____________________________________________</w:t>
      </w:r>
    </w:p>
    <w:p>
      <w:pPr>
        <w:pStyle w:val="Normal"/>
        <w:spacing w:before="40" w:after="40"/>
        <w:rPr/>
      </w:pPr>
      <w:r>
        <w:rPr>
          <w:rFonts w:eastAsia="Arial" w:cs="Arial"/>
          <w:b/>
          <w:bCs/>
          <w:sz w:val="22"/>
          <w:szCs w:val="22"/>
        </w:rPr>
        <w:t xml:space="preserve">Date of Placement:: </w:t>
      </w:r>
      <w:r>
        <w:rPr>
          <w:rFonts w:eastAsia="Arial" w:cs="Arial"/>
          <w:sz w:val="22"/>
          <w:szCs w:val="22"/>
        </w:rPr>
        <w:t>_____________________________________________</w:t>
      </w:r>
    </w:p>
    <w:p>
      <w:pPr>
        <w:pStyle w:val="Normal"/>
        <w:spacing w:before="40" w:after="40"/>
        <w:rPr/>
      </w:pPr>
      <w:r>
        <w:rPr>
          <w:rFonts w:eastAsia="Arial" w:cs="Arial"/>
          <w:b/>
          <w:bCs/>
          <w:sz w:val="22"/>
          <w:szCs w:val="22"/>
        </w:rPr>
        <w:t xml:space="preserve">HH/CC Provider:: </w:t>
      </w:r>
      <w:r>
        <w:rPr>
          <w:rFonts w:eastAsia="Arial" w:cs="Arial"/>
          <w:sz w:val="22"/>
          <w:szCs w:val="22"/>
        </w:rPr>
        <w:t>[HH/CC Provider Name]</w:t>
      </w:r>
    </w:p>
    <w:p>
      <w:pPr>
        <w:pStyle w:val="Normal"/>
        <w:spacing w:before="40" w:after="40"/>
        <w:rPr/>
      </w:pPr>
      <w:r>
        <w:rPr>
          <w:rFonts w:eastAsia="Arial" w:cs="Arial"/>
          <w:b/>
          <w:bCs/>
          <w:sz w:val="22"/>
          <w:szCs w:val="22"/>
        </w:rPr>
        <w:t xml:space="preserve">Program Provider:: </w:t>
      </w:r>
      <w:r>
        <w:rPr>
          <w:rFonts w:eastAsia="Arial" w:cs="Arial"/>
          <w:sz w:val="22"/>
          <w:szCs w:val="22"/>
        </w:rPr>
        <w:t>[Program Provider Name]</w:t>
      </w:r>
    </w:p>
    <w:p>
      <w:pPr>
        <w:pStyle w:val="Normal"/>
        <w:spacing w:before="0" w:after="80"/>
        <w:rPr/>
      </w:pPr>
      <w:r>
        <w:rPr/>
      </w:r>
    </w:p>
    <w:p>
      <w:pPr>
        <w:pStyle w:val="Normal"/>
        <w:spacing w:before="100" w:after="60"/>
        <w:rPr/>
      </w:pPr>
      <w:r>
        <w:rPr>
          <w:rFonts w:eastAsia="Arial" w:cs="Arial"/>
          <w:b/>
          <w:bCs/>
          <w:color w:val="1F3864"/>
          <w:sz w:val="24"/>
          <w:szCs w:val="24"/>
        </w:rPr>
        <w:t>ACKNOWLEDGMENT</w:t>
      </w:r>
    </w:p>
    <w:p>
      <w:pPr>
        <w:pStyle w:val="Normal"/>
        <w:spacing w:before="40" w:after="60"/>
        <w:rPr/>
      </w:pPr>
      <w:r>
        <w:rPr>
          <w:rFonts w:eastAsia="Arial" w:cs="Arial"/>
          <w:sz w:val="22"/>
          <w:szCs w:val="22"/>
        </w:rPr>
        <w:t>I acknowledge that I have received a copy of the Individual Rights policy (Policy 1.00) and that the following rights were reviewed with me in a manner I understand:</w:t>
      </w:r>
    </w:p>
    <w:p>
      <w:pPr>
        <w:pStyle w:val="Normal"/>
        <w:spacing w:before="0" w:after="60"/>
        <w:rPr/>
      </w:pPr>
      <w:r>
        <w:rPr/>
      </w:r>
    </w:p>
    <w:p>
      <w:pPr>
        <w:pStyle w:val="ListParagraph"/>
        <w:numPr>
          <w:ilvl w:val="0"/>
          <w:numId w:val="1"/>
        </w:numPr>
        <w:spacing w:before="30" w:after="30"/>
        <w:rPr/>
      </w:pPr>
      <w:r>
        <w:rPr>
          <w:rFonts w:eastAsia="Arial" w:cs="Arial"/>
          <w:sz w:val="22"/>
          <w:szCs w:val="22"/>
        </w:rPr>
        <w:t>My right to be treated with dignity and respect at all times</w:t>
      </w:r>
    </w:p>
    <w:p>
      <w:pPr>
        <w:pStyle w:val="ListParagraph"/>
        <w:numPr>
          <w:ilvl w:val="0"/>
          <w:numId w:val="1"/>
        </w:numPr>
        <w:spacing w:before="30" w:after="30"/>
        <w:rPr/>
      </w:pPr>
      <w:r>
        <w:rPr>
          <w:rFonts w:eastAsia="Arial" w:cs="Arial"/>
          <w:sz w:val="22"/>
          <w:szCs w:val="22"/>
        </w:rPr>
        <w:t>My right to privacy in my living space and personal care</w:t>
      </w:r>
    </w:p>
    <w:p>
      <w:pPr>
        <w:pStyle w:val="ListParagraph"/>
        <w:numPr>
          <w:ilvl w:val="0"/>
          <w:numId w:val="1"/>
        </w:numPr>
        <w:spacing w:before="30" w:after="30"/>
        <w:rPr/>
      </w:pPr>
      <w:r>
        <w:rPr>
          <w:rFonts w:eastAsia="Arial" w:cs="Arial"/>
          <w:sz w:val="22"/>
          <w:szCs w:val="22"/>
        </w:rPr>
        <w:t>My right to have a key to the home and access it at any time</w:t>
      </w:r>
    </w:p>
    <w:p>
      <w:pPr>
        <w:pStyle w:val="ListParagraph"/>
        <w:numPr>
          <w:ilvl w:val="0"/>
          <w:numId w:val="1"/>
        </w:numPr>
        <w:spacing w:before="30" w:after="30"/>
        <w:rPr/>
      </w:pPr>
      <w:r>
        <w:rPr>
          <w:rFonts w:eastAsia="Arial" w:cs="Arial"/>
          <w:sz w:val="22"/>
          <w:szCs w:val="22"/>
        </w:rPr>
        <w:t>My right to access food at any time and to choose my daily schedule</w:t>
      </w:r>
    </w:p>
    <w:p>
      <w:pPr>
        <w:pStyle w:val="ListParagraph"/>
        <w:numPr>
          <w:ilvl w:val="0"/>
          <w:numId w:val="1"/>
        </w:numPr>
        <w:spacing w:before="30" w:after="30"/>
        <w:rPr/>
      </w:pPr>
      <w:r>
        <w:rPr>
          <w:rFonts w:eastAsia="Arial" w:cs="Arial"/>
          <w:sz w:val="22"/>
          <w:szCs w:val="22"/>
        </w:rPr>
        <w:t>My right to participate in my own IPC and Implementation Plan</w:t>
      </w:r>
    </w:p>
    <w:p>
      <w:pPr>
        <w:pStyle w:val="ListParagraph"/>
        <w:numPr>
          <w:ilvl w:val="0"/>
          <w:numId w:val="1"/>
        </w:numPr>
        <w:spacing w:before="30" w:after="30"/>
        <w:rPr/>
      </w:pPr>
      <w:r>
        <w:rPr>
          <w:rFonts w:eastAsia="Arial" w:cs="Arial"/>
          <w:sz w:val="22"/>
          <w:szCs w:val="22"/>
        </w:rPr>
        <w:t>My right to accept or refuse services</w:t>
      </w:r>
    </w:p>
    <w:p>
      <w:pPr>
        <w:pStyle w:val="ListParagraph"/>
        <w:numPr>
          <w:ilvl w:val="0"/>
          <w:numId w:val="1"/>
        </w:numPr>
        <w:spacing w:before="30" w:after="30"/>
        <w:rPr/>
      </w:pPr>
      <w:r>
        <w:rPr>
          <w:rFonts w:eastAsia="Arial" w:cs="Arial"/>
          <w:sz w:val="22"/>
          <w:szCs w:val="22"/>
        </w:rPr>
        <w:t>My right to file a grievance or complaint without fear of retaliation</w:t>
      </w:r>
    </w:p>
    <w:p>
      <w:pPr>
        <w:pStyle w:val="ListParagraph"/>
        <w:numPr>
          <w:ilvl w:val="0"/>
          <w:numId w:val="1"/>
        </w:numPr>
        <w:spacing w:before="30" w:after="30"/>
        <w:rPr/>
      </w:pPr>
      <w:r>
        <w:rPr>
          <w:rFonts w:eastAsia="Arial" w:cs="Arial"/>
          <w:sz w:val="22"/>
          <w:szCs w:val="22"/>
        </w:rPr>
        <w:t>My right to contact HHSC, DFPS APS, the Ombudsman, or Disability Rights Texas</w:t>
      </w:r>
    </w:p>
    <w:p>
      <w:pPr>
        <w:pStyle w:val="ListParagraph"/>
        <w:numPr>
          <w:ilvl w:val="0"/>
          <w:numId w:val="1"/>
        </w:numPr>
        <w:spacing w:before="30" w:after="30"/>
        <w:rPr/>
      </w:pPr>
      <w:r>
        <w:rPr>
          <w:rFonts w:eastAsia="Arial" w:cs="Arial"/>
          <w:sz w:val="22"/>
          <w:szCs w:val="22"/>
        </w:rPr>
        <w:t>The process by which a right may only be modified with my informed consent through the formal rights modification process</w:t>
      </w:r>
    </w:p>
    <w:p>
      <w:pPr>
        <w:pStyle w:val="Normal"/>
        <w:spacing w:before="0" w:after="100"/>
        <w:rPr/>
      </w:pPr>
      <w:r>
        <w:rPr/>
      </w:r>
    </w:p>
    <w:p>
      <w:pPr>
        <w:pStyle w:val="Normal"/>
        <w:spacing w:before="80" w:after="60"/>
        <w:rPr/>
      </w:pPr>
      <w:r>
        <w:rPr>
          <w:rFonts w:eastAsia="Arial" w:cs="Arial"/>
          <w:sz w:val="20"/>
          <w:szCs w:val="20"/>
        </w:rPr>
        <w:t>Individual Signature: ___________________________________________  Date: ________________</w:t>
      </w:r>
    </w:p>
    <w:p>
      <w:pPr>
        <w:pStyle w:val="Normal"/>
        <w:spacing w:before="40" w:after="60"/>
        <w:rPr/>
      </w:pPr>
      <w:r>
        <w:rPr>
          <w:rFonts w:eastAsia="Arial" w:cs="Arial"/>
          <w:sz w:val="20"/>
          <w:szCs w:val="20"/>
        </w:rPr>
        <w:t>LAR Signature (if applicable): _________________________________  Date: ________________</w:t>
      </w:r>
    </w:p>
    <w:p>
      <w:pPr>
        <w:pStyle w:val="Normal"/>
        <w:spacing w:before="40" w:after="60"/>
        <w:rPr/>
      </w:pPr>
      <w:r>
        <w:rPr>
          <w:rFonts w:eastAsia="Arial" w:cs="Arial"/>
          <w:sz w:val="20"/>
          <w:szCs w:val="20"/>
        </w:rPr>
        <w:t>HH/CC Provider / Witness: _____________________________________  Date: ________________</w:t>
      </w:r>
    </w:p>
    <w:p>
      <w:pPr>
        <w:pStyle w:val="Normal"/>
        <w:spacing w:before="40" w:after="60"/>
        <w:rPr/>
      </w:pPr>
      <w:r>
        <w:rPr>
          <w:rFonts w:eastAsia="Arial" w:cs="Arial"/>
          <w:sz w:val="20"/>
          <w:szCs w:val="20"/>
        </w:rPr>
        <w:t>Print Name / Title: _____________________________________________</w:t>
      </w:r>
    </w:p>
    <w:p>
      <w:pPr>
        <w:pStyle w:val="Normal"/>
        <w:spacing w:before="0" w:after="200"/>
        <w:rPr/>
      </w:pPr>
      <w:r>
        <w:rPr/>
      </w:r>
    </w:p>
    <w:p>
      <w:pPr>
        <w:pStyle w:val="Normal"/>
        <w:spacing w:before="200" w:after="0"/>
        <w:jc w:val="center"/>
        <w:rPr/>
      </w:pPr>
      <w:r>
        <w:rPr>
          <w:rFonts w:eastAsia="Arial" w:cs="Arial"/>
          <w:b/>
          <w:bCs/>
          <w:color w:val="888888"/>
          <w:sz w:val="22"/>
          <w:szCs w:val="22"/>
        </w:rPr>
        <w:t xml:space="preserve">— </w:t>
      </w:r>
      <w:r>
        <w:rPr>
          <w:rFonts w:eastAsia="Arial" w:cs="Arial"/>
          <w:b/>
          <w:bCs/>
          <w:color w:val="888888"/>
          <w:sz w:val="22"/>
          <w:szCs w:val="22"/>
        </w:rPr>
        <w:t>END OF DOCUMENT —</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080" w:right="1080" w:gutter="0" w:header="708" w:top="1080" w:footer="708" w:bottom="108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1" w:color="2E5DA8"/>
      </w:pBdr>
      <w:spacing w:before="80" w:after="0"/>
      <w:rPr/>
    </w:pPr>
    <w:r>
      <w:rPr>
        <w:rFonts w:eastAsia="Arial" w:cs="Arial"/>
        <w:color w:val="888888"/>
        <w:sz w:val="16"/>
        <w:szCs w:val="16"/>
      </w:rPr>
      <w:t xml:space="preserve">Confidential — For Internal &amp; Regulatory Use Only    |    Page </w:t>
    </w:r>
    <w:r>
      <w:rPr/>
      <w:fldChar w:fldCharType="begin"/>
    </w:r>
    <w:r>
      <w:rPr/>
      <w:instrText xml:space="preserve"> PAGE </w:instrText>
    </w:r>
    <w:r>
      <w:rPr/>
      <w:fldChar w:fldCharType="separate"/>
    </w:r>
    <w:r>
      <w:rPr/>
      <w:t>71</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1" w:color="2E5DA8"/>
      </w:pBdr>
      <w:spacing w:before="80" w:after="0"/>
      <w:rPr/>
    </w:pPr>
    <w:r>
      <w:rPr>
        <w:rFonts w:eastAsia="Arial" w:cs="Arial"/>
        <w:color w:val="888888"/>
        <w:sz w:val="16"/>
        <w:szCs w:val="16"/>
      </w:rPr>
      <w:t xml:space="preserve">Confidential — For Internal &amp; Regulatory Use Only    |    Page </w:t>
    </w:r>
    <w:r>
      <w:rPr/>
      <w:fldChar w:fldCharType="begin"/>
    </w:r>
    <w:r>
      <w:rPr/>
      <w:instrText xml:space="preserve"> PAGE </w:instrText>
    </w:r>
    <w:r>
      <w:rPr/>
      <w:fldChar w:fldCharType="separate"/>
    </w:r>
    <w:r>
      <w:rPr/>
      <w:t>71</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1" w:color="2E5DA8"/>
      </w:pBdr>
      <w:spacing w:before="0" w:after="100"/>
      <w:rPr/>
    </w:pPr>
    <w:r>
      <w:rPr>
        <w:rFonts w:eastAsia="Arial" w:cs="Arial"/>
        <w:color w:val="888888"/>
        <w:sz w:val="16"/>
        <w:szCs w:val="16"/>
      </w:rPr>
      <w:t>[HH/CC PROVIDER / ORG]  |  Texas HCS Host Home/Companion Care P&amp;P Manual — Individual HH/CC Provider Edition</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1" w:color="2E5DA8"/>
      </w:pBdr>
      <w:spacing w:before="0" w:after="100"/>
      <w:rPr/>
    </w:pPr>
    <w:r>
      <w:rPr>
        <w:rFonts w:eastAsia="Arial" w:cs="Arial"/>
        <w:color w:val="888888"/>
        <w:sz w:val="16"/>
        <w:szCs w:val="16"/>
      </w:rPr>
      <w:t>[HH/CC PROVIDER / ORG]  |  Texas HCS Host Home/Companion Care P&amp;P Manual — Individual HH/CC Provider Edition</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auto"/>
      <w:kern w:val="0"/>
      <w:sz w:val="22"/>
      <w:szCs w:val="22"/>
      <w:lang w:val="en-US" w:eastAsia="zh-CN" w:bidi="hi-IN"/>
    </w:rPr>
  </w:style>
  <w:style w:type="paragraph" w:styleId="Heading1">
    <w:name w:val="Heading 1"/>
    <w:basedOn w:val="Heading"/>
    <w:qFormat/>
    <w:pPr>
      <w:spacing w:before="200" w:after="120"/>
      <w:outlineLvl w:val="0"/>
    </w:pPr>
    <w:rPr>
      <w:rFonts w:ascii="Arial" w:hAnsi="Arial" w:eastAsia="Arial" w:cs="Arial"/>
      <w:b/>
      <w:bCs/>
      <w:sz w:val="28"/>
      <w:szCs w:val="28"/>
    </w:rPr>
  </w:style>
  <w:style w:type="paragraph" w:styleId="Heading2">
    <w:name w:val="Heading 2"/>
    <w:basedOn w:val="Heading"/>
    <w:qFormat/>
    <w:pPr>
      <w:spacing w:before="180" w:after="80"/>
      <w:outlineLvl w:val="1"/>
    </w:pPr>
    <w:rPr>
      <w:rFonts w:ascii="Arial" w:hAnsi="Arial" w:eastAsia="Arial" w:cs="Arial"/>
      <w:b/>
      <w:bCs/>
      <w:sz w:val="24"/>
      <w:szCs w:val="24"/>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Arial" w:hAnsi="Arial" w:eastAsia="Arial" w:cs="Arial"/>
      <w:b/>
      <w:bCs/>
      <w:color w:val="auto"/>
      <w:kern w:val="0"/>
      <w:sz w:val="22"/>
      <w:szCs w:val="22"/>
      <w:lang w:val="en-US" w:eastAsia="zh-CN" w:bidi="hi-IN"/>
    </w:rPr>
  </w:style>
  <w:style w:type="paragraph" w:styleId="ListParagraph">
    <w:name w:val="List Paragraph"/>
    <w:qFormat/>
    <w:pPr>
      <w:widowControl/>
      <w:bidi w:val="0"/>
      <w:spacing w:before="0" w:after="0"/>
      <w:jc w:val="start"/>
    </w:pPr>
    <w:rPr>
      <w:rFonts w:ascii="Arial" w:hAnsi="Arial" w:eastAsia="Arial" w:cs="Arial"/>
      <w:color w:val="auto"/>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2026-06-29T15:45:01Z</dcterms:created>
  <dc:creator>Un-named</dc:creator>
  <dc:description/>
  <dc:language>en-US</dc:language>
  <cp:lastModifiedBy>Un-named</cp:lastModifiedBy>
  <dcterms:modified xsi:type="dcterms:W3CDTF">2026-06-29T15:45:01Z</dcterms:modified>
  <cp:revision>1</cp:revision>
  <dc:subject/>
  <dc:title/>
</cp:coreProperties>
</file>