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D04693" w:rsidRDefault="00D04693" w:rsidP="00D04693">
      <w:pPr>
        <w:pStyle w:val="ListParagraph"/>
        <w:numPr>
          <w:ilvl w:val="0"/>
          <w:numId w:val="11"/>
        </w:numPr>
      </w:pPr>
      <w:r w:rsidRPr="00D04693">
        <w:t>Should READ REG NACK send back a</w:t>
      </w:r>
      <w:r>
        <w:t>n</w:t>
      </w:r>
      <w:r w:rsidRPr="00D04693">
        <w:t xml:space="preserve"> address for the invalid range?</w:t>
      </w:r>
    </w:p>
    <w:p w:rsidR="005A6738" w:rsidRPr="00D04693" w:rsidRDefault="005A6738" w:rsidP="00D04693">
      <w:pPr>
        <w:pStyle w:val="ListParagraph"/>
        <w:numPr>
          <w:ilvl w:val="0"/>
          <w:numId w:val="11"/>
        </w:numPr>
      </w:pPr>
      <w:r>
        <w:t>Should WRITE REG NACK send back an address for the invalid range?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274390">
      <w:pPr>
        <w:pStyle w:val="Heading3"/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5E398E" w:rsidP="00A1776E">
      <w:pPr>
        <w:pStyle w:val="ListParagraph"/>
        <w:numPr>
          <w:ilvl w:val="0"/>
          <w:numId w:val="8"/>
        </w:numPr>
      </w:pPr>
      <w:r>
        <w:t>NUMBER OF PACKETS – Requested number of packets in a bulk data read/write</w:t>
      </w:r>
      <w:r w:rsidR="007D7060">
        <w:t xml:space="preserve"> request.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  <w:gridCol w:w="583"/>
        <w:gridCol w:w="955"/>
      </w:tblGrid>
      <w:tr w:rsidR="00443367" w:rsidTr="008C1C5B">
        <w:tc>
          <w:tcPr>
            <w:tcW w:w="1024" w:type="dxa"/>
          </w:tcPr>
          <w:p w:rsidR="00443367" w:rsidRDefault="00443367" w:rsidP="00443367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1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Variable</w:t>
            </w:r>
          </w:p>
        </w:tc>
      </w:tr>
      <w:tr w:rsidR="00443367" w:rsidTr="008C1C5B">
        <w:tc>
          <w:tcPr>
            <w:tcW w:w="1024" w:type="dxa"/>
          </w:tcPr>
          <w:p w:rsidR="00443367" w:rsidRDefault="00443367" w:rsidP="00443367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ACK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>TYPE = 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AC11E8"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AC11E8"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050623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3D6842" w:rsidRDefault="003D6842" w:rsidP="003D6842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3D6842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lastRenderedPageBreak/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3D6842" w:rsidRDefault="003D6842" w:rsidP="00B25954">
      <w:pPr>
        <w:pStyle w:val="NoSpacing"/>
      </w:pPr>
    </w:p>
    <w:p w:rsidR="003D6842" w:rsidRDefault="003D6842" w:rsidP="00B25954">
      <w:pPr>
        <w:pStyle w:val="NoSpacing"/>
      </w:pPr>
    </w:p>
    <w:p w:rsidR="00B25954" w:rsidRDefault="00B25954" w:rsidP="00B25954">
      <w:pPr>
        <w:pStyle w:val="NoSpacing"/>
      </w:pPr>
      <w:r>
        <w:t>TYPE = SIGNALING UNICAST BEACON</w:t>
      </w:r>
    </w:p>
    <w:p w:rsidR="00B25954" w:rsidRPr="00A1776E" w:rsidRDefault="003D6842" w:rsidP="00B25954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8C1C5B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34"/>
        <w:gridCol w:w="652"/>
        <w:gridCol w:w="904"/>
        <w:gridCol w:w="577"/>
        <w:gridCol w:w="581"/>
        <w:gridCol w:w="560"/>
        <w:gridCol w:w="993"/>
        <w:gridCol w:w="571"/>
        <w:gridCol w:w="1071"/>
        <w:gridCol w:w="1788"/>
      </w:tblGrid>
      <w:tr w:rsidR="00D661EC" w:rsidTr="00B626DB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B626DB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NUMBER OF PACKETS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8C1C5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8C1C5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>Bulk Data Read Data 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2056"/>
        <w:gridCol w:w="1065"/>
      </w:tblGrid>
      <w:tr w:rsidR="00D661EC" w:rsidTr="00844D8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  <w:tc>
          <w:tcPr>
            <w:tcW w:w="0" w:type="auto"/>
          </w:tcPr>
          <w:p w:rsidR="00D661EC" w:rsidRDefault="00D661EC" w:rsidP="00D661EC">
            <w:r>
              <w:t>160</w:t>
            </w:r>
          </w:p>
        </w:tc>
      </w:tr>
      <w:tr w:rsidR="00D661EC" w:rsidTr="00844D8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  <w:tc>
          <w:tcPr>
            <w:tcW w:w="0" w:type="auto"/>
          </w:tcPr>
          <w:p w:rsidR="00D661EC" w:rsidRDefault="00D661EC" w:rsidP="00D661EC">
            <w:r>
              <w:t>PAYLOAD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06"/>
        <w:gridCol w:w="570"/>
        <w:gridCol w:w="554"/>
        <w:gridCol w:w="560"/>
        <w:gridCol w:w="523"/>
        <w:gridCol w:w="571"/>
        <w:gridCol w:w="1296"/>
        <w:gridCol w:w="1919"/>
      </w:tblGrid>
      <w:tr w:rsidR="00D661EC" w:rsidTr="00844D8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</w:tr>
      <w:tr w:rsidR="00D661EC" w:rsidTr="00844D8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 Request Packets</w:t>
      </w:r>
    </w:p>
    <w:p w:rsidR="007D7060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34"/>
        <w:gridCol w:w="652"/>
        <w:gridCol w:w="904"/>
        <w:gridCol w:w="577"/>
        <w:gridCol w:w="581"/>
        <w:gridCol w:w="560"/>
        <w:gridCol w:w="993"/>
        <w:gridCol w:w="571"/>
        <w:gridCol w:w="1071"/>
        <w:gridCol w:w="1788"/>
      </w:tblGrid>
      <w:tr w:rsidR="00D661EC" w:rsidTr="00A97A57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A97A57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NUMBER OF PACKETS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8C1C5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8C1C5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 Data Packets</w:t>
      </w:r>
    </w:p>
    <w:p w:rsidR="007D7060" w:rsidRDefault="007D7060" w:rsidP="007D7060">
      <w:pPr>
        <w:pStyle w:val="NoSpacing"/>
      </w:pPr>
      <w:r>
        <w:t>TYPE = BULK DATA WRITE DATA</w:t>
      </w:r>
    </w:p>
    <w:p w:rsidR="007D7060" w:rsidRDefault="007D7060" w:rsidP="007D7060">
      <w:pPr>
        <w:pStyle w:val="NoSpacing"/>
      </w:pPr>
      <w:r>
        <w:lastRenderedPageBreak/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2056"/>
        <w:gridCol w:w="1065"/>
      </w:tblGrid>
      <w:tr w:rsidR="00D661EC" w:rsidTr="00406932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  <w:tc>
          <w:tcPr>
            <w:tcW w:w="0" w:type="auto"/>
          </w:tcPr>
          <w:p w:rsidR="00D661EC" w:rsidRDefault="00D661EC" w:rsidP="00D661EC">
            <w:r>
              <w:t>160</w:t>
            </w:r>
          </w:p>
        </w:tc>
      </w:tr>
      <w:tr w:rsidR="00D661EC" w:rsidTr="00406932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  <w:tc>
          <w:tcPr>
            <w:tcW w:w="0" w:type="auto"/>
          </w:tcPr>
          <w:p w:rsidR="00D661EC" w:rsidRDefault="00D661EC" w:rsidP="00D661EC">
            <w:r>
              <w:t>PAYLOAD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 DATA</w:t>
      </w:r>
    </w:p>
    <w:p w:rsidR="00D17D32" w:rsidRDefault="00D17D32" w:rsidP="00D17D32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06"/>
        <w:gridCol w:w="570"/>
        <w:gridCol w:w="554"/>
        <w:gridCol w:w="560"/>
        <w:gridCol w:w="523"/>
        <w:gridCol w:w="571"/>
        <w:gridCol w:w="1296"/>
        <w:gridCol w:w="1919"/>
      </w:tblGrid>
      <w:tr w:rsidR="00D661EC" w:rsidTr="008F6FB6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</w:tr>
      <w:tr w:rsidR="00D661EC" w:rsidTr="008F6FB6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8C1C5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8C1C5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8C1C5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8C1C5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59754D" w:rsidRDefault="0059754D" w:rsidP="0059754D">
      <w:pPr>
        <w:pStyle w:val="Heading3"/>
      </w:pPr>
      <w:r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04693" w:rsidP="00D04693">
      <w:pPr>
        <w:pStyle w:val="NoSpacing"/>
      </w:pPr>
      <w:r>
        <w:t>ADDRESS = 0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801F17"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8</w:t>
            </w:r>
          </w:p>
        </w:tc>
      </w:tr>
      <w:tr w:rsidR="00D04693" w:rsidTr="00801F17"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B13314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lastRenderedPageBreak/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5A6738" w:rsidP="005A6738">
      <w:pPr>
        <w:pStyle w:val="NoSpacing"/>
      </w:pPr>
      <w:r>
        <w:t>ADDRESS = 0</w:t>
      </w:r>
    </w:p>
    <w:p w:rsidR="005A6738" w:rsidRDefault="005A6738" w:rsidP="005A6738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B13314"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8</w:t>
            </w:r>
          </w:p>
        </w:tc>
      </w:tr>
      <w:tr w:rsidR="005A6738" w:rsidTr="00B13314"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B13314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F70F51">
        <w:tc>
          <w:tcPr>
            <w:tcW w:w="0" w:type="auto"/>
          </w:tcPr>
          <w:p w:rsidR="00D13776" w:rsidRDefault="00D13776" w:rsidP="00B13314">
            <w:r>
              <w:t>Size(bits)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16</w:t>
            </w:r>
          </w:p>
        </w:tc>
      </w:tr>
      <w:tr w:rsidR="00D13776" w:rsidTr="00F70F51">
        <w:tc>
          <w:tcPr>
            <w:tcW w:w="0" w:type="auto"/>
          </w:tcPr>
          <w:p w:rsidR="00D13776" w:rsidRDefault="00D13776" w:rsidP="00B13314">
            <w:r>
              <w:t>Name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B13314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  <w:bookmarkStart w:id="0" w:name="_GoBack"/>
      <w:bookmarkEnd w:id="0"/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 xml:space="preserve">DATA = ERROR (ERROR </w:t>
      </w:r>
      <w:r>
        <w:t>COMMAND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B13314"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8</w:t>
            </w:r>
          </w:p>
        </w:tc>
      </w:tr>
      <w:tr w:rsidR="00B42DF6" w:rsidTr="00B13314"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B13314">
            <w:pPr>
              <w:pStyle w:val="NoSpacing"/>
            </w:pPr>
            <w:r>
              <w:t>DATA</w:t>
            </w:r>
          </w:p>
        </w:tc>
      </w:tr>
    </w:tbl>
    <w:p w:rsidR="00B42DF6" w:rsidRPr="0059754D" w:rsidRDefault="00B42DF6" w:rsidP="0059754D"/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544A1E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544A1E" w:rsidP="001B5F03">
      <w:pPr>
        <w:pStyle w:val="Heading2"/>
      </w:pP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lastRenderedPageBreak/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lastRenderedPageBreak/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lastRenderedPageBreak/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BE" w:rsidRDefault="00AE11BE" w:rsidP="001B5F03">
      <w:pPr>
        <w:spacing w:after="0" w:line="240" w:lineRule="auto"/>
      </w:pPr>
      <w:r>
        <w:separator/>
      </w:r>
    </w:p>
  </w:endnote>
  <w:endnote w:type="continuationSeparator" w:id="0">
    <w:p w:rsidR="00AE11BE" w:rsidRDefault="00AE11BE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BE" w:rsidRDefault="00AE11BE" w:rsidP="001B5F03">
      <w:pPr>
        <w:spacing w:after="0" w:line="240" w:lineRule="auto"/>
      </w:pPr>
      <w:r>
        <w:separator/>
      </w:r>
    </w:p>
  </w:footnote>
  <w:footnote w:type="continuationSeparator" w:id="0">
    <w:p w:rsidR="00AE11BE" w:rsidRDefault="00AE11BE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65CC1"/>
    <w:rsid w:val="00274390"/>
    <w:rsid w:val="00274F3C"/>
    <w:rsid w:val="002874EA"/>
    <w:rsid w:val="002951CB"/>
    <w:rsid w:val="002B3907"/>
    <w:rsid w:val="002C5A09"/>
    <w:rsid w:val="002C6F09"/>
    <w:rsid w:val="002F3CBB"/>
    <w:rsid w:val="00332CAD"/>
    <w:rsid w:val="003342A0"/>
    <w:rsid w:val="00345082"/>
    <w:rsid w:val="00346021"/>
    <w:rsid w:val="003526F6"/>
    <w:rsid w:val="003D6842"/>
    <w:rsid w:val="003E4B31"/>
    <w:rsid w:val="00406932"/>
    <w:rsid w:val="00443367"/>
    <w:rsid w:val="0044605E"/>
    <w:rsid w:val="00473822"/>
    <w:rsid w:val="004B1663"/>
    <w:rsid w:val="004C7DB9"/>
    <w:rsid w:val="004F298F"/>
    <w:rsid w:val="005251CA"/>
    <w:rsid w:val="005339FB"/>
    <w:rsid w:val="0054121F"/>
    <w:rsid w:val="00544A1E"/>
    <w:rsid w:val="00550A86"/>
    <w:rsid w:val="0057263C"/>
    <w:rsid w:val="0059754D"/>
    <w:rsid w:val="005A6738"/>
    <w:rsid w:val="005E02F7"/>
    <w:rsid w:val="005E398E"/>
    <w:rsid w:val="005F477D"/>
    <w:rsid w:val="006014D5"/>
    <w:rsid w:val="00637C27"/>
    <w:rsid w:val="00647189"/>
    <w:rsid w:val="006878EA"/>
    <w:rsid w:val="00691D56"/>
    <w:rsid w:val="006A35F4"/>
    <w:rsid w:val="006A5F95"/>
    <w:rsid w:val="006D7777"/>
    <w:rsid w:val="006F0714"/>
    <w:rsid w:val="0070214D"/>
    <w:rsid w:val="007145F2"/>
    <w:rsid w:val="0072552D"/>
    <w:rsid w:val="00726C24"/>
    <w:rsid w:val="00787A71"/>
    <w:rsid w:val="00793B23"/>
    <w:rsid w:val="00795252"/>
    <w:rsid w:val="007C5D3F"/>
    <w:rsid w:val="007D26D8"/>
    <w:rsid w:val="007D7060"/>
    <w:rsid w:val="008343E0"/>
    <w:rsid w:val="00842076"/>
    <w:rsid w:val="00844D8B"/>
    <w:rsid w:val="00852697"/>
    <w:rsid w:val="008630FB"/>
    <w:rsid w:val="0087068D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776E"/>
    <w:rsid w:val="00A35E5B"/>
    <w:rsid w:val="00A40462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D02AA9"/>
    <w:rsid w:val="00D04693"/>
    <w:rsid w:val="00D13776"/>
    <w:rsid w:val="00D17D32"/>
    <w:rsid w:val="00D21FF4"/>
    <w:rsid w:val="00D661EC"/>
    <w:rsid w:val="00D8219B"/>
    <w:rsid w:val="00D83886"/>
    <w:rsid w:val="00D96CD1"/>
    <w:rsid w:val="00DD0160"/>
    <w:rsid w:val="00DD098C"/>
    <w:rsid w:val="00E03CB3"/>
    <w:rsid w:val="00E260B4"/>
    <w:rsid w:val="00E375C3"/>
    <w:rsid w:val="00E51500"/>
    <w:rsid w:val="00E518FE"/>
    <w:rsid w:val="00E57E95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8170F"/>
    <w:rsid w:val="00F8684E"/>
    <w:rsid w:val="00F90693"/>
    <w:rsid w:val="00FC188F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10397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106</cp:revision>
  <dcterms:created xsi:type="dcterms:W3CDTF">2015-03-21T20:43:00Z</dcterms:created>
  <dcterms:modified xsi:type="dcterms:W3CDTF">2015-04-12T06:02:00Z</dcterms:modified>
</cp:coreProperties>
</file>