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8"/>
        </w:rPr>
        <w:t>MedMitra ML/Search Service</w:t>
      </w:r>
    </w:p>
    <w:p>
      <w:r>
        <w:rPr>
          <w:i/>
          <w:sz w:val="28"/>
        </w:rPr>
        <w:t>Complete Technical Documentation &amp; System Reference Guide</w:t>
      </w:r>
    </w:p>
    <w:p>
      <w:r>
        <w:t>Generated Date: 03-06-2026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 &amp; Purpose</w:t>
      </w:r>
    </w:p>
    <w:p>
      <w:r>
        <w:t>MedMitra ML Search Service is a production-grade backend microservice designed for healthcare symptom matching, clinical guidelines retrieval, deterministic emergency filtering, and prescription OCR text preparation.</w:t>
      </w:r>
    </w:p>
    <w:p>
      <w:r>
        <w:t>It provides safe, symptom-based educational context based on officially verified guidelines. It does NOT diagnose, prescribe drugs, recommend dose alterations, or replace clinical consultations. It operates entirely state-free and database-agnostic.</w:t>
      </w:r>
    </w:p>
    <w:p>
      <w:pPr>
        <w:pStyle w:val="Heading1"/>
      </w:pPr>
      <w:r>
        <w:rPr>
          <w:color w:val="1F4E79"/>
        </w:rPr>
        <w:t>2. Clinical Safety Boundaries &amp; Guardrails</w:t>
      </w:r>
    </w:p>
    <w:p>
      <w:r>
        <w:t>Strict healthcare protocols are implemented at all software layers:</w:t>
      </w:r>
    </w:p>
    <w:p>
      <w:pPr>
        <w:pStyle w:val="ListBullet"/>
      </w:pPr>
      <w:r>
        <w:rPr>
          <w:b/>
        </w:rPr>
        <w:t xml:space="preserve">Infant Safety Guard: </w:t>
      </w:r>
      <w:r>
        <w:t>Queries concerning patients under 2 months of age trigger immediate pediatrician referral errors.</w:t>
      </w:r>
    </w:p>
    <w:p>
      <w:pPr>
        <w:pStyle w:val="ListBullet"/>
      </w:pPr>
      <w:r>
        <w:rPr>
          <w:b/>
        </w:rPr>
        <w:t xml:space="preserve">Emergency Proximity Filter: </w:t>
      </w:r>
      <w:r>
        <w:t>High-risk symptoms bypass Qdrant and LLMs completely, returning immediate escalation messages.</w:t>
      </w:r>
    </w:p>
    <w:p>
      <w:pPr>
        <w:pStyle w:val="ListBullet"/>
      </w:pPr>
      <w:r>
        <w:rPr>
          <w:b/>
        </w:rPr>
        <w:t xml:space="preserve">No Diagnostic Certainty: </w:t>
      </w:r>
      <w:r>
        <w:t>Retrievals expose similarity as 'retrieval_relevance' (LOW, MEDIUM, HIGH) rather than probability.</w:t>
      </w:r>
    </w:p>
    <w:p>
      <w:pPr>
        <w:pStyle w:val="Heading1"/>
      </w:pPr>
      <w:r>
        <w:rPr>
          <w:color w:val="1F4E79"/>
        </w:rPr>
        <w:t>3. System Architecture &amp; Flow Design</w:t>
      </w:r>
    </w:p>
    <w:p>
      <w:r>
        <w:t>The microservice exposes REST endpoints using FastAPI. Downstream integrations query the API passing internal keys. Ingestion is handled asynchronously in background worker threads, storing documents as vectors in Qdrant.</w:t>
      </w:r>
    </w:p>
    <w:p>
      <w:r>
        <w:t>Embeddings are computed using NeuML/pubmedbert-base-embeddings (768 dimensions, cosine distance) for dense vectors and Qdrant FastEmbed BM25 for sparse indices. Merging is achieved via Reciprocal Rank Fusion (RRF).</w:t>
      </w:r>
    </w:p>
    <w:p>
      <w:pPr>
        <w:pStyle w:val="Heading1"/>
      </w:pPr>
      <w:r>
        <w:rPr>
          <w:color w:val="1F4E79"/>
        </w:rPr>
        <w:t>4. Document Ingestion &amp; Chunking Strategy</w:t>
      </w:r>
    </w:p>
    <w:p>
      <w:r>
        <w:t>To preserve detail and metadata, Guidelines are processed page-by-page. Repeated headers, footers, and page numbers are eliminated using frequency analysis before token boundaries are set.</w:t>
      </w:r>
    </w:p>
    <w:p>
      <w:r>
        <w:t>We enforce a 260-token target chunk with 45-token overlaps. The chunking algorithm preserves sections and prevents mixing child (pediatric WHO guidelines) and adult (ICMR guidelines) documents.</w:t>
      </w:r>
    </w:p>
    <w:p>
      <w:pPr>
        <w:pStyle w:val="Heading1"/>
      </w:pPr>
      <w:r>
        <w:rPr>
          <w:color w:val="1F4E79"/>
        </w:rPr>
        <w:t>5. API Reference &amp; Operations</w:t>
      </w:r>
    </w:p>
    <w:p>
      <w:r>
        <w:t>Endpoints are secured using header validation. Standard business APIs check X-Internal-API-Key, while management and indexing routes also require X-Admin-API-Key. Upload APIs support multipart image/PDF streams and process them memory-only, ensuring patient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