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Case Summary Template (Blank)</w:t>
      </w:r>
    </w:p>
    <w:p>
      <w:r>
        <w:t>Prepared by Iylon Precision Oncology</w:t>
        <w:br/>
      </w:r>
    </w:p>
    <w:p>
      <w:pPr>
        <w:pStyle w:val="Heading2"/>
      </w:pPr>
      <w:r>
        <w:t>Patient Information</w:t>
      </w:r>
    </w:p>
    <w:p>
      <w:r>
        <w:rPr>
          <w:b/>
          <w:sz w:val="22"/>
        </w:rPr>
        <w:t xml:space="preserve">Iylon Case Number: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Name: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Age: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Sex: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Date of Birth: </w:t>
      </w:r>
    </w:p>
    <w:p>
      <w:r>
        <w:rPr>
          <w:shd w:val="clear" w:color="auto" w:fill="EDEDED"/>
        </w:rPr>
        <w:t xml:space="preserve"> </w:t>
        <w:br/>
      </w:r>
    </w:p>
    <w:p>
      <w:pPr>
        <w:pStyle w:val="Heading2"/>
      </w:pPr>
      <w:r>
        <w:t>Contact Information</w:t>
      </w:r>
    </w:p>
    <w:p>
      <w:r>
        <w:rPr>
          <w:b/>
          <w:sz w:val="22"/>
        </w:rPr>
        <w:t xml:space="preserve">Address: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Phone Number: </w:t>
      </w:r>
    </w:p>
    <w:p>
      <w:r>
        <w:rPr>
          <w:shd w:val="clear" w:color="auto" w:fill="EDEDED"/>
        </w:rPr>
        <w:t xml:space="preserve"> </w:t>
        <w:br/>
      </w:r>
    </w:p>
    <w:p>
      <w:r>
        <w:rPr>
          <w:b/>
          <w:sz w:val="22"/>
        </w:rPr>
        <w:t xml:space="preserve">Email: </w:t>
      </w:r>
    </w:p>
    <w:p>
      <w:r>
        <w:rPr>
          <w:shd w:val="clear" w:color="auto" w:fill="EDEDED"/>
        </w:rPr>
        <w:t xml:space="preserve"> </w:t>
        <w:br/>
      </w:r>
    </w:p>
    <w:p>
      <w:pPr>
        <w:pStyle w:val="Heading2"/>
      </w:pPr>
      <w:r>
        <w:t>Medical History</w:t>
      </w:r>
    </w:p>
    <w:p>
      <w:r>
        <w:rPr>
          <w:b/>
          <w:sz w:val="22"/>
        </w:rPr>
        <w:t xml:space="preserve">Primary Diagnosis: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Date of Diagnosis: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Stage of Cancer: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Histopathology: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Previous Treatments: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Comorbidities: </w:t>
      </w:r>
    </w:p>
    <w:p>
      <w:r>
        <w:rPr>
          <w:shd w:val="clear" w:color="auto" w:fill="EDEDED"/>
        </w:rPr>
        <w:t xml:space="preserve"> </w:t>
        <w:br/>
        <w:br/>
      </w:r>
    </w:p>
    <w:p>
      <w:pPr>
        <w:pStyle w:val="Heading2"/>
      </w:pPr>
      <w:r>
        <w:t>Current Treatment</w:t>
      </w:r>
    </w:p>
    <w:p>
      <w:r>
        <w:rPr>
          <w:b/>
          <w:sz w:val="22"/>
        </w:rPr>
        <w:t xml:space="preserve">Chemotherapy Regimen: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Radiation Therapy Details: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Surgical Interventions: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Supportive Care: </w:t>
      </w:r>
    </w:p>
    <w:p>
      <w:r>
        <w:rPr>
          <w:shd w:val="clear" w:color="auto" w:fill="EDEDED"/>
        </w:rPr>
        <w:t xml:space="preserve"> </w:t>
        <w:br/>
        <w:br/>
      </w:r>
    </w:p>
    <w:p>
      <w:pPr>
        <w:pStyle w:val="Heading2"/>
      </w:pPr>
      <w:r>
        <w:t>Assessment</w:t>
      </w:r>
    </w:p>
    <w:p>
      <w:r>
        <w:rPr>
          <w:b/>
          <w:sz w:val="22"/>
        </w:rPr>
        <w:t xml:space="preserve">Response to Treatment: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Side Effects: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Performance Status: </w:t>
      </w:r>
    </w:p>
    <w:p>
      <w:r>
        <w:rPr>
          <w:shd w:val="clear" w:color="auto" w:fill="EDEDED"/>
        </w:rPr>
        <w:t xml:space="preserve"> </w:t>
        <w:br/>
        <w:br/>
      </w:r>
    </w:p>
    <w:p>
      <w:pPr>
        <w:pStyle w:val="Heading2"/>
      </w:pPr>
      <w:r>
        <w:t>Current Treatment Plan</w:t>
      </w:r>
    </w:p>
    <w:p>
      <w:r>
        <w:rPr>
          <w:b/>
          <w:sz w:val="22"/>
        </w:rPr>
        <w:t xml:space="preserve">Next Steps in Treatment: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Future Considerations: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Follow-Up Appointments: </w:t>
      </w:r>
    </w:p>
    <w:p>
      <w:r>
        <w:rPr>
          <w:shd w:val="clear" w:color="auto" w:fill="EDEDED"/>
        </w:rPr>
        <w:t xml:space="preserve"> </w:t>
        <w:br/>
        <w:br/>
      </w:r>
    </w:p>
    <w:p>
      <w:pPr>
        <w:pStyle w:val="Heading2"/>
      </w:pPr>
      <w:r>
        <w:t>Genomic/Molecular Findings</w:t>
      </w:r>
    </w:p>
    <w:p>
      <w:r>
        <w:rPr>
          <w:b/>
          <w:sz w:val="22"/>
        </w:rPr>
        <w:t xml:space="preserve">PD-L1 expression (TPS/CPS and assay):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Tumor Mutational Burden (units and method):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Mutations and Genomic Alterations (e.g., EGFR, KRAS, BRAF):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Gene Rearrangements/Fusions (e.g., ALK, ROS1, NTRK):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MSI/MMR Status: </w:t>
      </w:r>
    </w:p>
    <w:p>
      <w:r>
        <w:rPr>
          <w:shd w:val="clear" w:color="auto" w:fill="EDEDED"/>
        </w:rPr>
        <w:t xml:space="preserve"> </w:t>
        <w:br/>
        <w:br/>
      </w:r>
    </w:p>
    <w:p>
      <w:r>
        <w:rPr>
          <w:b/>
          <w:sz w:val="22"/>
        </w:rPr>
        <w:t xml:space="preserve">Other Relevant Biomarkers: </w:t>
      </w:r>
    </w:p>
    <w:p>
      <w:r>
        <w:rPr>
          <w:shd w:val="clear" w:color="auto" w:fill="EDEDED"/>
        </w:rPr>
        <w:t xml:space="preserve"> </w:t>
        <w:br/>
        <w:br/>
      </w:r>
    </w:p>
    <w:p>
      <w:pPr>
        <w:pStyle w:val="Heading2"/>
      </w:pPr>
      <w:r>
        <w:t>Clinical Implications of the Genomic Results</w:t>
      </w:r>
    </w:p>
    <w:p>
      <w:r>
        <w:rPr>
          <w:b/>
          <w:sz w:val="22"/>
        </w:rPr>
        <w:t xml:space="preserve">Targeted Therapy Eligibility: </w:t>
      </w:r>
    </w:p>
    <w:p>
      <w:r>
        <w:rPr>
          <w:shd w:val="clear" w:color="auto" w:fill="EDEDED"/>
        </w:rPr>
        <w:t xml:space="preserve"> </w:t>
        <w:br/>
        <w:br/>
        <w:br/>
      </w:r>
    </w:p>
    <w:p>
      <w:r>
        <w:rPr>
          <w:b/>
          <w:sz w:val="22"/>
        </w:rPr>
        <w:t xml:space="preserve">Immunotherapy Considerations (based on PD-L1/TMB/MSI): </w:t>
      </w:r>
    </w:p>
    <w:p>
      <w:r>
        <w:rPr>
          <w:shd w:val="clear" w:color="auto" w:fill="EDEDED"/>
        </w:rPr>
        <w:t xml:space="preserve"> </w:t>
        <w:br/>
        <w:br/>
        <w:br/>
      </w:r>
    </w:p>
    <w:p>
      <w:r>
        <w:rPr>
          <w:b/>
          <w:sz w:val="22"/>
        </w:rPr>
        <w:t xml:space="preserve">Potential Resistance Mechanisms: </w:t>
      </w:r>
    </w:p>
    <w:p>
      <w:r>
        <w:rPr>
          <w:shd w:val="clear" w:color="auto" w:fill="EDEDED"/>
        </w:rPr>
        <w:t xml:space="preserve"> </w:t>
        <w:br/>
        <w:br/>
        <w:br/>
      </w:r>
    </w:p>
    <w:p>
      <w:r>
        <w:rPr>
          <w:b/>
          <w:sz w:val="22"/>
        </w:rPr>
        <w:t xml:space="preserve">Clinical Trial Options: </w:t>
      </w:r>
    </w:p>
    <w:p>
      <w:r>
        <w:rPr>
          <w:shd w:val="clear" w:color="auto" w:fill="EDEDED"/>
        </w:rPr>
        <w:t xml:space="preserve"> </w:t>
        <w:br/>
        <w:br/>
        <w:br/>
      </w:r>
    </w:p>
    <w:p>
      <w:r>
        <w:rPr>
          <w:b/>
          <w:sz w:val="22"/>
        </w:rPr>
        <w:t xml:space="preserve">Recommended Next Steps: </w:t>
      </w:r>
    </w:p>
    <w:p>
      <w:r>
        <w:rPr>
          <w:shd w:val="clear" w:color="auto" w:fill="EDEDED"/>
        </w:rPr>
        <w:t xml:space="preserve"> </w:t>
        <w:br/>
        <w:br/>
        <w:br/>
      </w:r>
    </w:p>
    <w:p>
      <w:r>
        <w:br/>
        <w:t>Iylon Precision Oncology, 225 Dyer St, Providence, RI 02903, USA | info@iylon.com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