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Arial" w:cs="Arial" w:eastAsia="Arial" w:hAnsi="Arial"/>
          <w:b/>
          <w:bCs/>
          <w:color w:val="1B2A4A"/>
          <w:sz w:val="64"/>
          <w:szCs w:val="64"/>
        </w:rPr>
        <w:t xml:space="preserve">CoreStream</w:t>
      </w:r>
    </w:p>
    <w:p>
      <w:pPr>
        <w:spacing w:after="600"/>
        <w:jc w:val="center"/>
      </w:pPr>
      <w:r>
        <w:rPr>
          <w:rFonts w:ascii="Arial" w:cs="Arial" w:eastAsia="Arial" w:hAnsi="Arial"/>
          <w:i/>
          <w:iCs/>
          <w:color w:val="64748B"/>
          <w:sz w:val="26"/>
          <w:szCs w:val="26"/>
        </w:rPr>
        <w:t xml:space="preserve">Plataforma de Gestión de Proyectos</w:t>
      </w:r>
    </w:p>
    <w:p>
      <w:pPr>
        <w:pBdr>
          <w:bottom w:val="single" w:color="2E6FF2" w:sz="4" w:space="8"/>
        </w:pBdr>
        <w:spacing w:after="80"/>
        <w:jc w:val="center"/>
      </w:pPr>
      <w:r>
        <w:rPr>
          <w:sz w:val="2"/>
          <w:szCs w:val="2"/>
        </w:rPr>
        <w:t xml:space="preserve"> </w:t>
      </w:r>
    </w:p>
    <w:p>
      <w:pPr>
        <w:spacing w:before="1200"/>
      </w:pPr>
    </w:p>
    <w:p>
      <w:pPr>
        <w:spacing w:after="80"/>
        <w:jc w:val="center"/>
      </w:pPr>
      <w:r>
        <w:rPr>
          <w:rFonts w:ascii="Arial" w:cs="Arial" w:eastAsia="Arial" w:hAnsi="Arial"/>
          <w:b/>
          <w:bCs/>
          <w:color w:val="2E6FF2"/>
          <w:sz w:val="40"/>
          <w:szCs w:val="40"/>
        </w:rPr>
        <w:t xml:space="preserve">MANUAL DE USUARIO</w:t>
      </w:r>
    </w:p>
    <w:p>
      <w:pPr>
        <w:spacing w:after="1800"/>
        <w:jc w:val="center"/>
      </w:pPr>
      <w:r>
        <w:rPr>
          <w:rFonts w:ascii="Arial" w:cs="Arial" w:eastAsia="Arial" w:hAnsi="Arial"/>
          <w:color w:val="64748B"/>
          <w:sz w:val="24"/>
          <w:szCs w:val="24"/>
        </w:rPr>
        <w:t xml:space="preserve">Versión 1.0</w:t>
      </w:r>
    </w:p>
    <w:p>
      <w:pPr>
        <w:jc w:val="center"/>
      </w:pPr>
      <w:r>
        <w:rPr>
          <w:rFonts w:ascii="Arial" w:cs="Arial" w:eastAsia="Arial" w:hAnsi="Arial"/>
          <w:color w:val="64748B"/>
          <w:sz w:val="24"/>
          <w:szCs w:val="24"/>
        </w:rPr>
        <w:t xml:space="preserve">Junio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rP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1. Introducción</w:t>
      </w:r>
    </w:p>
    <w:p>
      <w:pPr>
        <w:spacing w:after="200"/>
      </w:pPr>
      <w:r>
        <w:rPr>
          <w:rFonts w:ascii="Arial" w:cs="Arial" w:eastAsia="Arial" w:hAnsi="Arial"/>
        </w:rPr>
        <w:t xml:space="preserve">CoreStream es una plataforma de gestión de proyectos pensada para organizar el trabajo de equipos de desarrollo de software. Permite estructurar el trabajo en Aplicaciones, Épicas y Tickets, y da seguimiento al progreso de cada equipo a través de un panel de métricas e indicadores de rendimiento.</w:t>
      </w:r>
    </w:p>
    <w:p>
      <w:pPr>
        <w:pStyle w:val="Heading2"/>
      </w:pPr>
      <w:r>
        <w:t xml:space="preserve">1.1 Características Principales</w:t>
      </w:r>
    </w:p>
    <w:p>
      <w:pPr>
        <w:pStyle w:val="ListParagraph"/>
        <w:numPr>
          <w:ilvl w:val="0"/>
          <w:numId w:val="2"/>
        </w:numPr>
        <w:spacing w:after="80"/>
      </w:pPr>
      <w:r>
        <w:rPr>
          <w:rFonts w:ascii="Arial" w:cs="Arial" w:eastAsia="Arial" w:hAnsi="Arial"/>
        </w:rPr>
        <w:t xml:space="preserve">Gestión jerárquica de proyectos (Aplicación → Épica → Ticket)</w:t>
      </w:r>
    </w:p>
    <w:p>
      <w:pPr>
        <w:pStyle w:val="ListParagraph"/>
        <w:numPr>
          <w:ilvl w:val="0"/>
          <w:numId w:val="2"/>
        </w:numPr>
        <w:spacing w:after="80"/>
      </w:pPr>
      <w:r>
        <w:rPr>
          <w:rFonts w:ascii="Arial" w:cs="Arial" w:eastAsia="Arial" w:hAnsi="Arial"/>
        </w:rPr>
        <w:t xml:space="preserve">Tablero de épicas tipo swimlane, con tickets organizados por estado</w:t>
      </w:r>
    </w:p>
    <w:p>
      <w:pPr>
        <w:pStyle w:val="ListParagraph"/>
        <w:numPr>
          <w:ilvl w:val="0"/>
          <w:numId w:val="2"/>
        </w:numPr>
        <w:spacing w:after="80"/>
      </w:pPr>
      <w:r>
        <w:rPr>
          <w:rFonts w:ascii="Arial" w:cs="Arial" w:eastAsia="Arial" w:hAnsi="Arial"/>
        </w:rPr>
        <w:t xml:space="preserve">Sistema de acciones sobre tickets: Completar, Preguntar y Redireccionar</w:t>
      </w:r>
    </w:p>
    <w:p>
      <w:pPr>
        <w:pStyle w:val="ListParagraph"/>
        <w:numPr>
          <w:ilvl w:val="0"/>
          <w:numId w:val="2"/>
        </w:numPr>
        <w:spacing w:after="80"/>
      </w:pPr>
      <w:r>
        <w:rPr>
          <w:rFonts w:ascii="Arial" w:cs="Arial" w:eastAsia="Arial" w:hAnsi="Arial"/>
        </w:rPr>
        <w:t xml:space="preserve">Panel de Analítica con métricas de rendimiento del equipo y mapa de calor de actividad</w:t>
      </w:r>
    </w:p>
    <w:p>
      <w:pPr>
        <w:pStyle w:val="ListParagraph"/>
        <w:numPr>
          <w:ilvl w:val="0"/>
          <w:numId w:val="2"/>
        </w:numPr>
        <w:spacing w:after="80"/>
      </w:pPr>
      <w:r>
        <w:rPr>
          <w:rFonts w:ascii="Arial" w:cs="Arial" w:eastAsia="Arial" w:hAnsi="Arial"/>
        </w:rPr>
        <w:t xml:space="preserve">Repositorio centralizado de código y documentación, con traducción automática de archivos</w:t>
      </w:r>
    </w:p>
    <w:p>
      <w:pPr>
        <w:pStyle w:val="ListParagraph"/>
        <w:numPr>
          <w:ilvl w:val="0"/>
          <w:numId w:val="2"/>
        </w:numPr>
        <w:spacing w:after="80"/>
      </w:pPr>
      <w:r>
        <w:rPr>
          <w:rFonts w:ascii="Arial" w:cs="Arial" w:eastAsia="Arial" w:hAnsi="Arial"/>
        </w:rPr>
        <w:t xml:space="preserve">Gestión de equipo con roles: Administrador, Líder de Equipo y Desarrollador</w:t>
      </w:r>
    </w:p>
    <w:p>
      <w:pPr>
        <w:pStyle w:val="ListParagraph"/>
        <w:numPr>
          <w:ilvl w:val="0"/>
          <w:numId w:val="2"/>
        </w:numPr>
        <w:spacing w:after="80"/>
      </w:pPr>
      <w:r>
        <w:rPr>
          <w:rFonts w:ascii="Arial" w:cs="Arial" w:eastAsia="Arial" w:hAnsi="Arial"/>
        </w:rPr>
        <w:t xml:space="preserve">Asignación y balanceo de carga de trabajo entre desarrolladores</w:t>
      </w:r>
    </w:p>
    <w:p>
      <w:pPr>
        <w:pStyle w:val="ListParagraph"/>
        <w:numPr>
          <w:ilvl w:val="0"/>
          <w:numId w:val="2"/>
        </w:numPr>
        <w:spacing w:after="80"/>
      </w:pPr>
      <w:r>
        <w:rPr>
          <w:rFonts w:ascii="Arial" w:cs="Arial" w:eastAsia="Arial" w:hAnsi="Arial"/>
        </w:rPr>
        <w:t xml:space="preserve">Soporte multiidioma y modo oscuro</w:t>
      </w:r>
    </w:p>
    <w:p>
      <w:pPr>
        <w:pStyle w:val="Heading2"/>
      </w:pPr>
      <w:r>
        <w:t xml:space="preserve">1.2 Roles de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2"/>
              <w:left w:val="single" w:color="CBD5E1" w:sz="2"/>
              <w:bottom w:val="single" w:color="CBD5E1" w:sz="2"/>
              <w:right w:val="single" w:color="CBD5E1" w:sz="2"/>
            </w:tcBorders>
            <w:shd w:fill="DCE7FB" w:val="clear"/>
            <w:tcMar>
              <w:top w:type="dxa" w:w="100"/>
              <w:left w:type="dxa" w:w="120"/>
              <w:bottom w:type="dxa" w:w="100"/>
              <w:right w:type="dxa" w:w="120"/>
            </w:tcMar>
            <w:vAlign w:val="center"/>
          </w:tcPr>
          <w:p>
            <w:r>
              <w:rPr>
                <w:rFonts w:ascii="Arial" w:cs="Arial" w:eastAsia="Arial" w:hAnsi="Arial"/>
                <w:b/>
                <w:bCs/>
                <w:color w:val="1B2A4A"/>
                <w:sz w:val="21"/>
                <w:szCs w:val="21"/>
              </w:rPr>
              <w:t xml:space="preserve">Rol</w:t>
            </w:r>
          </w:p>
        </w:tc>
        <w:tc>
          <w:tcPr>
            <w:tcW w:type="dxa" w:w="6960"/>
            <w:tcBorders>
              <w:top w:val="single" w:color="CBD5E1" w:sz="2"/>
              <w:left w:val="single" w:color="CBD5E1" w:sz="2"/>
              <w:bottom w:val="single" w:color="CBD5E1" w:sz="2"/>
              <w:right w:val="single" w:color="CBD5E1" w:sz="2"/>
            </w:tcBorders>
            <w:shd w:fill="DCE7FB" w:val="clear"/>
            <w:tcMar>
              <w:top w:type="dxa" w:w="100"/>
              <w:left w:type="dxa" w:w="120"/>
              <w:bottom w:type="dxa" w:w="100"/>
              <w:right w:type="dxa" w:w="120"/>
            </w:tcMar>
            <w:vAlign w:val="center"/>
          </w:tcPr>
          <w:p>
            <w:r>
              <w:rPr>
                <w:rFonts w:ascii="Arial" w:cs="Arial" w:eastAsia="Arial" w:hAnsi="Arial"/>
                <w:b/>
                <w:bCs/>
                <w:color w:val="1B2A4A"/>
                <w:sz w:val="21"/>
                <w:szCs w:val="21"/>
              </w:rPr>
              <w:t xml:space="preserve">Descripción</w:t>
            </w:r>
          </w:p>
        </w:tc>
      </w:tr>
      <w:tr>
        <w:tc>
          <w:tcPr>
            <w:tcW w:type="dxa" w:w="2400"/>
            <w:tcBorders>
              <w:top w:val="single" w:color="CBD5E1" w:sz="2"/>
              <w:left w:val="single" w:color="CBD5E1" w:sz="2"/>
              <w:bottom w:val="single" w:color="CBD5E1" w:sz="2"/>
              <w:right w:val="single" w:color="CBD5E1" w:sz="2"/>
            </w:tcBorders>
            <w:tcMar>
              <w:top w:type="dxa" w:w="100"/>
              <w:left w:type="dxa" w:w="120"/>
              <w:bottom w:type="dxa" w:w="100"/>
              <w:right w:type="dxa" w:w="120"/>
            </w:tcMar>
            <w:vAlign w:val="center"/>
          </w:tcPr>
          <w:p>
            <w:r>
              <w:rPr>
                <w:rFonts w:ascii="Arial" w:cs="Arial" w:eastAsia="Arial" w:hAnsi="Arial"/>
                <w:b/>
                <w:bCs/>
                <w:sz w:val="21"/>
                <w:szCs w:val="21"/>
              </w:rPr>
              <w:t xml:space="preserve">Administrador</w:t>
            </w:r>
          </w:p>
        </w:tc>
        <w:tc>
          <w:tcPr>
            <w:tcW w:type="dxa" w:w="6960"/>
            <w:tcBorders>
              <w:top w:val="single" w:color="CBD5E1" w:sz="2"/>
              <w:left w:val="single" w:color="CBD5E1" w:sz="2"/>
              <w:bottom w:val="single" w:color="CBD5E1" w:sz="2"/>
              <w:right w:val="single" w:color="CBD5E1" w:sz="2"/>
            </w:tcBorders>
            <w:tcMar>
              <w:top w:type="dxa" w:w="100"/>
              <w:left w:type="dxa" w:w="120"/>
              <w:bottom w:type="dxa" w:w="100"/>
              <w:right w:type="dxa" w:w="120"/>
            </w:tcMar>
            <w:vAlign w:val="center"/>
          </w:tcPr>
          <w:p>
            <w:r>
              <w:rPr>
                <w:rFonts w:ascii="Arial" w:cs="Arial" w:eastAsia="Arial" w:hAnsi="Arial"/>
                <w:b w:val="false"/>
                <w:bCs w:val="false"/>
                <w:sz w:val="21"/>
                <w:szCs w:val="21"/>
              </w:rPr>
              <w:t xml:space="preserve">Acceso completo a la plataforma. Puede construir aplicaciones y épicas, ver la analítica del equipo, revisar el repositorio de código/documentación, gestionar a todos los miembros del equipo y usar el módulo Soporte para reportar y gestionar bugs.</w:t>
            </w:r>
          </w:p>
        </w:tc>
      </w:tr>
      <w:tr>
        <w:tc>
          <w:tcPr>
            <w:tcW w:type="dxa" w:w="2400"/>
            <w:tcBorders>
              <w:top w:val="single" w:color="CBD5E1" w:sz="2"/>
              <w:left w:val="single" w:color="CBD5E1" w:sz="2"/>
              <w:bottom w:val="single" w:color="CBD5E1" w:sz="2"/>
              <w:right w:val="single" w:color="CBD5E1" w:sz="2"/>
            </w:tcBorders>
            <w:tcMar>
              <w:top w:type="dxa" w:w="100"/>
              <w:left w:type="dxa" w:w="120"/>
              <w:bottom w:type="dxa" w:w="100"/>
              <w:right w:type="dxa" w:w="120"/>
            </w:tcMar>
            <w:vAlign w:val="center"/>
          </w:tcPr>
          <w:p>
            <w:r>
              <w:rPr>
                <w:rFonts w:ascii="Arial" w:cs="Arial" w:eastAsia="Arial" w:hAnsi="Arial"/>
                <w:b/>
                <w:bCs/>
                <w:sz w:val="21"/>
                <w:szCs w:val="21"/>
              </w:rPr>
              <w:t xml:space="preserve">Líder de Equipo</w:t>
            </w:r>
          </w:p>
        </w:tc>
        <w:tc>
          <w:tcPr>
            <w:tcW w:type="dxa" w:w="6960"/>
            <w:tcBorders>
              <w:top w:val="single" w:color="CBD5E1" w:sz="2"/>
              <w:left w:val="single" w:color="CBD5E1" w:sz="2"/>
              <w:bottom w:val="single" w:color="CBD5E1" w:sz="2"/>
              <w:right w:val="single" w:color="CBD5E1" w:sz="2"/>
            </w:tcBorders>
            <w:tcMar>
              <w:top w:type="dxa" w:w="100"/>
              <w:left w:type="dxa" w:w="120"/>
              <w:bottom w:type="dxa" w:w="100"/>
              <w:right w:type="dxa" w:w="120"/>
            </w:tcMar>
            <w:vAlign w:val="center"/>
          </w:tcPr>
          <w:p>
            <w:r>
              <w:rPr>
                <w:rFonts w:ascii="Arial" w:cs="Arial" w:eastAsia="Arial" w:hAnsi="Arial"/>
                <w:b w:val="false"/>
                <w:bCs w:val="false"/>
                <w:sz w:val="21"/>
                <w:szCs w:val="21"/>
              </w:rPr>
              <w:t xml:space="preserve">Desarrollador con permisos adicionales. Además de trabajar en sus propios tickets, puede ver y redistribuir la carga de trabajo del equipo desde Asignación de Equipo, y reportar bugs en el módulo Soporte.</w:t>
            </w:r>
          </w:p>
        </w:tc>
      </w:tr>
      <w:tr>
        <w:tc>
          <w:tcPr>
            <w:tcW w:type="dxa" w:w="2400"/>
            <w:tcBorders>
              <w:top w:val="single" w:color="CBD5E1" w:sz="2"/>
              <w:left w:val="single" w:color="CBD5E1" w:sz="2"/>
              <w:bottom w:val="single" w:color="CBD5E1" w:sz="2"/>
              <w:right w:val="single" w:color="CBD5E1" w:sz="2"/>
            </w:tcBorders>
            <w:tcMar>
              <w:top w:type="dxa" w:w="100"/>
              <w:left w:type="dxa" w:w="120"/>
              <w:bottom w:type="dxa" w:w="100"/>
              <w:right w:type="dxa" w:w="120"/>
            </w:tcMar>
            <w:vAlign w:val="center"/>
          </w:tcPr>
          <w:p>
            <w:r>
              <w:rPr>
                <w:rFonts w:ascii="Arial" w:cs="Arial" w:eastAsia="Arial" w:hAnsi="Arial"/>
                <w:b/>
                <w:bCs/>
                <w:sz w:val="21"/>
                <w:szCs w:val="21"/>
              </w:rPr>
              <w:t xml:space="preserve">Desarrollador</w:t>
            </w:r>
          </w:p>
        </w:tc>
        <w:tc>
          <w:tcPr>
            <w:tcW w:type="dxa" w:w="6960"/>
            <w:tcBorders>
              <w:top w:val="single" w:color="CBD5E1" w:sz="2"/>
              <w:left w:val="single" w:color="CBD5E1" w:sz="2"/>
              <w:bottom w:val="single" w:color="CBD5E1" w:sz="2"/>
              <w:right w:val="single" w:color="CBD5E1" w:sz="2"/>
            </w:tcBorders>
            <w:tcMar>
              <w:top w:type="dxa" w:w="100"/>
              <w:left w:type="dxa" w:w="120"/>
              <w:bottom w:type="dxa" w:w="100"/>
              <w:right w:type="dxa" w:w="120"/>
            </w:tcMar>
            <w:vAlign w:val="center"/>
          </w:tcPr>
          <w:p>
            <w:r>
              <w:rPr>
                <w:rFonts w:ascii="Arial" w:cs="Arial" w:eastAsia="Arial" w:hAnsi="Arial"/>
                <w:b w:val="false"/>
                <w:bCs w:val="false"/>
                <w:sz w:val="21"/>
                <w:szCs w:val="21"/>
              </w:rPr>
              <w:t xml:space="preserve">Trabaja en los tickets que le fueron asignados. Puede completarlos, marcarlos como bloqueados con una pregunta, redireccionarlos a otro miembro del equipo, subir archivos de código o documentación, y reportar bugs en el módulo Soporte.</w:t>
            </w:r>
          </w:p>
        </w:tc>
      </w:tr>
    </w:tbl>
    <w:p>
      <w:pPr>
        <w:spacing w:before="240"/>
      </w:pPr>
      <w:r>
        <w:rPr>
          <w:rFonts w:ascii="Arial" w:cs="Arial" w:eastAsia="Arial" w:hAnsi="Arial"/>
        </w:rPr>
        <w:t xml:space="preserve">El rol del usuario determina qué vista y qué opciones de menú están disponibles tras iniciar sesión.</w:t>
      </w:r>
    </w:p>
    <w:p>
      <w:pPr>
        <w:pStyle w:val="Heading2"/>
      </w:pPr>
      <w:r>
        <w:t xml:space="preserve">1.3 Inicio de Sesión</w:t>
      </w:r>
    </w:p>
    <w:p>
      <w:pPr>
        <w:spacing w:after="120"/>
      </w:pPr>
      <w:r>
        <w:rPr>
          <w:rFonts w:ascii="Arial" w:cs="Arial" w:eastAsia="Arial" w:hAnsi="Arial"/>
        </w:rPr>
        <w:t xml:space="preserve">Para acceder a CoreStream, ingrese su correo y contraseña en la pantalla de inicio de sesión y haga clic en “Ingresar”. Desde esta misma pantalla puede cambiar el idioma de la interfaz (selector superior derecho) y alternar entre modo claro y modo oscuro (icono de luna).</w:t>
      </w:r>
    </w:p>
    <w:p>
      <w:pPr>
        <w:spacing w:after="80" w:before="200"/>
        <w:jc w:val="center"/>
      </w:pPr>
      <w:r>
        <w:drawing>
          <wp:inline distT="0" distB="0" distL="0" distR="0">
            <wp:extent cx="5305425" cy="2524125"/>
            <wp:effectExtent t="0" r="0" b="0" l="0"/>
            <wp:docPr id="1" name="captura" descr="Captura de pantalla de CoreStream" title="Cap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05425" cy="2524125"/>
                    </a:xfrm>
                    <a:prstGeom prst="rect">
                      <a:avLst/>
                    </a:prstGeom>
                  </pic:spPr>
                </pic:pic>
              </a:graphicData>
            </a:graphic>
          </wp:inline>
        </w:drawing>
      </w:r>
    </w:p>
    <w:p>
      <w:pPr>
        <w:spacing w:after="360" w:before="120"/>
        <w:jc w:val="center"/>
      </w:pPr>
      <w:r>
        <w:rPr>
          <w:rFonts w:ascii="Arial" w:cs="Arial" w:eastAsia="Arial" w:hAnsi="Arial"/>
          <w:i/>
          <w:iCs/>
          <w:color w:val="64748B"/>
          <w:sz w:val="20"/>
          <w:szCs w:val="20"/>
        </w:rPr>
        <w:t xml:space="preserve">Figura 1: Pantalla de inicio de sesión de CoreStream</w:t>
      </w:r>
    </w:p>
    <w:p>
      <w:pPr>
        <w:pStyle w:val="Heading1"/>
        <w:pageBreakBefore/>
      </w:pPr>
      <w:r>
        <w:t xml:space="preserve">2. Vista Administrador</w:t>
      </w:r>
    </w:p>
    <w:p>
      <w:pPr>
        <w:spacing w:after="200"/>
      </w:pPr>
      <w:r>
        <w:rPr>
          <w:rFonts w:ascii="Arial" w:cs="Arial" w:eastAsia="Arial" w:hAnsi="Arial"/>
        </w:rPr>
        <w:t xml:space="preserve">Al iniciar sesión como Administrador, el menú lateral izquierdo muestra cuatro secciones: Constructor, Analítica, Documentación y Equipo.</w:t>
      </w:r>
    </w:p>
    <w:p>
      <w:pPr>
        <w:pStyle w:val="Heading2"/>
      </w:pPr>
      <w:r>
        <w:t xml:space="preserve">2.1 Constructor</w:t>
      </w:r>
    </w:p>
    <w:p>
      <w:pPr>
        <w:spacing w:after="120"/>
      </w:pPr>
      <w:r>
        <w:rPr>
          <w:rFonts w:ascii="Arial" w:cs="Arial" w:eastAsia="Arial" w:hAnsi="Arial"/>
        </w:rPr>
        <w:t xml:space="preserve">El Constructor es el espacio para crear y organizar aplicaciones, sus épicas y los tickets dentro de cada una.</w:t>
      </w:r>
    </w:p>
    <w:p>
      <w:pPr>
        <w:pStyle w:val="ListParagraph"/>
        <w:numPr>
          <w:ilvl w:val="0"/>
          <w:numId w:val="2"/>
        </w:numPr>
        <w:spacing w:after="80"/>
      </w:pPr>
      <w:r>
        <w:rPr>
          <w:rFonts w:ascii="Arial" w:cs="Arial" w:eastAsia="Arial" w:hAnsi="Arial"/>
        </w:rPr>
        <w:t xml:space="preserve">Crear un proyecto: la lista de “Aplicaciones” muestra todas las registradas, con su número de tickets pendientes y vencidos.</w:t>
      </w:r>
    </w:p>
    <w:p>
      <w:pPr>
        <w:pStyle w:val="ListParagraph"/>
        <w:numPr>
          <w:ilvl w:val="0"/>
          <w:numId w:val="2"/>
        </w:numPr>
        <w:spacing w:after="80"/>
      </w:pPr>
      <w:r>
        <w:rPr>
          <w:rFonts w:ascii="Arial" w:cs="Arial" w:eastAsia="Arial" w:hAnsi="Arial"/>
        </w:rPr>
        <w:t xml:space="preserve">Al seleccionar una aplicación se muestran sus indicadores generales: número de épicas, progreso promedio y color guía de la aplicación.</w:t>
      </w:r>
    </w:p>
    <w:p>
      <w:pPr>
        <w:pStyle w:val="ListParagraph"/>
        <w:numPr>
          <w:ilvl w:val="0"/>
          <w:numId w:val="2"/>
        </w:numPr>
        <w:spacing w:after="80"/>
      </w:pPr>
      <w:r>
        <w:rPr>
          <w:rFonts w:ascii="Arial" w:cs="Arial" w:eastAsia="Arial" w:hAnsi="Arial"/>
        </w:rPr>
        <w:t xml:space="preserve">Las épicas se organizan como swimlanes que pueden colapsarse o expandirse de forma individual.</w:t>
      </w:r>
    </w:p>
    <w:p>
      <w:pPr>
        <w:pStyle w:val="ListParagraph"/>
        <w:numPr>
          <w:ilvl w:val="0"/>
          <w:numId w:val="2"/>
        </w:numPr>
        <w:spacing w:after="80"/>
      </w:pPr>
      <w:r>
        <w:rPr>
          <w:rFonts w:ascii="Arial" w:cs="Arial" w:eastAsia="Arial" w:hAnsi="Arial"/>
        </w:rPr>
        <w:t xml:space="preserve">Cada swimlane permite Editar o Borrar la épica, reordenarla, y ver su barra de progreso.</w:t>
      </w:r>
    </w:p>
    <w:p>
      <w:pPr>
        <w:pStyle w:val="ListParagraph"/>
        <w:numPr>
          <w:ilvl w:val="0"/>
          <w:numId w:val="2"/>
        </w:numPr>
        <w:spacing w:after="80"/>
      </w:pPr>
      <w:r>
        <w:rPr>
          <w:rFonts w:ascii="Arial" w:cs="Arial" w:eastAsia="Arial" w:hAnsi="Arial"/>
        </w:rPr>
        <w:t xml:space="preserve">Dentro de cada épica, el botón “+ Agregar Ticket” crea nuevos tickets; cada tarjeta de ticket muestra su estado (Por Hacer, En Progreso, Completado).</w:t>
      </w:r>
    </w:p>
    <w:p>
      <w:pPr>
        <w:pStyle w:val="ListParagraph"/>
        <w:numPr>
          <w:ilvl w:val="0"/>
          <w:numId w:val="2"/>
        </w:numPr>
        <w:spacing w:after="80"/>
      </w:pPr>
      <w:r>
        <w:rPr>
          <w:rFonts w:ascii="Arial" w:cs="Arial" w:eastAsia="Arial" w:hAnsi="Arial"/>
        </w:rPr>
        <w:t xml:space="preserve">El panel “Acciones Rápidas” a la derecha resume la aplicación activa, el orden visual y el progreso general de la épica seleccionada.</w:t>
      </w:r>
    </w:p>
    <w:p>
      <w:pPr>
        <w:spacing w:after="80" w:before="200"/>
        <w:jc w:val="center"/>
      </w:pPr>
      <w:r>
        <w:drawing>
          <wp:inline distT="0" distB="0" distL="0" distR="0">
            <wp:extent cx="5667375" cy="2705100"/>
            <wp:effectExtent t="0" r="0" b="0" l="0"/>
            <wp:docPr id="1" name="captura" descr="Captura de pantalla de CoreStream" title="Cap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2705100"/>
                    </a:xfrm>
                    <a:prstGeom prst="rect">
                      <a:avLst/>
                    </a:prstGeom>
                  </pic:spPr>
                </pic:pic>
              </a:graphicData>
            </a:graphic>
          </wp:inline>
        </w:drawing>
      </w:r>
    </w:p>
    <w:p>
      <w:pPr>
        <w:spacing w:after="360" w:before="120"/>
        <w:jc w:val="center"/>
      </w:pPr>
      <w:r>
        <w:rPr>
          <w:rFonts w:ascii="Arial" w:cs="Arial" w:eastAsia="Arial" w:hAnsi="Arial"/>
          <w:i/>
          <w:iCs/>
          <w:color w:val="64748B"/>
          <w:sz w:val="20"/>
          <w:szCs w:val="20"/>
        </w:rPr>
        <w:t xml:space="preserve">Figura 2: Constructor – swimlanes de épicas y tickets</w:t>
      </w:r>
    </w:p>
    <w:p>
      <w:pPr>
        <w:pStyle w:val="Heading3"/>
      </w:pPr>
      <w:r>
        <w:t xml:space="preserve">2.1.1 Crear una Nueva Aplicación (Solo Administrador)</w:t>
      </w:r>
    </w:p>
    <w:p>
      <w:pPr>
        <w:spacing w:after="120"/>
      </w:pPr>
      <w:r>
        <w:rPr>
          <w:rFonts w:ascii="Arial" w:cs="Arial" w:eastAsia="Arial" w:hAnsi="Arial"/>
        </w:rPr>
        <w:t xml:space="preserve">Para registrar una nueva aplicación, haga clic en el botón “+” junto al listado de Aplicaciones. Se abre el formulario “Nueva aplicación”:</w:t>
      </w:r>
    </w:p>
    <w:p>
      <w:pPr>
        <w:pStyle w:val="ListParagraph"/>
        <w:numPr>
          <w:ilvl w:val="0"/>
          <w:numId w:val="2"/>
        </w:numPr>
        <w:spacing w:after="80"/>
      </w:pPr>
      <w:r>
        <w:rPr>
          <w:rFonts w:ascii="Arial" w:cs="Arial" w:eastAsia="Arial" w:hAnsi="Arial"/>
        </w:rPr>
        <w:t xml:space="preserve">Complete el Nombre y, opcionalmente, una Descripción que resuma el alcance de la aplicación.</w:t>
      </w:r>
    </w:p>
    <w:p>
      <w:pPr>
        <w:pStyle w:val="ListParagraph"/>
        <w:numPr>
          <w:ilvl w:val="0"/>
          <w:numId w:val="2"/>
        </w:numPr>
        <w:spacing w:after="80"/>
      </w:pPr>
      <w:r>
        <w:rPr>
          <w:rFonts w:ascii="Arial" w:cs="Arial" w:eastAsia="Arial" w:hAnsi="Arial"/>
        </w:rPr>
        <w:t xml:space="preserve">Elija un Color guía entre la paleta predefinida, o ingrese un código hexadecimal personalizado en “Avanzado”.</w:t>
      </w:r>
    </w:p>
    <w:p>
      <w:pPr>
        <w:pStyle w:val="ListParagraph"/>
        <w:numPr>
          <w:ilvl w:val="0"/>
          <w:numId w:val="2"/>
        </w:numPr>
        <w:spacing w:after="80"/>
      </w:pPr>
      <w:r>
        <w:rPr>
          <w:rFonts w:ascii="Arial" w:cs="Arial" w:eastAsia="Arial" w:hAnsi="Arial"/>
        </w:rPr>
        <w:t xml:space="preserve">Seleccione un Icono representativo de la lista disponible (carpeta, base de datos, escritorio, nube, entre otros).</w:t>
      </w:r>
    </w:p>
    <w:p>
      <w:pPr>
        <w:pStyle w:val="ListParagraph"/>
        <w:numPr>
          <w:ilvl w:val="0"/>
          <w:numId w:val="2"/>
        </w:numPr>
        <w:spacing w:after="80"/>
      </w:pPr>
      <w:r>
        <w:rPr>
          <w:rFonts w:ascii="Arial" w:cs="Arial" w:eastAsia="Arial" w:hAnsi="Arial"/>
        </w:rPr>
        <w:t xml:space="preserve">Haga clic en “Guardar aplicación” para crearla, o en “Cancelar” para descartar los cambios.</w:t>
      </w:r>
    </w:p>
    <w:p>
      <w:pPr>
        <w:spacing w:after="80" w:before="200"/>
        <w:jc w:val="center"/>
      </w:pPr>
      <w:r>
        <w:drawing>
          <wp:inline distT="0" distB="0" distL="0" distR="0">
            <wp:extent cx="2743200" cy="3200400"/>
            <wp:effectExtent t="0" r="0" b="0" l="0"/>
            <wp:docPr id="1" name="captura" descr="Captura de pantalla de CoreStream" title="Cap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43200" cy="3200400"/>
                    </a:xfrm>
                    <a:prstGeom prst="rect">
                      <a:avLst/>
                    </a:prstGeom>
                  </pic:spPr>
                </pic:pic>
              </a:graphicData>
            </a:graphic>
          </wp:inline>
        </w:drawing>
      </w:r>
    </w:p>
    <w:p>
      <w:pPr>
        <w:spacing w:after="360" w:before="120"/>
        <w:jc w:val="center"/>
      </w:pPr>
      <w:r>
        <w:rPr>
          <w:rFonts w:ascii="Arial" w:cs="Arial" w:eastAsia="Arial" w:hAnsi="Arial"/>
          <w:i/>
          <w:iCs/>
          <w:color w:val="64748B"/>
          <w:sz w:val="20"/>
          <w:szCs w:val="20"/>
        </w:rPr>
        <w:t xml:space="preserve">Figura 3: Formulario para crear una nueva aplicación</w:t>
      </w:r>
    </w:p>
    <w:p>
      <w:pPr>
        <w:pStyle w:val="Heading3"/>
      </w:pPr>
      <w:r>
        <w:t xml:space="preserve">2.1.2 Crear una Nueva Épica (Solo Administrador)</w:t>
      </w:r>
    </w:p>
    <w:p>
      <w:pPr>
        <w:spacing w:after="120"/>
      </w:pPr>
      <w:r>
        <w:rPr>
          <w:rFonts w:ascii="Arial" w:cs="Arial" w:eastAsia="Arial" w:hAnsi="Arial"/>
        </w:rPr>
        <w:t xml:space="preserve">Para agregar una épica a una aplicación, haga clic en “+ Nueva Épica” dentro del Constructor. Se abre el formulario “Nueva épica”:</w:t>
      </w:r>
    </w:p>
    <w:p>
      <w:pPr>
        <w:pStyle w:val="ListParagraph"/>
        <w:numPr>
          <w:ilvl w:val="0"/>
          <w:numId w:val="2"/>
        </w:numPr>
        <w:spacing w:after="80"/>
      </w:pPr>
      <w:r>
        <w:rPr>
          <w:rFonts w:ascii="Arial" w:cs="Arial" w:eastAsia="Arial" w:hAnsi="Arial"/>
        </w:rPr>
        <w:t xml:space="preserve">Complete el Título de la épica y, opcionalmente, una Descripción que explique su objetivo.</w:t>
      </w:r>
    </w:p>
    <w:p>
      <w:pPr>
        <w:pStyle w:val="ListParagraph"/>
        <w:numPr>
          <w:ilvl w:val="0"/>
          <w:numId w:val="2"/>
        </w:numPr>
        <w:spacing w:after="80"/>
      </w:pPr>
      <w:r>
        <w:rPr>
          <w:rFonts w:ascii="Arial" w:cs="Arial" w:eastAsia="Arial" w:hAnsi="Arial"/>
        </w:rPr>
        <w:t xml:space="preserve">Defina una Fecha límite (opcional) en formato dd-mm-aaaa.</w:t>
      </w:r>
    </w:p>
    <w:p>
      <w:pPr>
        <w:pStyle w:val="ListParagraph"/>
        <w:numPr>
          <w:ilvl w:val="0"/>
          <w:numId w:val="2"/>
        </w:numPr>
        <w:spacing w:after="80"/>
      </w:pPr>
      <w:r>
        <w:rPr>
          <w:rFonts w:ascii="Arial" w:cs="Arial" w:eastAsia="Arial" w:hAnsi="Arial"/>
        </w:rPr>
        <w:t xml:space="preserve">Verifique la Aplicación destino, que se precarga según la aplicación activa en el Constructor.</w:t>
      </w:r>
    </w:p>
    <w:p>
      <w:pPr>
        <w:pStyle w:val="ListParagraph"/>
        <w:numPr>
          <w:ilvl w:val="0"/>
          <w:numId w:val="2"/>
        </w:numPr>
        <w:spacing w:after="80"/>
      </w:pPr>
      <w:r>
        <w:rPr>
          <w:rFonts w:ascii="Arial" w:cs="Arial" w:eastAsia="Arial" w:hAnsi="Arial"/>
        </w:rPr>
        <w:t xml:space="preserve">Haga clic en “Guardar épica” para crearla, o en “Cancelar” para descartar los cambios.</w:t>
      </w:r>
    </w:p>
    <w:p>
      <w:pPr>
        <w:spacing w:after="80" w:before="200"/>
        <w:jc w:val="center"/>
      </w:pPr>
      <w:r>
        <w:drawing>
          <wp:inline distT="0" distB="0" distL="0" distR="0">
            <wp:extent cx="3105150" cy="2609850"/>
            <wp:effectExtent t="0" r="0" b="0" l="0"/>
            <wp:docPr id="1" name="captura" descr="Captura de pantalla de CoreStream" title="Cap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05150" cy="2609850"/>
                    </a:xfrm>
                    <a:prstGeom prst="rect">
                      <a:avLst/>
                    </a:prstGeom>
                  </pic:spPr>
                </pic:pic>
              </a:graphicData>
            </a:graphic>
          </wp:inline>
        </w:drawing>
      </w:r>
    </w:p>
    <w:p>
      <w:pPr>
        <w:spacing w:after="360" w:before="120"/>
        <w:jc w:val="center"/>
      </w:pPr>
      <w:r>
        <w:rPr>
          <w:rFonts w:ascii="Arial" w:cs="Arial" w:eastAsia="Arial" w:hAnsi="Arial"/>
          <w:i/>
          <w:iCs/>
          <w:color w:val="64748B"/>
          <w:sz w:val="20"/>
          <w:szCs w:val="20"/>
        </w:rPr>
        <w:t xml:space="preserve">Figura 4: Formulario para crear una nueva épica</w:t>
      </w:r>
    </w:p>
    <w:p>
      <w:pPr>
        <w:pStyle w:val="Heading2"/>
      </w:pPr>
      <w:r>
        <w:t xml:space="preserve">2.2 Analítica</w:t>
      </w:r>
    </w:p>
    <w:p>
      <w:pPr>
        <w:spacing w:after="120"/>
      </w:pPr>
      <w:r>
        <w:rPr>
          <w:rFonts w:ascii="Arial" w:cs="Arial" w:eastAsia="Arial" w:hAnsi="Arial"/>
        </w:rPr>
        <w:t xml:space="preserve">El módulo de Analítica entrega métricas de rendimiento del equipo para la aplicación y el período seleccionados.</w:t>
      </w:r>
    </w:p>
    <w:p>
      <w:pPr>
        <w:pStyle w:val="Heading3"/>
      </w:pPr>
      <w:r>
        <w:t xml:space="preserve">2.2.1 Métricas de Rendimiento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2"/>
              <w:left w:val="single" w:color="CBD5E1" w:sz="2"/>
              <w:bottom w:val="single" w:color="CBD5E1" w:sz="2"/>
              <w:right w:val="single" w:color="CBD5E1" w:sz="2"/>
            </w:tcBorders>
            <w:shd w:fill="DCE7FB" w:val="clear"/>
            <w:tcMar>
              <w:top w:type="dxa" w:w="100"/>
              <w:left w:type="dxa" w:w="120"/>
              <w:bottom w:type="dxa" w:w="100"/>
              <w:right w:type="dxa" w:w="120"/>
            </w:tcMar>
            <w:vAlign w:val="center"/>
          </w:tcPr>
          <w:p>
            <w:r>
              <w:rPr>
                <w:rFonts w:ascii="Arial" w:cs="Arial" w:eastAsia="Arial" w:hAnsi="Arial"/>
                <w:b/>
                <w:bCs/>
                <w:color w:val="1B2A4A"/>
                <w:sz w:val="21"/>
                <w:szCs w:val="21"/>
              </w:rPr>
              <w:t xml:space="preserve">Métrica</w:t>
            </w:r>
          </w:p>
        </w:tc>
        <w:tc>
          <w:tcPr>
            <w:tcW w:type="dxa" w:w="6760"/>
            <w:tcBorders>
              <w:top w:val="single" w:color="CBD5E1" w:sz="2"/>
              <w:left w:val="single" w:color="CBD5E1" w:sz="2"/>
              <w:bottom w:val="single" w:color="CBD5E1" w:sz="2"/>
              <w:right w:val="single" w:color="CBD5E1" w:sz="2"/>
            </w:tcBorders>
            <w:shd w:fill="DCE7FB" w:val="clear"/>
            <w:tcMar>
              <w:top w:type="dxa" w:w="100"/>
              <w:left w:type="dxa" w:w="120"/>
              <w:bottom w:type="dxa" w:w="100"/>
              <w:right w:type="dxa" w:w="120"/>
            </w:tcMar>
            <w:vAlign w:val="center"/>
          </w:tcPr>
          <w:p>
            <w:r>
              <w:rPr>
                <w:rFonts w:ascii="Arial" w:cs="Arial" w:eastAsia="Arial" w:hAnsi="Arial"/>
                <w:b/>
                <w:bCs/>
                <w:color w:val="1B2A4A"/>
                <w:sz w:val="21"/>
                <w:szCs w:val="21"/>
              </w:rPr>
              <w:t xml:space="preserve">Descripción</w:t>
            </w:r>
          </w:p>
        </w:tc>
      </w:tr>
      <w:tr>
        <w:tc>
          <w:tcPr>
            <w:tcW w:type="dxa" w:w="2600"/>
            <w:tcBorders>
              <w:top w:val="single" w:color="CBD5E1" w:sz="2"/>
              <w:left w:val="single" w:color="CBD5E1" w:sz="2"/>
              <w:bottom w:val="single" w:color="CBD5E1" w:sz="2"/>
              <w:right w:val="single" w:color="CBD5E1" w:sz="2"/>
            </w:tcBorders>
            <w:tcMar>
              <w:top w:type="dxa" w:w="100"/>
              <w:left w:type="dxa" w:w="120"/>
              <w:bottom w:type="dxa" w:w="100"/>
              <w:right w:type="dxa" w:w="120"/>
            </w:tcMar>
            <w:vAlign w:val="center"/>
          </w:tcPr>
          <w:p>
            <w:r>
              <w:rPr>
                <w:rFonts w:ascii="Arial" w:cs="Arial" w:eastAsia="Arial" w:hAnsi="Arial"/>
                <w:b/>
                <w:bCs/>
                <w:sz w:val="21"/>
                <w:szCs w:val="21"/>
              </w:rPr>
              <w:t xml:space="preserve">Eficiencia del Equipo</w:t>
            </w:r>
          </w:p>
        </w:tc>
        <w:tc>
          <w:tcPr>
            <w:tcW w:type="dxa" w:w="6760"/>
            <w:tcBorders>
              <w:top w:val="single" w:color="CBD5E1" w:sz="2"/>
              <w:left w:val="single" w:color="CBD5E1" w:sz="2"/>
              <w:bottom w:val="single" w:color="CBD5E1" w:sz="2"/>
              <w:right w:val="single" w:color="CBD5E1" w:sz="2"/>
            </w:tcBorders>
            <w:tcMar>
              <w:top w:type="dxa" w:w="100"/>
              <w:left w:type="dxa" w:w="120"/>
              <w:bottom w:type="dxa" w:w="100"/>
              <w:right w:type="dxa" w:w="120"/>
            </w:tcMar>
            <w:vAlign w:val="center"/>
          </w:tcPr>
          <w:p>
            <w:r>
              <w:rPr>
                <w:rFonts w:ascii="Arial" w:cs="Arial" w:eastAsia="Arial" w:hAnsi="Arial"/>
                <w:b w:val="false"/>
                <w:bCs w:val="false"/>
                <w:sz w:val="21"/>
                <w:szCs w:val="21"/>
              </w:rPr>
              <w:t xml:space="preserve">Porcentaje de tickets completados a tiempo. Se muestra con una barra de progreso de color.</w:t>
            </w:r>
          </w:p>
        </w:tc>
      </w:tr>
      <w:tr>
        <w:tc>
          <w:tcPr>
            <w:tcW w:type="dxa" w:w="2600"/>
            <w:tcBorders>
              <w:top w:val="single" w:color="CBD5E1" w:sz="2"/>
              <w:left w:val="single" w:color="CBD5E1" w:sz="2"/>
              <w:bottom w:val="single" w:color="CBD5E1" w:sz="2"/>
              <w:right w:val="single" w:color="CBD5E1" w:sz="2"/>
            </w:tcBorders>
            <w:tcMar>
              <w:top w:type="dxa" w:w="100"/>
              <w:left w:type="dxa" w:w="120"/>
              <w:bottom w:type="dxa" w:w="100"/>
              <w:right w:type="dxa" w:w="120"/>
            </w:tcMar>
            <w:vAlign w:val="center"/>
          </w:tcPr>
          <w:p>
            <w:r>
              <w:rPr>
                <w:rFonts w:ascii="Arial" w:cs="Arial" w:eastAsia="Arial" w:hAnsi="Arial"/>
                <w:b/>
                <w:bCs/>
                <w:sz w:val="21"/>
                <w:szCs w:val="21"/>
              </w:rPr>
              <w:t xml:space="preserve">Índice de Bloqueo</w:t>
            </w:r>
          </w:p>
        </w:tc>
        <w:tc>
          <w:tcPr>
            <w:tcW w:type="dxa" w:w="6760"/>
            <w:tcBorders>
              <w:top w:val="single" w:color="CBD5E1" w:sz="2"/>
              <w:left w:val="single" w:color="CBD5E1" w:sz="2"/>
              <w:bottom w:val="single" w:color="CBD5E1" w:sz="2"/>
              <w:right w:val="single" w:color="CBD5E1" w:sz="2"/>
            </w:tcBorders>
            <w:tcMar>
              <w:top w:type="dxa" w:w="100"/>
              <w:left w:type="dxa" w:w="120"/>
              <w:bottom w:type="dxa" w:w="100"/>
              <w:right w:type="dxa" w:w="120"/>
            </w:tcMar>
            <w:vAlign w:val="center"/>
          </w:tcPr>
          <w:p>
            <w:r>
              <w:rPr>
                <w:rFonts w:ascii="Arial" w:cs="Arial" w:eastAsia="Arial" w:hAnsi="Arial"/>
                <w:b w:val="false"/>
                <w:bCs w:val="false"/>
                <w:sz w:val="21"/>
                <w:szCs w:val="21"/>
              </w:rPr>
              <w:t xml:space="preserve">Porcentaje de tickets bloqueados respecto al total. Un valor alto puede indicar especificaciones poco claras o necesidad de apoyo al equipo.</w:t>
            </w:r>
          </w:p>
        </w:tc>
      </w:tr>
      <w:tr>
        <w:tc>
          <w:tcPr>
            <w:tcW w:type="dxa" w:w="2600"/>
            <w:tcBorders>
              <w:top w:val="single" w:color="CBD5E1" w:sz="2"/>
              <w:left w:val="single" w:color="CBD5E1" w:sz="2"/>
              <w:bottom w:val="single" w:color="CBD5E1" w:sz="2"/>
              <w:right w:val="single" w:color="CBD5E1" w:sz="2"/>
            </w:tcBorders>
            <w:tcMar>
              <w:top w:type="dxa" w:w="100"/>
              <w:left w:type="dxa" w:w="120"/>
              <w:bottom w:type="dxa" w:w="100"/>
              <w:right w:type="dxa" w:w="120"/>
            </w:tcMar>
            <w:vAlign w:val="center"/>
          </w:tcPr>
          <w:p>
            <w:r>
              <w:rPr>
                <w:rFonts w:ascii="Arial" w:cs="Arial" w:eastAsia="Arial" w:hAnsi="Arial"/>
                <w:b/>
                <w:bCs/>
                <w:sz w:val="21"/>
                <w:szCs w:val="21"/>
              </w:rPr>
              <w:t xml:space="preserve">Índice de Redirección</w:t>
            </w:r>
          </w:p>
        </w:tc>
        <w:tc>
          <w:tcPr>
            <w:tcW w:type="dxa" w:w="6760"/>
            <w:tcBorders>
              <w:top w:val="single" w:color="CBD5E1" w:sz="2"/>
              <w:left w:val="single" w:color="CBD5E1" w:sz="2"/>
              <w:bottom w:val="single" w:color="CBD5E1" w:sz="2"/>
              <w:right w:val="single" w:color="CBD5E1" w:sz="2"/>
            </w:tcBorders>
            <w:tcMar>
              <w:top w:type="dxa" w:w="100"/>
              <w:left w:type="dxa" w:w="120"/>
              <w:bottom w:type="dxa" w:w="100"/>
              <w:right w:type="dxa" w:w="120"/>
            </w:tcMar>
            <w:vAlign w:val="center"/>
          </w:tcPr>
          <w:p>
            <w:r>
              <w:rPr>
                <w:rFonts w:ascii="Arial" w:cs="Arial" w:eastAsia="Arial" w:hAnsi="Arial"/>
                <w:b w:val="false"/>
                <w:bCs w:val="false"/>
                <w:sz w:val="21"/>
                <w:szCs w:val="21"/>
              </w:rPr>
              <w:t xml:space="preserve">Porcentaje de tickets redirigidos a otro desarrollador. Un valor alto puede indicar asignaciones incorrectas.</w:t>
            </w:r>
          </w:p>
        </w:tc>
      </w:tr>
    </w:tbl>
    <w:p>
      <w:pPr>
        <w:spacing w:after="120" w:before="240"/>
      </w:pPr>
      <w:r>
        <w:rPr>
          <w:rFonts w:ascii="Arial" w:cs="Arial" w:eastAsia="Arial" w:hAnsi="Arial"/>
        </w:rPr>
        <w:t xml:space="preserve">Debajo de las tres métricas principales, la “Tabla de Rendimiento” desglosa por desarrollador: tickets procesados, preguntas, redirecciones, tiempo promedio, eficiencia, índice de bloqueo e índice de rotación, con filtros por fecha. Más abajo, el “Gráfico Burndown” compara el progreso real contra el ideal para la épica seleccionada. También incluye el panel de “Tickets de Soporte”, que muestra la cantidad de bugs por estado (Reportado, En Investigación, Resuelto) y por severidad (Crítica, Alta, Media, Baja), junto con el tiempo promedio de resolución.</w:t>
      </w:r>
    </w:p>
    <w:p>
      <w:pPr>
        <w:spacing w:after="80" w:before="200"/>
        <w:jc w:val="center"/>
      </w:pPr>
      <w:r>
        <w:drawing>
          <wp:inline distT="0" distB="0" distL="0" distR="0">
            <wp:extent cx="5667375" cy="3105150"/>
            <wp:effectExtent t="0" r="0" b="0" l="0"/>
            <wp:docPr id="1" name="captura" descr="Captura de pantalla de CoreStream" title="Cap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3105150"/>
                    </a:xfrm>
                    <a:prstGeom prst="rect">
                      <a:avLst/>
                    </a:prstGeom>
                  </pic:spPr>
                </pic:pic>
              </a:graphicData>
            </a:graphic>
          </wp:inline>
        </w:drawing>
      </w:r>
    </w:p>
    <w:p>
      <w:pPr>
        <w:spacing w:after="360" w:before="120"/>
        <w:jc w:val="center"/>
      </w:pPr>
      <w:r>
        <w:rPr>
          <w:rFonts w:ascii="Arial" w:cs="Arial" w:eastAsia="Arial" w:hAnsi="Arial"/>
          <w:i/>
          <w:iCs/>
          <w:color w:val="64748B"/>
          <w:sz w:val="20"/>
          <w:szCs w:val="20"/>
        </w:rPr>
        <w:t xml:space="preserve">Figura 5: Panel de Analítica Global – métricas, rendimiento y tickets de soporte</w:t>
      </w:r>
    </w:p>
    <w:p>
      <w:pPr>
        <w:pStyle w:val="Heading3"/>
      </w:pPr>
      <w:r>
        <w:t xml:space="preserve">2.2.2 Mapa de Calor de Actividad</w:t>
      </w:r>
    </w:p>
    <w:p>
      <w:pPr>
        <w:spacing w:after="120"/>
      </w:pPr>
      <w:r>
        <w:rPr>
          <w:rFonts w:ascii="Arial" w:cs="Arial" w:eastAsia="Arial" w:hAnsi="Arial"/>
        </w:rPr>
        <w:t xml:space="preserve">Visualización de tickets completados por desarrollador y día de la semana. Los tonos de verde más intensos indican mayor actividad ese día (escala: Nula/Baja, Media, Alta, Muy Alta). El panel “Perspectiva” destaca automáticamente el día con menor actividad histórica, útil para planificar la carga de los próximos sprints.</w:t>
      </w:r>
    </w:p>
    <w:p>
      <w:pPr>
        <w:spacing w:after="80" w:before="200"/>
        <w:jc w:val="center"/>
      </w:pPr>
      <w:r>
        <w:drawing>
          <wp:inline distT="0" distB="0" distL="0" distR="0">
            <wp:extent cx="5486400" cy="1695450"/>
            <wp:effectExtent t="0" r="0" b="0" l="0"/>
            <wp:docPr id="1" name="captura" descr="Captura de pantalla de CoreStream" title="Cap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1695450"/>
                    </a:xfrm>
                    <a:prstGeom prst="rect">
                      <a:avLst/>
                    </a:prstGeom>
                  </pic:spPr>
                </pic:pic>
              </a:graphicData>
            </a:graphic>
          </wp:inline>
        </w:drawing>
      </w:r>
    </w:p>
    <w:p>
      <w:pPr>
        <w:spacing w:after="360" w:before="120"/>
        <w:jc w:val="center"/>
      </w:pPr>
      <w:r>
        <w:rPr>
          <w:rFonts w:ascii="Arial" w:cs="Arial" w:eastAsia="Arial" w:hAnsi="Arial"/>
          <w:i/>
          <w:iCs/>
          <w:color w:val="64748B"/>
          <w:sz w:val="20"/>
          <w:szCs w:val="20"/>
        </w:rPr>
        <w:t xml:space="preserve">Figura 6: Mapa de calor de actividad por desarrollador</w:t>
      </w:r>
    </w:p>
    <w:p>
      <w:pPr>
        <w:pStyle w:val="Heading2"/>
      </w:pPr>
      <w:r>
        <w:t xml:space="preserve">2.3 Documentación</w:t>
      </w:r>
    </w:p>
    <w:p>
      <w:pPr>
        <w:spacing w:after="120"/>
      </w:pPr>
      <w:r>
        <w:rPr>
          <w:rFonts w:ascii="Arial" w:cs="Arial" w:eastAsia="Arial" w:hAnsi="Arial"/>
        </w:rPr>
        <w:t xml:space="preserve">Repositorio centralizado de código y documentación del proyecto, con estadísticas generales del proyecto activo.</w:t>
      </w:r>
    </w:p>
    <w:p>
      <w:pPr>
        <w:pStyle w:val="ListParagraph"/>
        <w:numPr>
          <w:ilvl w:val="0"/>
          <w:numId w:val="2"/>
        </w:numPr>
        <w:spacing w:after="80"/>
      </w:pPr>
      <w:r>
        <w:rPr>
          <w:rFonts w:ascii="Arial" w:cs="Arial" w:eastAsia="Arial" w:hAnsi="Arial"/>
        </w:rPr>
        <w:t xml:space="preserve">Tarjetas resumen: Archivos de código, Documentación, Colaboradores y Épicas/Tickets, cada una con un enlace “Detalles” para ver el listado completo.</w:t>
      </w:r>
    </w:p>
    <w:p>
      <w:pPr>
        <w:pStyle w:val="ListParagraph"/>
        <w:numPr>
          <w:ilvl w:val="0"/>
          <w:numId w:val="2"/>
        </w:numPr>
        <w:spacing w:after="80"/>
      </w:pPr>
      <w:r>
        <w:rPr>
          <w:rFonts w:ascii="Arial" w:cs="Arial" w:eastAsia="Arial" w:hAnsi="Arial"/>
        </w:rPr>
        <w:t xml:space="preserve">La lista de “Archivos Recientes” muestra cada archivo subido, su tamaño, tipo (por ejemplo DOCUMENTACIÓN) y fecha de subida.</w:t>
      </w:r>
    </w:p>
    <w:p>
      <w:pPr>
        <w:pStyle w:val="ListParagraph"/>
        <w:numPr>
          <w:ilvl w:val="0"/>
          <w:numId w:val="2"/>
        </w:numPr>
        <w:spacing w:after="80"/>
      </w:pPr>
      <w:r>
        <w:rPr>
          <w:rFonts w:ascii="Arial" w:cs="Arial" w:eastAsia="Arial" w:hAnsi="Arial"/>
        </w:rPr>
        <w:t xml:space="preserve">Cada archivo puede descargarse con el botón “Descargar”, o traducirse a otros idiomas con el botón “Traducir”.</w:t>
      </w:r>
    </w:p>
    <w:p>
      <w:pPr>
        <w:spacing w:after="80" w:before="200"/>
        <w:jc w:val="center"/>
      </w:pPr>
      <w:r>
        <w:drawing>
          <wp:inline distT="0" distB="0" distL="0" distR="0">
            <wp:extent cx="5667375" cy="2667000"/>
            <wp:effectExtent t="0" r="0" b="0" l="0"/>
            <wp:docPr id="1" name="captura" descr="Captura de pantalla de CoreStream" title="Cap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2667000"/>
                    </a:xfrm>
                    <a:prstGeom prst="rect">
                      <a:avLst/>
                    </a:prstGeom>
                  </pic:spPr>
                </pic:pic>
              </a:graphicData>
            </a:graphic>
          </wp:inline>
        </w:drawing>
      </w:r>
    </w:p>
    <w:p>
      <w:pPr>
        <w:spacing w:after="360" w:before="120"/>
        <w:jc w:val="center"/>
      </w:pPr>
      <w:r>
        <w:rPr>
          <w:rFonts w:ascii="Arial" w:cs="Arial" w:eastAsia="Arial" w:hAnsi="Arial"/>
          <w:i/>
          <w:iCs/>
          <w:color w:val="64748B"/>
          <w:sz w:val="20"/>
          <w:szCs w:val="20"/>
        </w:rPr>
        <w:t xml:space="preserve">Figura 7: Repositorio de Código y Documentación</w:t>
      </w:r>
    </w:p>
    <w:p>
      <w:pPr>
        <w:pStyle w:val="Heading2"/>
      </w:pPr>
      <w:r>
        <w:t xml:space="preserve">2.4 Equipo</w:t>
      </w:r>
    </w:p>
    <w:p>
      <w:pPr>
        <w:spacing w:after="120"/>
      </w:pPr>
      <w:r>
        <w:rPr>
          <w:rFonts w:ascii="Arial" w:cs="Arial" w:eastAsia="Arial" w:hAnsi="Arial"/>
        </w:rPr>
        <w:t xml:space="preserve">Sección para administrar a los miembros del equipo, sus roles y su carga de trabajo.</w:t>
      </w:r>
    </w:p>
    <w:p>
      <w:pPr>
        <w:pStyle w:val="ListParagraph"/>
        <w:numPr>
          <w:ilvl w:val="0"/>
          <w:numId w:val="2"/>
        </w:numPr>
        <w:spacing w:after="80"/>
      </w:pPr>
      <w:r>
        <w:rPr>
          <w:rFonts w:ascii="Arial" w:cs="Arial" w:eastAsia="Arial" w:hAnsi="Arial"/>
        </w:rPr>
        <w:t xml:space="preserve">Las tarjetas superiores resumen el Total de Miembros, Desarrolladores, Líderes y Tickets Sin Asignar.</w:t>
      </w:r>
    </w:p>
    <w:p>
      <w:pPr>
        <w:pStyle w:val="ListParagraph"/>
        <w:numPr>
          <w:ilvl w:val="0"/>
          <w:numId w:val="2"/>
        </w:numPr>
        <w:spacing w:after="80"/>
      </w:pPr>
      <w:r>
        <w:rPr>
          <w:rFonts w:ascii="Arial" w:cs="Arial" w:eastAsia="Arial" w:hAnsi="Arial"/>
        </w:rPr>
        <w:t xml:space="preserve">El botón “+ Agregar Miembro” permite incorporar nuevos integrantes al equipo; “Actualizar” refresca los datos de la tabla.</w:t>
      </w:r>
    </w:p>
    <w:p>
      <w:pPr>
        <w:pStyle w:val="ListParagraph"/>
        <w:numPr>
          <w:ilvl w:val="0"/>
          <w:numId w:val="2"/>
        </w:numPr>
        <w:spacing w:after="80"/>
      </w:pPr>
      <w:r>
        <w:rPr>
          <w:rFonts w:ascii="Arial" w:cs="Arial" w:eastAsia="Arial" w:hAnsi="Arial"/>
        </w:rPr>
        <w:t xml:space="preserve">La tabla lista a cada miembro con su correo, rol, especialidad y conteo de tareas completadas, pendientes y bloqueadas.</w:t>
      </w:r>
    </w:p>
    <w:p>
      <w:pPr>
        <w:pStyle w:val="ListParagraph"/>
        <w:numPr>
          <w:ilvl w:val="0"/>
          <w:numId w:val="2"/>
        </w:numPr>
        <w:spacing w:after="80"/>
      </w:pPr>
      <w:r>
        <w:rPr>
          <w:rFonts w:ascii="Arial" w:cs="Arial" w:eastAsia="Arial" w:hAnsi="Arial"/>
        </w:rPr>
        <w:t xml:space="preserve">Las acciones por fila permiten Promover a un desarrollador a Líder de Equipo (o Degradar a un líder), editar sus datos o eliminarlo. La cuenta de Administrador aparece marcada como “Protegido” y no puede eliminarse.</w:t>
      </w:r>
    </w:p>
    <w:p>
      <w:pPr>
        <w:spacing w:after="80" w:before="200"/>
        <w:jc w:val="center"/>
      </w:pPr>
      <w:r>
        <w:drawing>
          <wp:inline distT="0" distB="0" distL="0" distR="0">
            <wp:extent cx="5667375" cy="2686050"/>
            <wp:effectExtent t="0" r="0" b="0" l="0"/>
            <wp:docPr id="1" name="captura" descr="Captura de pantalla de CoreStream" title="Cap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7375" cy="2686050"/>
                    </a:xfrm>
                    <a:prstGeom prst="rect">
                      <a:avLst/>
                    </a:prstGeom>
                  </pic:spPr>
                </pic:pic>
              </a:graphicData>
            </a:graphic>
          </wp:inline>
        </w:drawing>
      </w:r>
    </w:p>
    <w:p>
      <w:pPr>
        <w:spacing w:after="360" w:before="120"/>
        <w:jc w:val="center"/>
      </w:pPr>
      <w:r>
        <w:rPr>
          <w:rFonts w:ascii="Arial" w:cs="Arial" w:eastAsia="Arial" w:hAnsi="Arial"/>
          <w:i/>
          <w:iCs/>
          <w:color w:val="64748B"/>
          <w:sz w:val="20"/>
          <w:szCs w:val="20"/>
        </w:rPr>
        <w:t xml:space="preserve">Figura 8: Gestión de Equipo</w:t>
      </w:r>
    </w:p>
    <w:p>
      <w:pPr>
        <w:pStyle w:val="Heading1"/>
        <w:pageBreakBefore/>
      </w:pPr>
      <w:r>
        <w:t xml:space="preserve">3. Vista Desarrollador</w:t>
      </w:r>
    </w:p>
    <w:p>
      <w:pPr>
        <w:spacing w:after="200"/>
      </w:pPr>
      <w:r>
        <w:rPr>
          <w:rFonts w:ascii="Arial" w:cs="Arial" w:eastAsia="Arial" w:hAnsi="Arial"/>
        </w:rPr>
        <w:t xml:space="preserve">La vista de Desarrollador está diseñada para el trabajo diario sobre los tickets asignados. El menú lateral muestra Workbench, Mis Archivos, Soporte y, únicamente para usuarios con rol de Líder de Equipo, Asignación de Equipo.</w:t>
      </w:r>
    </w:p>
    <w:p>
      <w:pPr>
        <w:pStyle w:val="Heading2"/>
      </w:pPr>
      <w:r>
        <w:t xml:space="preserve">3.1 Workbench</w:t>
      </w:r>
    </w:p>
    <w:p>
      <w:pPr>
        <w:spacing w:after="120"/>
      </w:pPr>
      <w:r>
        <w:rPr>
          <w:rFonts w:ascii="Arial" w:cs="Arial" w:eastAsia="Arial" w:hAnsi="Arial"/>
        </w:rPr>
        <w:t xml:space="preserve">El Workbench es el área de trabajo personal del desarrollador, donde se listan y gestionan los tickets asignados.</w:t>
      </w:r>
    </w:p>
    <w:p>
      <w:pPr>
        <w:pStyle w:val="Heading3"/>
      </w:pPr>
      <w:r>
        <w:t xml:space="preserve">3.1.1 Mis Tickets</w:t>
      </w:r>
    </w:p>
    <w:p>
      <w:pPr>
        <w:pStyle w:val="ListParagraph"/>
        <w:numPr>
          <w:ilvl w:val="0"/>
          <w:numId w:val="2"/>
        </w:numPr>
        <w:spacing w:after="80"/>
      </w:pPr>
      <w:r>
        <w:rPr>
          <w:rFonts w:ascii="Arial" w:cs="Arial" w:eastAsia="Arial" w:hAnsi="Arial"/>
        </w:rPr>
        <w:t xml:space="preserve">La barra lateral muestra las aplicaciones en las que el usuario participa, con el conteo de épicas y tickets pendientes de cada una.</w:t>
      </w:r>
    </w:p>
    <w:p>
      <w:pPr>
        <w:pStyle w:val="ListParagraph"/>
        <w:numPr>
          <w:ilvl w:val="0"/>
          <w:numId w:val="2"/>
        </w:numPr>
        <w:spacing w:after="80"/>
      </w:pPr>
      <w:r>
        <w:rPr>
          <w:rFonts w:ascii="Arial" w:cs="Arial" w:eastAsia="Arial" w:hAnsi="Arial"/>
        </w:rPr>
        <w:t xml:space="preserve">La pestaña “Mis Tickets” lista todos los tickets asignados al usuario, agrupados por aplicación y épica, junto con su estado (Por Hacer, Completado, etc.).</w:t>
      </w:r>
    </w:p>
    <w:p>
      <w:pPr>
        <w:pStyle w:val="ListParagraph"/>
        <w:numPr>
          <w:ilvl w:val="0"/>
          <w:numId w:val="2"/>
        </w:numPr>
        <w:spacing w:after="80"/>
      </w:pPr>
      <w:r>
        <w:rPr>
          <w:rFonts w:ascii="Arial" w:cs="Arial" w:eastAsia="Arial" w:hAnsi="Arial"/>
        </w:rPr>
        <w:t xml:space="preserve">La pestaña “Por Épica” permite ver los mismos tickets organizados según la épica a la que pertenecen.</w:t>
      </w:r>
    </w:p>
    <w:p>
      <w:pPr>
        <w:pStyle w:val="ListParagraph"/>
        <w:numPr>
          <w:ilvl w:val="0"/>
          <w:numId w:val="2"/>
        </w:numPr>
        <w:spacing w:after="80"/>
      </w:pPr>
      <w:r>
        <w:rPr>
          <w:rFonts w:ascii="Arial" w:cs="Arial" w:eastAsia="Arial" w:hAnsi="Arial"/>
        </w:rPr>
        <w:t xml:space="preserve">Los filtros de Estado (Todos, En Progreso, Por Hacer, Bloqueados, Completados) y de Fecha (Todas, Vencidos, Hoy, Esta Semana) permiten acotar la lista.</w:t>
      </w:r>
    </w:p>
    <w:p>
      <w:pPr>
        <w:spacing w:after="80" w:before="200"/>
        <w:jc w:val="center"/>
      </w:pPr>
      <w:r>
        <w:drawing>
          <wp:inline distT="0" distB="0" distL="0" distR="0">
            <wp:extent cx="5667375" cy="2609850"/>
            <wp:effectExtent t="0" r="0" b="0" l="0"/>
            <wp:docPr id="1" name="captura" descr="Captura de pantalla de CoreStream" title="Cap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2609850"/>
                    </a:xfrm>
                    <a:prstGeom prst="rect">
                      <a:avLst/>
                    </a:prstGeom>
                  </pic:spPr>
                </pic:pic>
              </a:graphicData>
            </a:graphic>
          </wp:inline>
        </w:drawing>
      </w:r>
    </w:p>
    <w:p>
      <w:pPr>
        <w:spacing w:after="360" w:before="120"/>
        <w:jc w:val="center"/>
      </w:pPr>
      <w:r>
        <w:rPr>
          <w:rFonts w:ascii="Arial" w:cs="Arial" w:eastAsia="Arial" w:hAnsi="Arial"/>
          <w:i/>
          <w:iCs/>
          <w:color w:val="64748B"/>
          <w:sz w:val="20"/>
          <w:szCs w:val="20"/>
        </w:rPr>
        <w:t xml:space="preserve">Figura 15: Workbench – Mis Tickets</w:t>
      </w:r>
    </w:p>
    <w:p>
      <w:pPr>
        <w:pStyle w:val="Heading3"/>
      </w:pPr>
      <w:r>
        <w:t xml:space="preserve">3.1.2 Panel de Acciones del Ticket</w:t>
      </w:r>
    </w:p>
    <w:p>
      <w:pPr>
        <w:spacing w:after="120"/>
      </w:pPr>
      <w:r>
        <w:rPr>
          <w:rFonts w:ascii="Arial" w:cs="Arial" w:eastAsia="Arial" w:hAnsi="Arial"/>
        </w:rPr>
        <w:t xml:space="preserve">Al abrir un ticket se muestra su Estado y Prioridad, un cronómetro con el tiempo acumulado en el ticket, el campo para el enlace del Pull Request y la lista de Subtareas con su progreso.</w:t>
      </w:r>
    </w:p>
    <w:p>
      <w:pPr>
        <w:spacing w:after="80" w:before="200"/>
        <w:jc w:val="center"/>
      </w:pPr>
      <w:r>
        <w:drawing>
          <wp:inline distT="0" distB="0" distL="0" distR="0">
            <wp:extent cx="2562225" cy="3790950"/>
            <wp:effectExtent t="0" r="0" b="0" l="0"/>
            <wp:docPr id="1" name="captura" descr="Captura de pantalla de CoreStream" title="Cap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562225" cy="3790950"/>
                    </a:xfrm>
                    <a:prstGeom prst="rect">
                      <a:avLst/>
                    </a:prstGeom>
                  </pic:spPr>
                </pic:pic>
              </a:graphicData>
            </a:graphic>
          </wp:inline>
        </w:drawing>
      </w:r>
    </w:p>
    <w:p>
      <w:pPr>
        <w:spacing w:after="360" w:before="120"/>
        <w:jc w:val="center"/>
      </w:pPr>
      <w:r>
        <w:rPr>
          <w:rFonts w:ascii="Arial" w:cs="Arial" w:eastAsia="Arial" w:hAnsi="Arial"/>
          <w:i/>
          <w:iCs/>
          <w:color w:val="64748B"/>
          <w:sz w:val="20"/>
          <w:szCs w:val="20"/>
        </w:rPr>
        <w:t xml:space="preserve">Figura 16: Panel de detalle y acciones de un ticket</w:t>
      </w:r>
    </w:p>
    <w:p>
      <w:pPr>
        <w:pStyle w:val="Heading3"/>
      </w:pPr>
      <w:r>
        <w:t xml:space="preserve">3.1.3 Acciones del Ticket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BD5E1" w:sz="2"/>
              <w:left w:val="single" w:color="CBD5E1" w:sz="2"/>
              <w:bottom w:val="single" w:color="CBD5E1" w:sz="2"/>
              <w:right w:val="single" w:color="CBD5E1" w:sz="2"/>
            </w:tcBorders>
            <w:shd w:fill="DCE7FB" w:val="clear"/>
            <w:tcMar>
              <w:top w:type="dxa" w:w="100"/>
              <w:left w:type="dxa" w:w="120"/>
              <w:bottom w:type="dxa" w:w="100"/>
              <w:right w:type="dxa" w:w="120"/>
            </w:tcMar>
            <w:vAlign w:val="center"/>
          </w:tcPr>
          <w:p>
            <w:r>
              <w:rPr>
                <w:rFonts w:ascii="Arial" w:cs="Arial" w:eastAsia="Arial" w:hAnsi="Arial"/>
                <w:b/>
                <w:bCs/>
                <w:color w:val="1B2A4A"/>
                <w:sz w:val="21"/>
                <w:szCs w:val="21"/>
              </w:rPr>
              <w:t xml:space="preserve">Acción</w:t>
            </w:r>
          </w:p>
        </w:tc>
        <w:tc>
          <w:tcPr>
            <w:tcW w:type="dxa" w:w="7060"/>
            <w:tcBorders>
              <w:top w:val="single" w:color="CBD5E1" w:sz="2"/>
              <w:left w:val="single" w:color="CBD5E1" w:sz="2"/>
              <w:bottom w:val="single" w:color="CBD5E1" w:sz="2"/>
              <w:right w:val="single" w:color="CBD5E1" w:sz="2"/>
            </w:tcBorders>
            <w:shd w:fill="DCE7FB" w:val="clear"/>
            <w:tcMar>
              <w:top w:type="dxa" w:w="100"/>
              <w:left w:type="dxa" w:w="120"/>
              <w:bottom w:type="dxa" w:w="100"/>
              <w:right w:type="dxa" w:w="120"/>
            </w:tcMar>
            <w:vAlign w:val="center"/>
          </w:tcPr>
          <w:p>
            <w:r>
              <w:rPr>
                <w:rFonts w:ascii="Arial" w:cs="Arial" w:eastAsia="Arial" w:hAnsi="Arial"/>
                <w:b/>
                <w:bCs/>
                <w:color w:val="1B2A4A"/>
                <w:sz w:val="21"/>
                <w:szCs w:val="21"/>
              </w:rPr>
              <w:t xml:space="preserve">Descripción</w:t>
            </w:r>
          </w:p>
        </w:tc>
      </w:tr>
      <w:tr>
        <w:tc>
          <w:tcPr>
            <w:tcW w:type="dxa" w:w="2300"/>
            <w:tcBorders>
              <w:top w:val="single" w:color="CBD5E1" w:sz="2"/>
              <w:left w:val="single" w:color="CBD5E1" w:sz="2"/>
              <w:bottom w:val="single" w:color="CBD5E1" w:sz="2"/>
              <w:right w:val="single" w:color="CBD5E1" w:sz="2"/>
            </w:tcBorders>
            <w:tcMar>
              <w:top w:type="dxa" w:w="100"/>
              <w:left w:type="dxa" w:w="120"/>
              <w:bottom w:type="dxa" w:w="100"/>
              <w:right w:type="dxa" w:w="120"/>
            </w:tcMar>
            <w:vAlign w:val="center"/>
          </w:tcPr>
          <w:p>
            <w:r>
              <w:rPr>
                <w:rFonts w:ascii="Arial" w:cs="Arial" w:eastAsia="Arial" w:hAnsi="Arial"/>
                <w:b/>
                <w:bCs/>
                <w:sz w:val="21"/>
                <w:szCs w:val="21"/>
              </w:rPr>
              <w:t xml:space="preserve">Completar Ticket</w:t>
            </w:r>
          </w:p>
        </w:tc>
        <w:tc>
          <w:tcPr>
            <w:tcW w:type="dxa" w:w="7060"/>
            <w:tcBorders>
              <w:top w:val="single" w:color="CBD5E1" w:sz="2"/>
              <w:left w:val="single" w:color="CBD5E1" w:sz="2"/>
              <w:bottom w:val="single" w:color="CBD5E1" w:sz="2"/>
              <w:right w:val="single" w:color="CBD5E1" w:sz="2"/>
            </w:tcBorders>
            <w:tcMar>
              <w:top w:type="dxa" w:w="100"/>
              <w:left w:type="dxa" w:w="120"/>
              <w:bottom w:type="dxa" w:w="100"/>
              <w:right w:type="dxa" w:w="120"/>
            </w:tcMar>
            <w:vAlign w:val="center"/>
          </w:tcPr>
          <w:p>
            <w:r>
              <w:rPr>
                <w:rFonts w:ascii="Arial" w:cs="Arial" w:eastAsia="Arial" w:hAnsi="Arial"/>
                <w:b w:val="false"/>
                <w:bCs w:val="false"/>
                <w:sz w:val="21"/>
                <w:szCs w:val="21"/>
              </w:rPr>
              <w:t xml:space="preserve">Marca el ticket como finalizado. El botón permanece deshabilitado hasta ingresar un enlace de Pull Request válido.</w:t>
            </w:r>
          </w:p>
        </w:tc>
      </w:tr>
      <w:tr>
        <w:tc>
          <w:tcPr>
            <w:tcW w:type="dxa" w:w="2300"/>
            <w:tcBorders>
              <w:top w:val="single" w:color="CBD5E1" w:sz="2"/>
              <w:left w:val="single" w:color="CBD5E1" w:sz="2"/>
              <w:bottom w:val="single" w:color="CBD5E1" w:sz="2"/>
              <w:right w:val="single" w:color="CBD5E1" w:sz="2"/>
            </w:tcBorders>
            <w:tcMar>
              <w:top w:type="dxa" w:w="100"/>
              <w:left w:type="dxa" w:w="120"/>
              <w:bottom w:type="dxa" w:w="100"/>
              <w:right w:type="dxa" w:w="120"/>
            </w:tcMar>
            <w:vAlign w:val="center"/>
          </w:tcPr>
          <w:p>
            <w:r>
              <w:rPr>
                <w:rFonts w:ascii="Arial" w:cs="Arial" w:eastAsia="Arial" w:hAnsi="Arial"/>
                <w:b/>
                <w:bCs/>
                <w:sz w:val="21"/>
                <w:szCs w:val="21"/>
              </w:rPr>
              <w:t xml:space="preserve">Preguntar</w:t>
            </w:r>
          </w:p>
        </w:tc>
        <w:tc>
          <w:tcPr>
            <w:tcW w:type="dxa" w:w="7060"/>
            <w:tcBorders>
              <w:top w:val="single" w:color="CBD5E1" w:sz="2"/>
              <w:left w:val="single" w:color="CBD5E1" w:sz="2"/>
              <w:bottom w:val="single" w:color="CBD5E1" w:sz="2"/>
              <w:right w:val="single" w:color="CBD5E1" w:sz="2"/>
            </w:tcBorders>
            <w:tcMar>
              <w:top w:type="dxa" w:w="100"/>
              <w:left w:type="dxa" w:w="120"/>
              <w:bottom w:type="dxa" w:w="100"/>
              <w:right w:type="dxa" w:w="120"/>
            </w:tcMar>
            <w:vAlign w:val="center"/>
          </w:tcPr>
          <w:p>
            <w:r>
              <w:rPr>
                <w:rFonts w:ascii="Arial" w:cs="Arial" w:eastAsia="Arial" w:hAnsi="Arial"/>
                <w:b w:val="false"/>
                <w:bCs w:val="false"/>
                <w:sz w:val="21"/>
                <w:szCs w:val="21"/>
              </w:rPr>
              <w:t xml:space="preserve">Bloquea el ticket adjuntando una pregunta o impedimento, para que el equipo lo resuelva antes de continuar.</w:t>
            </w:r>
          </w:p>
        </w:tc>
      </w:tr>
      <w:tr>
        <w:tc>
          <w:tcPr>
            <w:tcW w:type="dxa" w:w="2300"/>
            <w:tcBorders>
              <w:top w:val="single" w:color="CBD5E1" w:sz="2"/>
              <w:left w:val="single" w:color="CBD5E1" w:sz="2"/>
              <w:bottom w:val="single" w:color="CBD5E1" w:sz="2"/>
              <w:right w:val="single" w:color="CBD5E1" w:sz="2"/>
            </w:tcBorders>
            <w:tcMar>
              <w:top w:type="dxa" w:w="100"/>
              <w:left w:type="dxa" w:w="120"/>
              <w:bottom w:type="dxa" w:w="100"/>
              <w:right w:type="dxa" w:w="120"/>
            </w:tcMar>
            <w:vAlign w:val="center"/>
          </w:tcPr>
          <w:p>
            <w:r>
              <w:rPr>
                <w:rFonts w:ascii="Arial" w:cs="Arial" w:eastAsia="Arial" w:hAnsi="Arial"/>
                <w:b/>
                <w:bCs/>
                <w:sz w:val="21"/>
                <w:szCs w:val="21"/>
              </w:rPr>
              <w:t xml:space="preserve">Redireccionar</w:t>
            </w:r>
          </w:p>
        </w:tc>
        <w:tc>
          <w:tcPr>
            <w:tcW w:type="dxa" w:w="7060"/>
            <w:tcBorders>
              <w:top w:val="single" w:color="CBD5E1" w:sz="2"/>
              <w:left w:val="single" w:color="CBD5E1" w:sz="2"/>
              <w:bottom w:val="single" w:color="CBD5E1" w:sz="2"/>
              <w:right w:val="single" w:color="CBD5E1" w:sz="2"/>
            </w:tcBorders>
            <w:tcMar>
              <w:top w:type="dxa" w:w="100"/>
              <w:left w:type="dxa" w:w="120"/>
              <w:bottom w:type="dxa" w:w="100"/>
              <w:right w:type="dxa" w:w="120"/>
            </w:tcMar>
            <w:vAlign w:val="center"/>
          </w:tcPr>
          <w:p>
            <w:r>
              <w:rPr>
                <w:rFonts w:ascii="Arial" w:cs="Arial" w:eastAsia="Arial" w:hAnsi="Arial"/>
                <w:b w:val="false"/>
                <w:bCs w:val="false"/>
                <w:sz w:val="21"/>
                <w:szCs w:val="21"/>
              </w:rPr>
              <w:t xml:space="preserve">Transfiere el ticket a otro miembro del equipo cuando no corresponde al desarrollador actual.</w:t>
            </w:r>
          </w:p>
        </w:tc>
      </w:tr>
    </w:tbl>
    <w:p>
      <w:pPr>
        <w:pStyle w:val="Heading2"/>
      </w:pPr>
      <w:r>
        <w:t xml:space="preserve">3.2 Mis Archivos</w:t>
      </w:r>
    </w:p>
    <w:p>
      <w:pPr>
        <w:spacing w:after="120"/>
      </w:pPr>
      <w:r>
        <w:rPr>
          <w:rFonts w:ascii="Arial" w:cs="Arial" w:eastAsia="Arial" w:hAnsi="Arial"/>
        </w:rPr>
        <w:t xml:space="preserve">Sección para subir y gestionar archivos de código o documentación asociados al trabajo del usuario.</w:t>
      </w:r>
    </w:p>
    <w:p>
      <w:pPr>
        <w:pStyle w:val="ListParagraph"/>
        <w:numPr>
          <w:ilvl w:val="0"/>
          <w:numId w:val="2"/>
        </w:numPr>
        <w:spacing w:after="80"/>
      </w:pPr>
      <w:r>
        <w:rPr>
          <w:rFonts w:ascii="Arial" w:cs="Arial" w:eastAsia="Arial" w:hAnsi="Arial"/>
        </w:rPr>
        <w:t xml:space="preserve">Antes de subir un archivo, puede asociarlo opcionalmente a una Épica y/o a un Ticket específico mediante los selectores correspondientes.</w:t>
      </w:r>
    </w:p>
    <w:p>
      <w:pPr>
        <w:pStyle w:val="ListParagraph"/>
        <w:numPr>
          <w:ilvl w:val="0"/>
          <w:numId w:val="2"/>
        </w:numPr>
        <w:spacing w:after="80"/>
      </w:pPr>
      <w:r>
        <w:rPr>
          <w:rFonts w:ascii="Arial" w:cs="Arial" w:eastAsia="Arial" w:hAnsi="Arial"/>
        </w:rPr>
        <w:t xml:space="preserve">Los archivos se suben arrastrándolos al recuadro o mediante el botón “Seleccionar Archivos” (máximo 25 MB por archivo).</w:t>
      </w:r>
    </w:p>
    <w:p>
      <w:pPr>
        <w:pStyle w:val="ListParagraph"/>
        <w:numPr>
          <w:ilvl w:val="0"/>
          <w:numId w:val="2"/>
        </w:numPr>
        <w:spacing w:after="80"/>
      </w:pPr>
      <w:r>
        <w:rPr>
          <w:rFonts w:ascii="Arial" w:cs="Arial" w:eastAsia="Arial" w:hAnsi="Arial"/>
        </w:rPr>
        <w:t xml:space="preserve">Se aceptan tres categorías: Código (.py, .js, .java, .go, etc.), Documentación (.md, .pdf, .docx, .txt) y Datos (.json, .yaml, .sql, .csv).</w:t>
      </w:r>
    </w:p>
    <w:p>
      <w:pPr>
        <w:pStyle w:val="ListParagraph"/>
        <w:numPr>
          <w:ilvl w:val="0"/>
          <w:numId w:val="2"/>
        </w:numPr>
        <w:spacing w:after="80"/>
      </w:pPr>
      <w:r>
        <w:rPr>
          <w:rFonts w:ascii="Arial" w:cs="Arial" w:eastAsia="Arial" w:hAnsi="Arial"/>
        </w:rPr>
        <w:t xml:space="preserve">Cada archivo subido aparece en la lista “Archivos” con su tamaño y fecha, y puede descargarse o eliminarse desde los iconos de la derecha.</w:t>
      </w:r>
    </w:p>
    <w:p>
      <w:pPr>
        <w:spacing w:after="80" w:before="200"/>
        <w:jc w:val="center"/>
      </w:pPr>
      <w:r>
        <w:drawing>
          <wp:inline distT="0" distB="0" distL="0" distR="0">
            <wp:extent cx="5667375" cy="2695575"/>
            <wp:effectExtent t="0" r="0" b="0" l="0"/>
            <wp:docPr id="1" name="captura" descr="Captura de pantalla de CoreStream" title="Cap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67375" cy="2695575"/>
                    </a:xfrm>
                    <a:prstGeom prst="rect">
                      <a:avLst/>
                    </a:prstGeom>
                  </pic:spPr>
                </pic:pic>
              </a:graphicData>
            </a:graphic>
          </wp:inline>
        </w:drawing>
      </w:r>
    </w:p>
    <w:p>
      <w:pPr>
        <w:spacing w:after="360" w:before="120"/>
        <w:jc w:val="center"/>
      </w:pPr>
      <w:r>
        <w:rPr>
          <w:rFonts w:ascii="Arial" w:cs="Arial" w:eastAsia="Arial" w:hAnsi="Arial"/>
          <w:i/>
          <w:iCs/>
          <w:color w:val="64748B"/>
          <w:sz w:val="20"/>
          <w:szCs w:val="20"/>
        </w:rPr>
        <w:t xml:space="preserve">Figura 17: Mis Archivos – subida de código y documentación</w:t>
      </w:r>
    </w:p>
    <w:p>
      <w:pPr>
        <w:pStyle w:val="Heading2"/>
      </w:pPr>
      <w:r>
        <w:t xml:space="preserve">3.3 Asignación de Equipo (Solo Líderes de Equipo)</w:t>
      </w:r>
    </w:p>
    <w:p>
      <w:pPr>
        <w:spacing w:after="120"/>
      </w:pPr>
      <w:r>
        <w:rPr>
          <w:rFonts w:ascii="Arial" w:cs="Arial" w:eastAsia="Arial" w:hAnsi="Arial"/>
        </w:rPr>
        <w:t xml:space="preserve">Esta sección solo es visible para usuarios con rol de Líder de Equipo. Permite distribuir los tickets de una aplicación entre los desarrolladores del equipo.</w:t>
      </w:r>
    </w:p>
    <w:p>
      <w:pPr>
        <w:pStyle w:val="Heading3"/>
      </w:pPr>
      <w:r>
        <w:t xml:space="preserve">3.3.1 Tickets Sin Asignar</w:t>
      </w:r>
    </w:p>
    <w:p>
      <w:pPr>
        <w:pStyle w:val="ListParagraph"/>
        <w:numPr>
          <w:ilvl w:val="0"/>
          <w:numId w:val="2"/>
        </w:numPr>
        <w:spacing w:after="80"/>
      </w:pPr>
      <w:r>
        <w:rPr>
          <w:rFonts w:ascii="Arial" w:cs="Arial" w:eastAsia="Arial" w:hAnsi="Arial"/>
        </w:rPr>
        <w:t xml:space="preserve">Lista los tickets de la aplicación seleccionada que todavía no tienen un desarrollador asignado, con filtros por Épica y Prioridad.</w:t>
      </w:r>
    </w:p>
    <w:p>
      <w:pPr>
        <w:pStyle w:val="ListParagraph"/>
        <w:numPr>
          <w:ilvl w:val="0"/>
          <w:numId w:val="2"/>
        </w:numPr>
        <w:spacing w:after="80"/>
      </w:pPr>
      <w:r>
        <w:rPr>
          <w:rFonts w:ascii="Arial" w:cs="Arial" w:eastAsia="Arial" w:hAnsi="Arial"/>
        </w:rPr>
        <w:t xml:space="preserve">Cuando no quedan tickets pendientes de asignar, el panel lo indica con el mensaje “No hay tickets sin asignar”.</w:t>
      </w:r>
    </w:p>
    <w:p>
      <w:pPr>
        <w:pStyle w:val="Heading3"/>
      </w:pPr>
      <w:r>
        <w:t xml:space="preserve">3.3.2 Carga por Desarrollador</w:t>
      </w:r>
    </w:p>
    <w:p>
      <w:pPr>
        <w:pStyle w:val="ListParagraph"/>
        <w:numPr>
          <w:ilvl w:val="0"/>
          <w:numId w:val="2"/>
        </w:numPr>
        <w:spacing w:after="80"/>
      </w:pPr>
      <w:r>
        <w:rPr>
          <w:rFonts w:ascii="Arial" w:cs="Arial" w:eastAsia="Arial" w:hAnsi="Arial"/>
        </w:rPr>
        <w:t xml:space="preserve">Muestra a cada desarrollador del equipo con su correo, el número de tickets asignados y una barra de carga en porcentaje.</w:t>
      </w:r>
    </w:p>
    <w:p>
      <w:pPr>
        <w:pStyle w:val="ListParagraph"/>
        <w:numPr>
          <w:ilvl w:val="0"/>
          <w:numId w:val="2"/>
        </w:numPr>
        <w:spacing w:after="80"/>
      </w:pPr>
      <w:r>
        <w:rPr>
          <w:rFonts w:ascii="Arial" w:cs="Arial" w:eastAsia="Arial" w:hAnsi="Arial"/>
        </w:rPr>
        <w:t xml:space="preserve">La flecha junto a cada nombre permite expandir el detalle de los tickets asignados a esa persona.</w:t>
      </w:r>
    </w:p>
    <w:p>
      <w:pPr>
        <w:spacing w:after="80" w:before="200"/>
        <w:jc w:val="center"/>
      </w:pPr>
      <w:r>
        <w:drawing>
          <wp:inline distT="0" distB="0" distL="0" distR="0">
            <wp:extent cx="5667375" cy="2705100"/>
            <wp:effectExtent t="0" r="0" b="0" l="0"/>
            <wp:docPr id="1" name="captura" descr="Captura de pantalla de CoreStream" title="Cap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67375" cy="2705100"/>
                    </a:xfrm>
                    <a:prstGeom prst="rect">
                      <a:avLst/>
                    </a:prstGeom>
                  </pic:spPr>
                </pic:pic>
              </a:graphicData>
            </a:graphic>
          </wp:inline>
        </w:drawing>
      </w:r>
    </w:p>
    <w:p>
      <w:pPr>
        <w:spacing w:after="360" w:before="120"/>
        <w:jc w:val="center"/>
      </w:pPr>
      <w:r>
        <w:rPr>
          <w:rFonts w:ascii="Arial" w:cs="Arial" w:eastAsia="Arial" w:hAnsi="Arial"/>
          <w:i/>
          <w:iCs/>
          <w:color w:val="64748B"/>
          <w:sz w:val="20"/>
          <w:szCs w:val="20"/>
        </w:rPr>
        <w:t xml:space="preserve">Figura 18: Asignación de Equipo – distribución de carga de trabajo</w:t>
      </w:r>
    </w:p>
    <w:p>
      <w:pPr>
        <w:pStyle w:val="Heading1"/>
        <w:pageBreakBefore/>
      </w:pPr>
      <w:r>
        <w:t xml:space="preserve">4. Módulo de Soporte</w:t>
      </w:r>
    </w:p>
    <w:p>
      <w:pPr>
        <w:spacing w:after="120"/>
      </w:pPr>
      <w:r>
        <w:rPr>
          <w:rFonts w:ascii="Arial" w:cs="Arial" w:eastAsia="Arial" w:hAnsi="Arial"/>
        </w:rPr>
        <w:t xml:space="preserve">El módulo de Soporte está disponible para todos los usuarios, sin importar su rol. Permite reportar y hacer seguimiento a los bugs detectados en la plataforma. Se accede desde la opción “Soporte” del menú lateral. En el panel principal se listan todos los bugs con su estado actual (Reportado, En Investigación o Resuelto) y filtros por severidad.</w:t>
      </w:r>
    </w:p>
    <w:p>
      <w:pPr>
        <w:spacing w:after="80" w:before="200"/>
        <w:jc w:val="center"/>
      </w:pPr>
      <w:r>
        <w:drawing>
          <wp:inline distT="0" distB="0" distL="0" distR="0">
            <wp:extent cx="5667375" cy="2762250"/>
            <wp:effectExtent t="0" r="0" b="0" l="0"/>
            <wp:docPr id="1" name="captura" descr="Captura de pantalla de CoreStream" title="Cap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67375" cy="2762250"/>
                    </a:xfrm>
                    <a:prstGeom prst="rect">
                      <a:avLst/>
                    </a:prstGeom>
                  </pic:spPr>
                </pic:pic>
              </a:graphicData>
            </a:graphic>
          </wp:inline>
        </w:drawing>
      </w:r>
    </w:p>
    <w:p>
      <w:pPr>
        <w:spacing w:after="360" w:before="120"/>
        <w:jc w:val="center"/>
      </w:pPr>
      <w:r>
        <w:rPr>
          <w:rFonts w:ascii="Arial" w:cs="Arial" w:eastAsia="Arial" w:hAnsi="Arial"/>
          <w:i/>
          <w:iCs/>
          <w:color w:val="64748B"/>
          <w:sz w:val="20"/>
          <w:szCs w:val="20"/>
        </w:rPr>
        <w:t xml:space="preserve">Figura 9: Panel de Soporte – lista de bugs y detalle de incidencia</w:t>
      </w:r>
    </w:p>
    <w:p>
      <w:pPr>
        <w:pStyle w:val="Heading2"/>
      </w:pPr>
      <w:r>
        <w:t xml:space="preserve">4.1 Reportar un Bug</w:t>
      </w:r>
    </w:p>
    <w:p>
      <w:pPr>
        <w:spacing w:after="120"/>
      </w:pPr>
      <w:r>
        <w:rPr>
          <w:rFonts w:ascii="Arial" w:cs="Arial" w:eastAsia="Arial" w:hAnsi="Arial"/>
        </w:rPr>
        <w:t xml:space="preserve">Cualquier usuario puede reportar un bug haciendo clic en “+ Reportar Bug”. Se abre el formulario con los siguientes 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2"/>
              <w:left w:val="single" w:color="CBD5E1" w:sz="2"/>
              <w:bottom w:val="single" w:color="CBD5E1" w:sz="2"/>
              <w:right w:val="single" w:color="CBD5E1" w:sz="2"/>
            </w:tcBorders>
            <w:shd w:fill="DCE7FB" w:val="clear"/>
            <w:tcMar>
              <w:top w:type="dxa" w:w="100"/>
              <w:left w:type="dxa" w:w="120"/>
              <w:bottom w:type="dxa" w:w="100"/>
              <w:right w:type="dxa" w:w="120"/>
            </w:tcMar>
            <w:vAlign w:val="center"/>
          </w:tcPr>
          <w:p>
            <w:r>
              <w:rPr>
                <w:rFonts w:ascii="Arial" w:cs="Arial" w:eastAsia="Arial" w:hAnsi="Arial"/>
                <w:b/>
                <w:bCs/>
                <w:color w:val="1B2A4A"/>
                <w:sz w:val="21"/>
                <w:szCs w:val="21"/>
              </w:rPr>
              <w:t xml:space="preserve">Campo</w:t>
            </w:r>
          </w:p>
        </w:tc>
        <w:tc>
          <w:tcPr>
            <w:tcW w:type="dxa" w:w="6960"/>
            <w:tcBorders>
              <w:top w:val="single" w:color="CBD5E1" w:sz="2"/>
              <w:left w:val="single" w:color="CBD5E1" w:sz="2"/>
              <w:bottom w:val="single" w:color="CBD5E1" w:sz="2"/>
              <w:right w:val="single" w:color="CBD5E1" w:sz="2"/>
            </w:tcBorders>
            <w:shd w:fill="DCE7FB" w:val="clear"/>
            <w:tcMar>
              <w:top w:type="dxa" w:w="100"/>
              <w:left w:type="dxa" w:w="120"/>
              <w:bottom w:type="dxa" w:w="100"/>
              <w:right w:type="dxa" w:w="120"/>
            </w:tcMar>
            <w:vAlign w:val="center"/>
          </w:tcPr>
          <w:p>
            <w:r>
              <w:rPr>
                <w:rFonts w:ascii="Arial" w:cs="Arial" w:eastAsia="Arial" w:hAnsi="Arial"/>
                <w:b/>
                <w:bCs/>
                <w:color w:val="1B2A4A"/>
                <w:sz w:val="21"/>
                <w:szCs w:val="21"/>
              </w:rPr>
              <w:t xml:space="preserve">Descripción</w:t>
            </w:r>
          </w:p>
        </w:tc>
      </w:tr>
      <w:tr>
        <w:tc>
          <w:tcPr>
            <w:tcW w:type="dxa" w:w="2400"/>
            <w:tcBorders>
              <w:top w:val="single" w:color="CBD5E1" w:sz="2"/>
              <w:left w:val="single" w:color="CBD5E1" w:sz="2"/>
              <w:bottom w:val="single" w:color="CBD5E1" w:sz="2"/>
              <w:right w:val="single" w:color="CBD5E1" w:sz="2"/>
            </w:tcBorders>
            <w:tcMar>
              <w:top w:type="dxa" w:w="100"/>
              <w:left w:type="dxa" w:w="120"/>
              <w:bottom w:type="dxa" w:w="100"/>
              <w:right w:type="dxa" w:w="120"/>
            </w:tcMar>
            <w:vAlign w:val="center"/>
          </w:tcPr>
          <w:p>
            <w:r>
              <w:rPr>
                <w:rFonts w:ascii="Arial" w:cs="Arial" w:eastAsia="Arial" w:hAnsi="Arial"/>
                <w:b/>
                <w:bCs/>
                <w:sz w:val="21"/>
                <w:szCs w:val="21"/>
              </w:rPr>
              <w:t xml:space="preserve">Título</w:t>
            </w:r>
          </w:p>
        </w:tc>
        <w:tc>
          <w:tcPr>
            <w:tcW w:type="dxa" w:w="6960"/>
            <w:tcBorders>
              <w:top w:val="single" w:color="CBD5E1" w:sz="2"/>
              <w:left w:val="single" w:color="CBD5E1" w:sz="2"/>
              <w:bottom w:val="single" w:color="CBD5E1" w:sz="2"/>
              <w:right w:val="single" w:color="CBD5E1" w:sz="2"/>
            </w:tcBorders>
            <w:tcMar>
              <w:top w:type="dxa" w:w="100"/>
              <w:left w:type="dxa" w:w="120"/>
              <w:bottom w:type="dxa" w:w="100"/>
              <w:right w:type="dxa" w:w="120"/>
            </w:tcMar>
            <w:vAlign w:val="center"/>
          </w:tcPr>
          <w:p>
            <w:r>
              <w:rPr>
                <w:rFonts w:ascii="Arial" w:cs="Arial" w:eastAsia="Arial" w:hAnsi="Arial"/>
                <w:b w:val="false"/>
                <w:bCs w:val="false"/>
                <w:sz w:val="21"/>
                <w:szCs w:val="21"/>
              </w:rPr>
              <w:t xml:space="preserve">Descripción breve del bug (obligatorio).</w:t>
            </w:r>
          </w:p>
        </w:tc>
      </w:tr>
      <w:tr>
        <w:tc>
          <w:tcPr>
            <w:tcW w:type="dxa" w:w="2400"/>
            <w:tcBorders>
              <w:top w:val="single" w:color="CBD5E1" w:sz="2"/>
              <w:left w:val="single" w:color="CBD5E1" w:sz="2"/>
              <w:bottom w:val="single" w:color="CBD5E1" w:sz="2"/>
              <w:right w:val="single" w:color="CBD5E1" w:sz="2"/>
            </w:tcBorders>
            <w:tcMar>
              <w:top w:type="dxa" w:w="100"/>
              <w:left w:type="dxa" w:w="120"/>
              <w:bottom w:type="dxa" w:w="100"/>
              <w:right w:type="dxa" w:w="120"/>
            </w:tcMar>
            <w:vAlign w:val="center"/>
          </w:tcPr>
          <w:p>
            <w:r>
              <w:rPr>
                <w:rFonts w:ascii="Arial" w:cs="Arial" w:eastAsia="Arial" w:hAnsi="Arial"/>
                <w:b/>
                <w:bCs/>
                <w:sz w:val="21"/>
                <w:szCs w:val="21"/>
              </w:rPr>
              <w:t xml:space="preserve">Descripción</w:t>
            </w:r>
          </w:p>
        </w:tc>
        <w:tc>
          <w:tcPr>
            <w:tcW w:type="dxa" w:w="6960"/>
            <w:tcBorders>
              <w:top w:val="single" w:color="CBD5E1" w:sz="2"/>
              <w:left w:val="single" w:color="CBD5E1" w:sz="2"/>
              <w:bottom w:val="single" w:color="CBD5E1" w:sz="2"/>
              <w:right w:val="single" w:color="CBD5E1" w:sz="2"/>
            </w:tcBorders>
            <w:tcMar>
              <w:top w:type="dxa" w:w="100"/>
              <w:left w:type="dxa" w:w="120"/>
              <w:bottom w:type="dxa" w:w="100"/>
              <w:right w:type="dxa" w:w="120"/>
            </w:tcMar>
            <w:vAlign w:val="center"/>
          </w:tcPr>
          <w:p>
            <w:r>
              <w:rPr>
                <w:rFonts w:ascii="Arial" w:cs="Arial" w:eastAsia="Arial" w:hAnsi="Arial"/>
                <w:b w:val="false"/>
                <w:bCs w:val="false"/>
                <w:sz w:val="21"/>
                <w:szCs w:val="21"/>
              </w:rPr>
              <w:t xml:space="preserve">Explicación del comportamiento inesperado observado.</w:t>
            </w:r>
          </w:p>
        </w:tc>
      </w:tr>
      <w:tr>
        <w:tc>
          <w:tcPr>
            <w:tcW w:type="dxa" w:w="2400"/>
            <w:tcBorders>
              <w:top w:val="single" w:color="CBD5E1" w:sz="2"/>
              <w:left w:val="single" w:color="CBD5E1" w:sz="2"/>
              <w:bottom w:val="single" w:color="CBD5E1" w:sz="2"/>
              <w:right w:val="single" w:color="CBD5E1" w:sz="2"/>
            </w:tcBorders>
            <w:tcMar>
              <w:top w:type="dxa" w:w="100"/>
              <w:left w:type="dxa" w:w="120"/>
              <w:bottom w:type="dxa" w:w="100"/>
              <w:right w:type="dxa" w:w="120"/>
            </w:tcMar>
            <w:vAlign w:val="center"/>
          </w:tcPr>
          <w:p>
            <w:r>
              <w:rPr>
                <w:rFonts w:ascii="Arial" w:cs="Arial" w:eastAsia="Arial" w:hAnsi="Arial"/>
                <w:b/>
                <w:bCs/>
                <w:sz w:val="21"/>
                <w:szCs w:val="21"/>
              </w:rPr>
              <w:t xml:space="preserve">Severidad</w:t>
            </w:r>
          </w:p>
        </w:tc>
        <w:tc>
          <w:tcPr>
            <w:tcW w:type="dxa" w:w="6960"/>
            <w:tcBorders>
              <w:top w:val="single" w:color="CBD5E1" w:sz="2"/>
              <w:left w:val="single" w:color="CBD5E1" w:sz="2"/>
              <w:bottom w:val="single" w:color="CBD5E1" w:sz="2"/>
              <w:right w:val="single" w:color="CBD5E1" w:sz="2"/>
            </w:tcBorders>
            <w:tcMar>
              <w:top w:type="dxa" w:w="100"/>
              <w:left w:type="dxa" w:w="120"/>
              <w:bottom w:type="dxa" w:w="100"/>
              <w:right w:type="dxa" w:w="120"/>
            </w:tcMar>
            <w:vAlign w:val="center"/>
          </w:tcPr>
          <w:p>
            <w:r>
              <w:rPr>
                <w:rFonts w:ascii="Arial" w:cs="Arial" w:eastAsia="Arial" w:hAnsi="Arial"/>
                <w:b w:val="false"/>
                <w:bCs w:val="false"/>
                <w:sz w:val="21"/>
                <w:szCs w:val="21"/>
              </w:rPr>
              <w:t xml:space="preserve">Nivel de impacto: Crítica, Alta, Media o Baja (por defecto: Media).</w:t>
            </w:r>
          </w:p>
        </w:tc>
      </w:tr>
      <w:tr>
        <w:tc>
          <w:tcPr>
            <w:tcW w:type="dxa" w:w="2400"/>
            <w:tcBorders>
              <w:top w:val="single" w:color="CBD5E1" w:sz="2"/>
              <w:left w:val="single" w:color="CBD5E1" w:sz="2"/>
              <w:bottom w:val="single" w:color="CBD5E1" w:sz="2"/>
              <w:right w:val="single" w:color="CBD5E1" w:sz="2"/>
            </w:tcBorders>
            <w:tcMar>
              <w:top w:type="dxa" w:w="100"/>
              <w:left w:type="dxa" w:w="120"/>
              <w:bottom w:type="dxa" w:w="100"/>
              <w:right w:type="dxa" w:w="120"/>
            </w:tcMar>
            <w:vAlign w:val="center"/>
          </w:tcPr>
          <w:p>
            <w:r>
              <w:rPr>
                <w:rFonts w:ascii="Arial" w:cs="Arial" w:eastAsia="Arial" w:hAnsi="Arial"/>
                <w:b/>
                <w:bCs/>
                <w:sz w:val="21"/>
                <w:szCs w:val="21"/>
              </w:rPr>
              <w:t xml:space="preserve">Ticket relacionado</w:t>
            </w:r>
          </w:p>
        </w:tc>
        <w:tc>
          <w:tcPr>
            <w:tcW w:type="dxa" w:w="6960"/>
            <w:tcBorders>
              <w:top w:val="single" w:color="CBD5E1" w:sz="2"/>
              <w:left w:val="single" w:color="CBD5E1" w:sz="2"/>
              <w:bottom w:val="single" w:color="CBD5E1" w:sz="2"/>
              <w:right w:val="single" w:color="CBD5E1" w:sz="2"/>
            </w:tcBorders>
            <w:tcMar>
              <w:top w:type="dxa" w:w="100"/>
              <w:left w:type="dxa" w:w="120"/>
              <w:bottom w:type="dxa" w:w="100"/>
              <w:right w:type="dxa" w:w="120"/>
            </w:tcMar>
            <w:vAlign w:val="center"/>
          </w:tcPr>
          <w:p>
            <w:r>
              <w:rPr>
                <w:rFonts w:ascii="Arial" w:cs="Arial" w:eastAsia="Arial" w:hAnsi="Arial"/>
                <w:b w:val="false"/>
                <w:bCs w:val="false"/>
                <w:sz w:val="21"/>
                <w:szCs w:val="21"/>
              </w:rPr>
              <w:t xml:space="preserve">Asocia el bug a un ticket existente (opcional).</w:t>
            </w:r>
          </w:p>
        </w:tc>
      </w:tr>
      <w:tr>
        <w:tc>
          <w:tcPr>
            <w:tcW w:type="dxa" w:w="2400"/>
            <w:tcBorders>
              <w:top w:val="single" w:color="CBD5E1" w:sz="2"/>
              <w:left w:val="single" w:color="CBD5E1" w:sz="2"/>
              <w:bottom w:val="single" w:color="CBD5E1" w:sz="2"/>
              <w:right w:val="single" w:color="CBD5E1" w:sz="2"/>
            </w:tcBorders>
            <w:tcMar>
              <w:top w:type="dxa" w:w="100"/>
              <w:left w:type="dxa" w:w="120"/>
              <w:bottom w:type="dxa" w:w="100"/>
              <w:right w:type="dxa" w:w="120"/>
            </w:tcMar>
            <w:vAlign w:val="center"/>
          </w:tcPr>
          <w:p>
            <w:r>
              <w:rPr>
                <w:rFonts w:ascii="Arial" w:cs="Arial" w:eastAsia="Arial" w:hAnsi="Arial"/>
                <w:b/>
                <w:bCs/>
                <w:sz w:val="21"/>
                <w:szCs w:val="21"/>
              </w:rPr>
              <w:t xml:space="preserve">Pasos de reproducción</w:t>
            </w:r>
          </w:p>
        </w:tc>
        <w:tc>
          <w:tcPr>
            <w:tcW w:type="dxa" w:w="6960"/>
            <w:tcBorders>
              <w:top w:val="single" w:color="CBD5E1" w:sz="2"/>
              <w:left w:val="single" w:color="CBD5E1" w:sz="2"/>
              <w:bottom w:val="single" w:color="CBD5E1" w:sz="2"/>
              <w:right w:val="single" w:color="CBD5E1" w:sz="2"/>
            </w:tcBorders>
            <w:tcMar>
              <w:top w:type="dxa" w:w="100"/>
              <w:left w:type="dxa" w:w="120"/>
              <w:bottom w:type="dxa" w:w="100"/>
              <w:right w:type="dxa" w:w="120"/>
            </w:tcMar>
            <w:vAlign w:val="center"/>
          </w:tcPr>
          <w:p>
            <w:r>
              <w:rPr>
                <w:rFonts w:ascii="Arial" w:cs="Arial" w:eastAsia="Arial" w:hAnsi="Arial"/>
                <w:b w:val="false"/>
                <w:bCs w:val="false"/>
                <w:sz w:val="21"/>
                <w:szCs w:val="21"/>
              </w:rPr>
              <w:t xml:space="preserve">Secuencia de pasos numerados para reproducir el problema.</w:t>
            </w:r>
          </w:p>
        </w:tc>
      </w:tr>
      <w:tr>
        <w:tc>
          <w:tcPr>
            <w:tcW w:type="dxa" w:w="2400"/>
            <w:tcBorders>
              <w:top w:val="single" w:color="CBD5E1" w:sz="2"/>
              <w:left w:val="single" w:color="CBD5E1" w:sz="2"/>
              <w:bottom w:val="single" w:color="CBD5E1" w:sz="2"/>
              <w:right w:val="single" w:color="CBD5E1" w:sz="2"/>
            </w:tcBorders>
            <w:tcMar>
              <w:top w:type="dxa" w:w="100"/>
              <w:left w:type="dxa" w:w="120"/>
              <w:bottom w:type="dxa" w:w="100"/>
              <w:right w:type="dxa" w:w="120"/>
            </w:tcMar>
            <w:vAlign w:val="center"/>
          </w:tcPr>
          <w:p>
            <w:r>
              <w:rPr>
                <w:rFonts w:ascii="Arial" w:cs="Arial" w:eastAsia="Arial" w:hAnsi="Arial"/>
                <w:b/>
                <w:bCs/>
                <w:sz w:val="21"/>
                <w:szCs w:val="21"/>
              </w:rPr>
              <w:t xml:space="preserve">Stack Trace</w:t>
            </w:r>
          </w:p>
        </w:tc>
        <w:tc>
          <w:tcPr>
            <w:tcW w:type="dxa" w:w="6960"/>
            <w:tcBorders>
              <w:top w:val="single" w:color="CBD5E1" w:sz="2"/>
              <w:left w:val="single" w:color="CBD5E1" w:sz="2"/>
              <w:bottom w:val="single" w:color="CBD5E1" w:sz="2"/>
              <w:right w:val="single" w:color="CBD5E1" w:sz="2"/>
            </w:tcBorders>
            <w:tcMar>
              <w:top w:type="dxa" w:w="100"/>
              <w:left w:type="dxa" w:w="120"/>
              <w:bottom w:type="dxa" w:w="100"/>
              <w:right w:type="dxa" w:w="120"/>
            </w:tcMar>
            <w:vAlign w:val="center"/>
          </w:tcPr>
          <w:p>
            <w:r>
              <w:rPr>
                <w:rFonts w:ascii="Arial" w:cs="Arial" w:eastAsia="Arial" w:hAnsi="Arial"/>
                <w:b w:val="false"/>
                <w:bCs w:val="false"/>
                <w:sz w:val="21"/>
                <w:szCs w:val="21"/>
              </w:rPr>
              <w:t xml:space="preserve">Mensaje de error técnico o traza del error (opcional).</w:t>
            </w:r>
          </w:p>
        </w:tc>
      </w:tr>
      <w:tr>
        <w:tc>
          <w:tcPr>
            <w:tcW w:type="dxa" w:w="2400"/>
            <w:tcBorders>
              <w:top w:val="single" w:color="CBD5E1" w:sz="2"/>
              <w:left w:val="single" w:color="CBD5E1" w:sz="2"/>
              <w:bottom w:val="single" w:color="CBD5E1" w:sz="2"/>
              <w:right w:val="single" w:color="CBD5E1" w:sz="2"/>
            </w:tcBorders>
            <w:tcMar>
              <w:top w:type="dxa" w:w="100"/>
              <w:left w:type="dxa" w:w="120"/>
              <w:bottom w:type="dxa" w:w="100"/>
              <w:right w:type="dxa" w:w="120"/>
            </w:tcMar>
            <w:vAlign w:val="center"/>
          </w:tcPr>
          <w:p>
            <w:r>
              <w:rPr>
                <w:rFonts w:ascii="Arial" w:cs="Arial" w:eastAsia="Arial" w:hAnsi="Arial"/>
                <w:b/>
                <w:bCs/>
                <w:sz w:val="21"/>
                <w:szCs w:val="21"/>
              </w:rPr>
              <w:t xml:space="preserve">Navegador / S.O.</w:t>
            </w:r>
          </w:p>
        </w:tc>
        <w:tc>
          <w:tcPr>
            <w:tcW w:type="dxa" w:w="6960"/>
            <w:tcBorders>
              <w:top w:val="single" w:color="CBD5E1" w:sz="2"/>
              <w:left w:val="single" w:color="CBD5E1" w:sz="2"/>
              <w:bottom w:val="single" w:color="CBD5E1" w:sz="2"/>
              <w:right w:val="single" w:color="CBD5E1" w:sz="2"/>
            </w:tcBorders>
            <w:tcMar>
              <w:top w:type="dxa" w:w="100"/>
              <w:left w:type="dxa" w:w="120"/>
              <w:bottom w:type="dxa" w:w="100"/>
              <w:right w:type="dxa" w:w="120"/>
            </w:tcMar>
            <w:vAlign w:val="center"/>
          </w:tcPr>
          <w:p>
            <w:r>
              <w:rPr>
                <w:rFonts w:ascii="Arial" w:cs="Arial" w:eastAsia="Arial" w:hAnsi="Arial"/>
                <w:b w:val="false"/>
                <w:bCs w:val="false"/>
                <w:sz w:val="21"/>
                <w:szCs w:val="21"/>
              </w:rPr>
              <w:t xml:space="preserve">Entorno donde se reproduce el bug (se autocompleta con sugerencias).</w:t>
            </w:r>
          </w:p>
        </w:tc>
      </w:tr>
    </w:tbl>
    <w:p>
      <w:pPr>
        <w:spacing w:after="120" w:before="160"/>
      </w:pPr>
      <w:r>
        <w:rPr>
          <w:rFonts w:ascii="Arial" w:cs="Arial" w:eastAsia="Arial" w:hAnsi="Arial"/>
        </w:rPr>
        <w:t xml:space="preserve">Una vez completado, haga clic en “Reportar Bug” para enviarlo, o “Cancelar” para descartarlo.</w:t>
      </w:r>
    </w:p>
    <w:p>
      <w:pPr>
        <w:spacing w:after="80" w:before="200"/>
        <w:jc w:val="center"/>
      </w:pPr>
      <w:r>
        <w:drawing>
          <wp:inline distT="0" distB="0" distL="0" distR="0">
            <wp:extent cx="2924175" cy="3619500"/>
            <wp:effectExtent t="0" r="0" b="0" l="0"/>
            <wp:docPr id="1" name="captura" descr="Captura de pantalla de CoreStream" title="Cap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924175" cy="3619500"/>
                    </a:xfrm>
                    <a:prstGeom prst="rect">
                      <a:avLst/>
                    </a:prstGeom>
                  </pic:spPr>
                </pic:pic>
              </a:graphicData>
            </a:graphic>
          </wp:inline>
        </w:drawing>
      </w:r>
    </w:p>
    <w:p>
      <w:pPr>
        <w:spacing w:after="360" w:before="120"/>
        <w:jc w:val="center"/>
      </w:pPr>
      <w:r>
        <w:rPr>
          <w:rFonts w:ascii="Arial" w:cs="Arial" w:eastAsia="Arial" w:hAnsi="Arial"/>
          <w:i/>
          <w:iCs/>
          <w:color w:val="64748B"/>
          <w:sz w:val="20"/>
          <w:szCs w:val="20"/>
        </w:rPr>
        <w:t xml:space="preserve">Figura 10: Formulario “Reportar Bug”</w:t>
      </w:r>
    </w:p>
    <w:p>
      <w:pPr>
        <w:pStyle w:val="Heading2"/>
      </w:pPr>
      <w:r>
        <w:t xml:space="preserve">4.2 Flujo de Estados de un Bug</w:t>
      </w:r>
    </w:p>
    <w:p>
      <w:pPr>
        <w:spacing w:after="120"/>
      </w:pPr>
      <w:r>
        <w:rPr>
          <w:rFonts w:ascii="Arial" w:cs="Arial" w:eastAsia="Arial" w:hAnsi="Arial"/>
        </w:rPr>
        <w:t xml:space="preserve">Cada bug avanza por tres estados que cualquier usuario puede consultar, y que avanzan mediante las acciones disponibles en el panel de detalle: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2"/>
              <w:left w:val="single" w:color="CBD5E1" w:sz="2"/>
              <w:bottom w:val="single" w:color="CBD5E1" w:sz="2"/>
              <w:right w:val="single" w:color="CBD5E1" w:sz="2"/>
            </w:tcBorders>
            <w:shd w:fill="DCE7FB" w:val="clear"/>
            <w:tcMar>
              <w:top w:type="dxa" w:w="100"/>
              <w:left w:type="dxa" w:w="120"/>
              <w:bottom w:type="dxa" w:w="100"/>
              <w:right w:type="dxa" w:w="120"/>
            </w:tcMar>
            <w:vAlign w:val="center"/>
          </w:tcPr>
          <w:p>
            <w:r>
              <w:rPr>
                <w:rFonts w:ascii="Arial" w:cs="Arial" w:eastAsia="Arial" w:hAnsi="Arial"/>
                <w:b/>
                <w:bCs/>
                <w:color w:val="1B2A4A"/>
                <w:sz w:val="21"/>
                <w:szCs w:val="21"/>
              </w:rPr>
              <w:t xml:space="preserve">Estado</w:t>
            </w:r>
          </w:p>
        </w:tc>
        <w:tc>
          <w:tcPr>
            <w:tcW w:type="dxa" w:w="6960"/>
            <w:tcBorders>
              <w:top w:val="single" w:color="CBD5E1" w:sz="2"/>
              <w:left w:val="single" w:color="CBD5E1" w:sz="2"/>
              <w:bottom w:val="single" w:color="CBD5E1" w:sz="2"/>
              <w:right w:val="single" w:color="CBD5E1" w:sz="2"/>
            </w:tcBorders>
            <w:shd w:fill="DCE7FB" w:val="clear"/>
            <w:tcMar>
              <w:top w:type="dxa" w:w="100"/>
              <w:left w:type="dxa" w:w="120"/>
              <w:bottom w:type="dxa" w:w="100"/>
              <w:right w:type="dxa" w:w="120"/>
            </w:tcMar>
            <w:vAlign w:val="center"/>
          </w:tcPr>
          <w:p>
            <w:r>
              <w:rPr>
                <w:rFonts w:ascii="Arial" w:cs="Arial" w:eastAsia="Arial" w:hAnsi="Arial"/>
                <w:b/>
                <w:bCs/>
                <w:color w:val="1B2A4A"/>
                <w:sz w:val="21"/>
                <w:szCs w:val="21"/>
              </w:rPr>
              <w:t xml:space="preserve">Descripción y acción disponible</w:t>
            </w:r>
          </w:p>
        </w:tc>
      </w:tr>
      <w:tr>
        <w:tc>
          <w:tcPr>
            <w:tcW w:type="dxa" w:w="2400"/>
            <w:tcBorders>
              <w:top w:val="single" w:color="CBD5E1" w:sz="2"/>
              <w:left w:val="single" w:color="CBD5E1" w:sz="2"/>
              <w:bottom w:val="single" w:color="CBD5E1" w:sz="2"/>
              <w:right w:val="single" w:color="CBD5E1" w:sz="2"/>
            </w:tcBorders>
            <w:tcMar>
              <w:top w:type="dxa" w:w="100"/>
              <w:left w:type="dxa" w:w="120"/>
              <w:bottom w:type="dxa" w:w="100"/>
              <w:right w:type="dxa" w:w="120"/>
            </w:tcMar>
            <w:vAlign w:val="center"/>
          </w:tcPr>
          <w:p>
            <w:r>
              <w:rPr>
                <w:rFonts w:ascii="Arial" w:cs="Arial" w:eastAsia="Arial" w:hAnsi="Arial"/>
                <w:b/>
                <w:bCs/>
                <w:sz w:val="21"/>
                <w:szCs w:val="21"/>
              </w:rPr>
              <w:t xml:space="preserve">Reportado</w:t>
            </w:r>
          </w:p>
        </w:tc>
        <w:tc>
          <w:tcPr>
            <w:tcW w:type="dxa" w:w="6960"/>
            <w:tcBorders>
              <w:top w:val="single" w:color="CBD5E1" w:sz="2"/>
              <w:left w:val="single" w:color="CBD5E1" w:sz="2"/>
              <w:bottom w:val="single" w:color="CBD5E1" w:sz="2"/>
              <w:right w:val="single" w:color="CBD5E1" w:sz="2"/>
            </w:tcBorders>
            <w:tcMar>
              <w:top w:type="dxa" w:w="100"/>
              <w:left w:type="dxa" w:w="120"/>
              <w:bottom w:type="dxa" w:w="100"/>
              <w:right w:type="dxa" w:w="120"/>
            </w:tcMar>
            <w:vAlign w:val="center"/>
          </w:tcPr>
          <w:p>
            <w:r>
              <w:rPr>
                <w:rFonts w:ascii="Arial" w:cs="Arial" w:eastAsia="Arial" w:hAnsi="Arial"/>
                <w:b w:val="false"/>
                <w:bCs w:val="false"/>
                <w:sz w:val="21"/>
                <w:szCs w:val="21"/>
              </w:rPr>
              <w:t xml:space="preserve">Estado inicial al crear el bug. El botón “Iniciar Investigación” lo avanza al siguiente estado.</w:t>
            </w:r>
          </w:p>
        </w:tc>
      </w:tr>
      <w:tr>
        <w:tc>
          <w:tcPr>
            <w:tcW w:type="dxa" w:w="2400"/>
            <w:tcBorders>
              <w:top w:val="single" w:color="CBD5E1" w:sz="2"/>
              <w:left w:val="single" w:color="CBD5E1" w:sz="2"/>
              <w:bottom w:val="single" w:color="CBD5E1" w:sz="2"/>
              <w:right w:val="single" w:color="CBD5E1" w:sz="2"/>
            </w:tcBorders>
            <w:tcMar>
              <w:top w:type="dxa" w:w="100"/>
              <w:left w:type="dxa" w:w="120"/>
              <w:bottom w:type="dxa" w:w="100"/>
              <w:right w:type="dxa" w:w="120"/>
            </w:tcMar>
            <w:vAlign w:val="center"/>
          </w:tcPr>
          <w:p>
            <w:r>
              <w:rPr>
                <w:rFonts w:ascii="Arial" w:cs="Arial" w:eastAsia="Arial" w:hAnsi="Arial"/>
                <w:b/>
                <w:bCs/>
                <w:sz w:val="21"/>
                <w:szCs w:val="21"/>
              </w:rPr>
              <w:t xml:space="preserve">En Investigación</w:t>
            </w:r>
          </w:p>
        </w:tc>
        <w:tc>
          <w:tcPr>
            <w:tcW w:type="dxa" w:w="6960"/>
            <w:tcBorders>
              <w:top w:val="single" w:color="CBD5E1" w:sz="2"/>
              <w:left w:val="single" w:color="CBD5E1" w:sz="2"/>
              <w:bottom w:val="single" w:color="CBD5E1" w:sz="2"/>
              <w:right w:val="single" w:color="CBD5E1" w:sz="2"/>
            </w:tcBorders>
            <w:tcMar>
              <w:top w:type="dxa" w:w="100"/>
              <w:left w:type="dxa" w:w="120"/>
              <w:bottom w:type="dxa" w:w="100"/>
              <w:right w:type="dxa" w:w="120"/>
            </w:tcMar>
            <w:vAlign w:val="center"/>
          </w:tcPr>
          <w:p>
            <w:r>
              <w:rPr>
                <w:rFonts w:ascii="Arial" w:cs="Arial" w:eastAsia="Arial" w:hAnsi="Arial"/>
                <w:b w:val="false"/>
                <w:bCs w:val="false"/>
                <w:sz w:val="21"/>
                <w:szCs w:val="21"/>
              </w:rPr>
              <w:t xml:space="preserve">Se trabaja en la corrección. Se muestra el campo “Enlace de PR” y el botón “Marcar como Resuelto”, que requiere un PR válido.</w:t>
            </w:r>
          </w:p>
        </w:tc>
      </w:tr>
      <w:tr>
        <w:tc>
          <w:tcPr>
            <w:tcW w:type="dxa" w:w="2400"/>
            <w:tcBorders>
              <w:top w:val="single" w:color="CBD5E1" w:sz="2"/>
              <w:left w:val="single" w:color="CBD5E1" w:sz="2"/>
              <w:bottom w:val="single" w:color="CBD5E1" w:sz="2"/>
              <w:right w:val="single" w:color="CBD5E1" w:sz="2"/>
            </w:tcBorders>
            <w:tcMar>
              <w:top w:type="dxa" w:w="100"/>
              <w:left w:type="dxa" w:w="120"/>
              <w:bottom w:type="dxa" w:w="100"/>
              <w:right w:type="dxa" w:w="120"/>
            </w:tcMar>
            <w:vAlign w:val="center"/>
          </w:tcPr>
          <w:p>
            <w:r>
              <w:rPr>
                <w:rFonts w:ascii="Arial" w:cs="Arial" w:eastAsia="Arial" w:hAnsi="Arial"/>
                <w:b/>
                <w:bCs/>
                <w:sz w:val="21"/>
                <w:szCs w:val="21"/>
              </w:rPr>
              <w:t xml:space="preserve">Resuelto</w:t>
            </w:r>
          </w:p>
        </w:tc>
        <w:tc>
          <w:tcPr>
            <w:tcW w:type="dxa" w:w="6960"/>
            <w:tcBorders>
              <w:top w:val="single" w:color="CBD5E1" w:sz="2"/>
              <w:left w:val="single" w:color="CBD5E1" w:sz="2"/>
              <w:bottom w:val="single" w:color="CBD5E1" w:sz="2"/>
              <w:right w:val="single" w:color="CBD5E1" w:sz="2"/>
            </w:tcBorders>
            <w:tcMar>
              <w:top w:type="dxa" w:w="100"/>
              <w:left w:type="dxa" w:w="120"/>
              <w:bottom w:type="dxa" w:w="100"/>
              <w:right w:type="dxa" w:w="120"/>
            </w:tcMar>
            <w:vAlign w:val="center"/>
          </w:tcPr>
          <w:p>
            <w:r>
              <w:rPr>
                <w:rFonts w:ascii="Arial" w:cs="Arial" w:eastAsia="Arial" w:hAnsi="Arial"/>
                <w:b w:val="false"/>
                <w:bCs w:val="false"/>
                <w:sz w:val="21"/>
                <w:szCs w:val="21"/>
              </w:rPr>
              <w:t xml:space="preserve">El bug fue corregido y cerrado. Queda visible en el historial y en las métricas de Analítica.</w:t>
            </w:r>
          </w:p>
        </w:tc>
      </w:tr>
    </w:tbl>
    <w:p>
      <w:pPr>
        <w:spacing w:after="120" w:before="160"/>
      </w:pPr>
      <w:r>
        <w:rPr>
          <w:rFonts w:ascii="Arial" w:cs="Arial" w:eastAsia="Arial" w:hAnsi="Arial"/>
        </w:rPr>
        <w:t xml:space="preserve">El panel de detalle también muestra la descripción completa, los pasos de reproducción y el entorno (navegador y sistema operativo) reportados.</w:t>
      </w:r>
    </w:p>
    <w:p>
      <w:pPr>
        <w:spacing w:after="80" w:before="200"/>
        <w:jc w:val="center"/>
      </w:pPr>
      <w:r>
        <w:drawing>
          <wp:inline distT="0" distB="0" distL="0" distR="0">
            <wp:extent cx="5667375" cy="3714750"/>
            <wp:effectExtent t="0" r="0" b="0" l="0"/>
            <wp:docPr id="1" name="captura" descr="Captura de pantalla de CoreStream" title="Cap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67375" cy="3714750"/>
                    </a:xfrm>
                    <a:prstGeom prst="rect">
                      <a:avLst/>
                    </a:prstGeom>
                  </pic:spPr>
                </pic:pic>
              </a:graphicData>
            </a:graphic>
          </wp:inline>
        </w:drawing>
      </w:r>
    </w:p>
    <w:p>
      <w:pPr>
        <w:spacing w:after="360" w:before="120"/>
        <w:jc w:val="center"/>
      </w:pPr>
      <w:r>
        <w:rPr>
          <w:rFonts w:ascii="Arial" w:cs="Arial" w:eastAsia="Arial" w:hAnsi="Arial"/>
          <w:i/>
          <w:iCs/>
          <w:color w:val="64748B"/>
          <w:sz w:val="20"/>
          <w:szCs w:val="20"/>
        </w:rPr>
        <w:t xml:space="preserve">Figura 11: Detalle de bug en estado “En Investigación” con enlace de PR</w:t>
      </w:r>
    </w:p>
    <w:p>
      <w:pPr>
        <w:pStyle w:val="Heading1"/>
        <w:pageBreakBefore/>
      </w:pPr>
      <w:r>
        <w:t xml:space="preserve">5. Configuración</w:t>
      </w:r>
    </w:p>
    <w:p>
      <w:pPr>
        <w:spacing w:after="160"/>
      </w:pPr>
      <w:r>
        <w:rPr>
          <w:rFonts w:ascii="Arial" w:cs="Arial" w:eastAsia="Arial" w:hAnsi="Arial"/>
        </w:rPr>
        <w:t xml:space="preserve">Cualquier usuario, sin importar su rol, puede acceder a su configuración personal haciendo clic en el icono de engranaje ⚙️ ubicado junto al nombre de usuario en la barra superior. El panel de Configuración se organiza en tres bloques: Perfil, Seguridad y Preferencias.</w:t>
      </w:r>
    </w:p>
    <w:p>
      <w:pPr>
        <w:pStyle w:val="Heading2"/>
      </w:pPr>
      <w:r>
        <w:t xml:space="preserve">5.1 Perfil</w:t>
      </w:r>
    </w:p>
    <w:p>
      <w:pPr>
        <w:pStyle w:val="ListParagraph"/>
        <w:numPr>
          <w:ilvl w:val="0"/>
          <w:numId w:val="2"/>
        </w:numPr>
        <w:spacing w:after="80"/>
      </w:pPr>
      <w:r>
        <w:rPr>
          <w:rFonts w:ascii="Arial" w:cs="Arial" w:eastAsia="Arial" w:hAnsi="Arial"/>
        </w:rPr>
        <w:t xml:space="preserve">Permite editar el Nombre, Apellido y Especialidad asociados a la cuenta.</w:t>
      </w:r>
    </w:p>
    <w:p>
      <w:pPr>
        <w:pStyle w:val="ListParagraph"/>
        <w:numPr>
          <w:ilvl w:val="0"/>
          <w:numId w:val="2"/>
        </w:numPr>
        <w:spacing w:after="80"/>
      </w:pPr>
      <w:r>
        <w:rPr>
          <w:rFonts w:ascii="Arial" w:cs="Arial" w:eastAsia="Arial" w:hAnsi="Arial"/>
        </w:rPr>
        <w:t xml:space="preserve">El campo Email se muestra de referencia y no es editable desde este panel.</w:t>
      </w:r>
    </w:p>
    <w:p>
      <w:pPr>
        <w:pStyle w:val="ListParagraph"/>
        <w:numPr>
          <w:ilvl w:val="0"/>
          <w:numId w:val="2"/>
        </w:numPr>
        <w:spacing w:after="80"/>
      </w:pPr>
      <w:r>
        <w:rPr>
          <w:rFonts w:ascii="Arial" w:cs="Arial" w:eastAsia="Arial" w:hAnsi="Arial"/>
        </w:rPr>
        <w:t xml:space="preserve">Los cambios se guardan con el botón “Guardar perfil”.</w:t>
      </w:r>
    </w:p>
    <w:p>
      <w:pPr>
        <w:pStyle w:val="Heading2"/>
      </w:pPr>
      <w:r>
        <w:t xml:space="preserve">5.2 Seguridad</w:t>
      </w:r>
    </w:p>
    <w:p>
      <w:pPr>
        <w:pStyle w:val="ListParagraph"/>
        <w:numPr>
          <w:ilvl w:val="0"/>
          <w:numId w:val="2"/>
        </w:numPr>
        <w:spacing w:after="80"/>
      </w:pPr>
      <w:r>
        <w:rPr>
          <w:rFonts w:ascii="Arial" w:cs="Arial" w:eastAsia="Arial" w:hAnsi="Arial"/>
        </w:rPr>
        <w:t xml:space="preserve">Para cambiar la contraseña, ingrese la Contraseña Actual, luego la Nueva Contraseña y su confirmación.</w:t>
      </w:r>
    </w:p>
    <w:p>
      <w:pPr>
        <w:pStyle w:val="ListParagraph"/>
        <w:numPr>
          <w:ilvl w:val="0"/>
          <w:numId w:val="2"/>
        </w:numPr>
        <w:spacing w:after="80"/>
      </w:pPr>
      <w:r>
        <w:rPr>
          <w:rFonts w:ascii="Arial" w:cs="Arial" w:eastAsia="Arial" w:hAnsi="Arial"/>
        </w:rPr>
        <w:t xml:space="preserve">El icono de ojo en cada campo permite mostrar u ocultar el texto ingresado.</w:t>
      </w:r>
    </w:p>
    <w:p>
      <w:pPr>
        <w:pStyle w:val="ListParagraph"/>
        <w:numPr>
          <w:ilvl w:val="0"/>
          <w:numId w:val="2"/>
        </w:numPr>
        <w:spacing w:after="80"/>
      </w:pPr>
      <w:r>
        <w:rPr>
          <w:rFonts w:ascii="Arial" w:cs="Arial" w:eastAsia="Arial" w:hAnsi="Arial"/>
        </w:rPr>
        <w:t xml:space="preserve">Haga clic en “Cambiar contraseña” para confirmar la actualización.</w:t>
      </w:r>
    </w:p>
    <w:p>
      <w:pPr>
        <w:pStyle w:val="Heading2"/>
      </w:pPr>
      <w:r>
        <w:t xml:space="preserve">5.3 Preferencias</w:t>
      </w:r>
    </w:p>
    <w:p>
      <w:pPr>
        <w:pStyle w:val="ListParagraph"/>
        <w:numPr>
          <w:ilvl w:val="0"/>
          <w:numId w:val="2"/>
        </w:numPr>
        <w:spacing w:after="80"/>
      </w:pPr>
      <w:r>
        <w:rPr>
          <w:rFonts w:ascii="Arial" w:cs="Arial" w:eastAsia="Arial" w:hAnsi="Arial"/>
        </w:rPr>
        <w:t xml:space="preserve">Modo Oscuro: el interruptor alterna entre tema claro y oscuro para toda la interfaz.</w:t>
      </w:r>
    </w:p>
    <w:p>
      <w:pPr>
        <w:pStyle w:val="ListParagraph"/>
        <w:numPr>
          <w:ilvl w:val="0"/>
          <w:numId w:val="2"/>
        </w:numPr>
        <w:spacing w:after="80"/>
      </w:pPr>
      <w:r>
        <w:rPr>
          <w:rFonts w:ascii="Arial" w:cs="Arial" w:eastAsia="Arial" w:hAnsi="Arial"/>
        </w:rPr>
        <w:t xml:space="preserve">Idioma: el selector permite cambiar el idioma de la interfaz (Español, Inglés, Francés, Alemán, Portugués, entre otros).</w:t>
      </w:r>
    </w:p>
    <w:p>
      <w:pPr>
        <w:pStyle w:val="ListParagraph"/>
        <w:numPr>
          <w:ilvl w:val="0"/>
          <w:numId w:val="2"/>
        </w:numPr>
        <w:spacing w:after="80"/>
      </w:pPr>
      <w:r>
        <w:rPr>
          <w:rFonts w:ascii="Arial" w:cs="Arial" w:eastAsia="Arial" w:hAnsi="Arial"/>
        </w:rPr>
        <w:t xml:space="preserve">Los cambios de esta sección se confirman con “Guardar preferencias”, o se descartan con “Cancelar”.</w:t>
      </w:r>
    </w:p>
    <w:p>
      <w:pPr>
        <w:spacing w:after="80" w:before="200"/>
        <w:jc w:val="center"/>
      </w:pPr>
      <w:r>
        <w:drawing>
          <wp:inline distT="0" distB="0" distL="0" distR="0">
            <wp:extent cx="3295650" cy="3962400"/>
            <wp:effectExtent t="0" r="0" b="0" l="0"/>
            <wp:docPr id="1" name="captura" descr="Captura de pantalla de CoreStream" title="Cap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95650" cy="3962400"/>
                    </a:xfrm>
                    <a:prstGeom prst="rect">
                      <a:avLst/>
                    </a:prstGeom>
                  </pic:spPr>
                </pic:pic>
              </a:graphicData>
            </a:graphic>
          </wp:inline>
        </w:drawing>
      </w:r>
    </w:p>
    <w:p>
      <w:pPr>
        <w:spacing w:after="360" w:before="120"/>
        <w:jc w:val="center"/>
      </w:pPr>
      <w:r>
        <w:rPr>
          <w:rFonts w:ascii="Arial" w:cs="Arial" w:eastAsia="Arial" w:hAnsi="Arial"/>
          <w:i/>
          <w:iCs/>
          <w:color w:val="64748B"/>
          <w:sz w:val="20"/>
          <w:szCs w:val="20"/>
        </w:rPr>
        <w:t xml:space="preserve">Figura 19: Panel de Configuración – Perfil, Seguridad y Preferencias</w:t>
      </w:r>
    </w:p>
    <w:p>
      <w:pPr>
        <w:pStyle w:val="Heading1"/>
        <w:pageBreakBefore/>
      </w:pPr>
      <w:r>
        <w:t xml:space="preserve">6. Contacto y Soporte Técnico</w:t>
      </w:r>
    </w:p>
    <w:p>
      <w:pPr>
        <w:spacing w:after="160"/>
      </w:pPr>
      <w:r>
        <w:rPr>
          <w:rFonts w:ascii="Arial" w:cs="Arial" w:eastAsia="Arial" w:hAnsi="Arial"/>
        </w:rPr>
        <w:t xml:space="preserve">Si tiene preguntas o necesita ayuda con CoreStream, puede contactar al equipo de soporte a través de los siguientes medios:</w:t>
      </w:r>
    </w:p>
    <w:p>
      <w:pPr>
        <w:pStyle w:val="ListParagraph"/>
        <w:numPr>
          <w:ilvl w:val="0"/>
          <w:numId w:val="2"/>
        </w:numPr>
        <w:spacing w:after="80"/>
      </w:pPr>
      <w:r>
        <w:rPr>
          <w:rFonts w:ascii="Arial" w:cs="Arial" w:eastAsia="Arial" w:hAnsi="Arial"/>
          <w:b/>
          <w:bCs/>
        </w:rPr>
        <w:t xml:space="preserve">Correo: </w:t>
      </w:r>
      <w:r>
        <w:rPr>
          <w:rFonts w:ascii="Arial" w:cs="Arial" w:eastAsia="Arial" w:hAnsi="Arial"/>
        </w:rPr>
        <w:t xml:space="preserve">soporte@corestream.app</w:t>
      </w:r>
    </w:p>
    <w:p>
      <w:pPr>
        <w:pStyle w:val="ListParagraph"/>
        <w:numPr>
          <w:ilvl w:val="0"/>
          <w:numId w:val="2"/>
        </w:numPr>
        <w:spacing w:after="80"/>
      </w:pPr>
      <w:r>
        <w:rPr>
          <w:rFonts w:ascii="Arial" w:cs="Arial" w:eastAsia="Arial" w:hAnsi="Arial"/>
          <w:b/>
          <w:bCs/>
        </w:rPr>
        <w:t xml:space="preserve">Horario de Atención: </w:t>
      </w:r>
      <w:r>
        <w:rPr>
          <w:rFonts w:ascii="Arial" w:cs="Arial" w:eastAsia="Arial" w:hAnsi="Arial"/>
        </w:rPr>
        <w:t xml:space="preserve">Lunes a Viernes, 9:00 – 18:00</w:t>
      </w:r>
    </w:p>
    <w:p>
      <w:pPr>
        <w:pBdr>
          <w:top w:val="single" w:color="CBD5E1" w:sz="4" w:space="8"/>
        </w:pBdr>
        <w:spacing w:before="600"/>
        <w:jc w:val="center"/>
      </w:pPr>
      <w:r>
        <w:rPr>
          <w:rFonts w:ascii="Arial" w:cs="Arial" w:eastAsia="Arial" w:hAnsi="Arial"/>
          <w:color w:val="64748B"/>
          <w:sz w:val="18"/>
          <w:szCs w:val="18"/>
        </w:rPr>
        <w:t xml:space="preserve">© 2026 CoreStream. Todos los derechos reservados.</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Página </w:t>
    </w:r>
    <w:r>
      <w:rPr>
        <w:rFonts w:ascii="Arial" w:cs="Arial" w:eastAsia="Arial" w:hAnsi="Arial"/>
        <w:color w:val="64748B"/>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Página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4748B"/>
        <w:sz w:val="20"/>
        <w:szCs w:val="20"/>
      </w:rPr>
      <w:t xml:space="preserve">CoreStream - Manual de Usuario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4748B"/>
        <w:sz w:val="20"/>
        <w:szCs w:val="20"/>
      </w:rPr>
      <w:t xml:space="preserve">CoreStream -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FF2" w:sz="6" w:space="4"/>
      </w:pBdr>
      <w:spacing w:after="240" w:before="480"/>
      <w:outlineLvl w:val="0"/>
    </w:pPr>
    <w:rPr>
      <w:rFonts w:ascii="Arial" w:cs="Arial" w:eastAsia="Arial" w:hAnsi="Arial"/>
      <w:b/>
      <w:bCs/>
      <w:color w:val="1B2A4A"/>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1B2A4A"/>
      <w:sz w:val="27"/>
      <w:szCs w:val="27"/>
    </w:rPr>
  </w:style>
  <w:style w:type="paragraph" w:styleId="Heading3">
    <w:name w:val="Heading 3"/>
    <w:basedOn w:val="Normal"/>
    <w:next w:val="Normal"/>
    <w:qFormat/>
    <w:pPr>
      <w:spacing w:after="120" w:before="240"/>
      <w:outlineLvl w:val="2"/>
    </w:pPr>
    <w:rPr>
      <w:rFonts w:ascii="Arial" w:cs="Arial" w:eastAsia="Arial" w:hAnsi="Arial"/>
      <w:b/>
      <w:bCs/>
      <w:color w:val="2E6FF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77263d4e3e5ff54ae83215b4c4683db4a7822717.png"/><Relationship Id="rId12" Type="http://schemas.openxmlformats.org/officeDocument/2006/relationships/image" Target="media/0f70f26ae8ed8155f9b2cfb7876a9e47d2bbc44d.png"/><Relationship Id="rId13" Type="http://schemas.openxmlformats.org/officeDocument/2006/relationships/image" Target="media/c15876fecf2e2de1a65b9018b7095b0e717e40a5.png"/><Relationship Id="rId14" Type="http://schemas.openxmlformats.org/officeDocument/2006/relationships/image" Target="media/ff68660eaf2bc6c6603a672ffe9d689efed713ad.png"/><Relationship Id="rId15" Type="http://schemas.openxmlformats.org/officeDocument/2006/relationships/image" Target="media/7ad7450681e23a64d539d262320c29262a6e4149.png"/><Relationship Id="rId16" Type="http://schemas.openxmlformats.org/officeDocument/2006/relationships/image" Target="media/df075bec8e945743bac28567fe491f92bf45352f.png"/><Relationship Id="rId17" Type="http://schemas.openxmlformats.org/officeDocument/2006/relationships/image" Target="media/df5dc816c61de5fbfc1916ac6b4f425f96d803e3.png"/><Relationship Id="rId18" Type="http://schemas.openxmlformats.org/officeDocument/2006/relationships/image" Target="media/85fcf7b5836c469b728918f74bf917e553d3cf85.png"/><Relationship Id="rId19" Type="http://schemas.openxmlformats.org/officeDocument/2006/relationships/image" Target="media/8a622e6f18ddcf0ef91d6d4cc760a079fc831ad0.png"/><Relationship Id="rId20" Type="http://schemas.openxmlformats.org/officeDocument/2006/relationships/image" Target="media/f9f427c6a533c7bb7ff5da9f8299f6d954db956d.png"/><Relationship Id="rId21" Type="http://schemas.openxmlformats.org/officeDocument/2006/relationships/image" Target="media/e243cd4eebb7d8519be716e9d5340012f124b279.png"/><Relationship Id="rId22" Type="http://schemas.openxmlformats.org/officeDocument/2006/relationships/image" Target="media/c8f06f47a36183d347f3bcae0c615004658cbf48.png"/><Relationship Id="rId23" Type="http://schemas.openxmlformats.org/officeDocument/2006/relationships/image" Target="media/0650f29b8dda3e8710cc3ed395c19a4e562de761.png"/><Relationship Id="rId24" Type="http://schemas.openxmlformats.org/officeDocument/2006/relationships/image" Target="media/82e5ce1560825ea560139271613147b35b424499.png"/><Relationship Id="rId25" Type="http://schemas.openxmlformats.org/officeDocument/2006/relationships/image" Target="media/c7f7783b7725040138a865ae22e5404fa9e9a44b.png"/><Relationship Id="rId26" Type="http://schemas.openxmlformats.org/officeDocument/2006/relationships/image" Target="media/e2156f39f636ce381e22b8a73bc512fb5c2f8fc8.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2026-07-03T03:41:46.783Z</dcterms:created>
  <dcterms:modified xsi:type="dcterms:W3CDTF">2026-07-03T03:41:46.783Z</dcterms:modified>
</cp:coreProperties>
</file>

<file path=docProps/custom.xml><?xml version="1.0" encoding="utf-8"?>
<Properties xmlns="http://schemas.openxmlformats.org/officeDocument/2006/custom-properties" xmlns:vt="http://schemas.openxmlformats.org/officeDocument/2006/docPropsVTypes"/>
</file>