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spacing w:after="200"/>
        <w:jc w:val="center"/>
      </w:pPr>
      <w:r>
        <w:rPr>
          <w:rFonts w:ascii="Arial" w:cs="Arial" w:eastAsia="Arial" w:hAnsi="Arial"/>
          <w:b/>
          <w:bCs/>
          <w:color w:val="1E3A5F"/>
          <w:sz w:val="56"/>
          <w:szCs w:val="56"/>
        </w:rPr>
        <w:t xml:space="preserve">CORESTREAM</w:t>
      </w:r>
    </w:p>
    <w:p>
      <w:pPr>
        <w:spacing w:after="100"/>
        <w:jc w:val="center"/>
      </w:pPr>
      <w:r>
        <w:rPr>
          <w:rFonts w:ascii="Arial" w:cs="Arial" w:eastAsia="Arial" w:hAnsi="Arial"/>
          <w:color w:val="666666"/>
          <w:sz w:val="28"/>
          <w:szCs w:val="28"/>
        </w:rPr>
        <w:t xml:space="preserve">Plataforma de Gestión de Proyectos</w:t>
      </w:r>
    </w:p>
    <w:p>
      <w:pPr>
        <w:spacing w:after="600" w:before="600"/>
      </w:pPr>
    </w:p>
    <w:p>
      <w:pPr>
        <w:pBdr>
          <w:bottom w:val="single" w:color="2563EB" w:sz="6" w:space="1"/>
        </w:pBdr>
        <w:jc w:val="center"/>
      </w:pPr>
    </w:p>
    <w:p>
      <w:pPr>
        <w:spacing w:after="200" w:before="200"/>
      </w:pPr>
    </w:p>
    <w:p>
      <w:pPr>
        <w:spacing w:after="200"/>
        <w:jc w:val="center"/>
      </w:pPr>
      <w:r>
        <w:rPr>
          <w:rFonts w:ascii="Arial" w:cs="Arial" w:eastAsia="Arial" w:hAnsi="Arial"/>
          <w:b/>
          <w:bCs/>
          <w:color w:val="2563EB"/>
          <w:sz w:val="36"/>
          <w:szCs w:val="36"/>
        </w:rPr>
        <w:t xml:space="preserve">Informe de Mejoras Potenciales</w:t>
      </w:r>
    </w:p>
    <w:p>
      <w:pPr>
        <w:spacing w:after="100"/>
        <w:jc w:val="center"/>
      </w:pPr>
      <w:r>
        <w:rPr>
          <w:rFonts w:ascii="Arial" w:cs="Arial" w:eastAsia="Arial" w:hAnsi="Arial"/>
          <w:color w:val="666666"/>
          <w:sz w:val="24"/>
          <w:szCs w:val="24"/>
        </w:rPr>
        <w:t xml:space="preserve">Análisis Especializado de Gestión de Proyectos</w:t>
      </w:r>
    </w:p>
    <w:p>
      <w:pPr>
        <w:spacing w:after="100"/>
        <w:jc w:val="center"/>
      </w:pPr>
      <w:r>
        <w:rPr>
          <w:rFonts w:ascii="Arial" w:cs="Arial" w:eastAsia="Arial" w:hAnsi="Arial"/>
          <w:color w:val="666666"/>
          <w:sz w:val="24"/>
          <w:szCs w:val="24"/>
        </w:rPr>
        <w:t xml:space="preserve">y Seguimiento de Desarrollo de Aplicaciones</w:t>
      </w:r>
    </w:p>
    <w:p>
      <w:pPr>
        <w:spacing w:after="1200" w:before="1200"/>
      </w:pPr>
    </w:p>
    <w:p>
      <w:pPr>
        <w:jc w:val="center"/>
      </w:pPr>
      <w:r>
        <w:rPr>
          <w:rFonts w:ascii="Arial" w:cs="Arial" w:eastAsia="Arial" w:hAnsi="Arial"/>
          <w:color w:val="888888"/>
          <w:sz w:val="20"/>
          <w:szCs w:val="20"/>
        </w:rPr>
        <w:t xml:space="preserve">Preparado por: Especialista en Gestión de Proyectos y Desarrollo</w:t>
      </w:r>
    </w:p>
    <w:p>
      <w:pPr>
        <w:spacing w:after="100"/>
        <w:jc w:val="center"/>
      </w:pPr>
      <w:r>
        <w:rPr>
          <w:rFonts w:ascii="Arial" w:cs="Arial" w:eastAsia="Arial" w:hAnsi="Arial"/>
          <w:color w:val="888888"/>
          <w:sz w:val="20"/>
          <w:szCs w:val="20"/>
        </w:rPr>
        <w:t xml:space="preserve">Fecha: 31 de marzo de 2026</w:t>
      </w:r>
    </w:p>
    <w:p>
      <w:pPr>
        <w:jc w:val="center"/>
      </w:pPr>
      <w:r>
        <w:rPr>
          <w:rFonts w:ascii="Arial" w:cs="Arial" w:eastAsia="Arial" w:hAnsi="Arial"/>
          <w:color w:val="888888"/>
          <w:sz w:val="20"/>
          <w:szCs w:val="20"/>
        </w:rPr>
        <w:t xml:space="preserve">Versión: 1.0</w:t>
      </w:r>
    </w:p>
    <w:p>
      <w:pPr>
        <w:sectPr>
          <w:pgSz w:w="12240" w:h="15840" w:orient="portrait"/>
          <w:pgMar w:top="1440" w:right="1440" w:bottom="1440" w:left="1440" w:header="708" w:footer="708" w:gutter="0"/>
          <w:pgNumType/>
          <w:docGrid w:linePitch="360"/>
        </w:sectPr>
      </w:pPr>
    </w:p>
    <w:p>
      <w:pPr>
        <w:pStyle w:val="Heading1"/>
      </w:pPr>
      <w:r>
        <w:t xml:space="preserve">1. Resumen Ejecutivo</w:t>
      </w:r>
    </w:p>
    <w:p>
      <w:pPr>
        <w:spacing w:after="120"/>
      </w:pPr>
      <w:r>
        <w:rPr>
          <w:rFonts w:ascii="Arial" w:cs="Arial" w:eastAsia="Arial" w:hAnsi="Arial"/>
          <w:sz w:val="22"/>
          <w:szCs w:val="22"/>
        </w:rPr>
        <w:t xml:space="preserve">El presente documento presenta un análisis exhaustivo de la plataforma CoreStream desde la perspectiva de gestión de proyectos y seguimiento de desarrollo de aplicaciones. Tras revisar la arquitectura actual del sistema, sus componentes frontend (Vue.js 3) y backend (FastAPI), las funcionalidades implementadas y la documentación existente, se han identificado áreas clave de mejora que permitirán llevar al producto a un nivel de madurez profesional superior.</w:t>
      </w:r>
    </w:p>
    <w:p>
      <w:pPr>
        <w:spacing w:after="120"/>
      </w:pPr>
      <w:r>
        <w:rPr>
          <w:rFonts w:ascii="Arial" w:cs="Arial" w:eastAsia="Arial" w:hAnsi="Arial"/>
          <w:sz w:val="22"/>
          <w:szCs w:val="22"/>
        </w:rPr>
        <w:t xml:space="preserve">CoreStream ya cuenta con una base sólida: arquitectura moderna, código bien documentado en español, separación de responsabilidades clara y un conjunto robusto de componentes tanto en el frontend como en el backend. Sin embargo, para competir efectivamente como herramienta de gestión de proyectos en el mercado actual, se requiere abordar mejoras en las siguientes dimensiones estratégicas: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Área</w:t>
            </w:r>
          </w:p>
        </w:tc>
        <w:tc>
          <w:tcPr>
            <w:tcW w:type="dxa" w:w="2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Impacto Estimado</w:t>
            </w:r>
          </w:p>
        </w:tc>
        <w:tc>
          <w:tcPr>
            <w:tcW w:type="dxa" w:w="268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Metodologías Ágiles y Flujos de Trabajo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Alto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F4444"/>
                <w:sz w:val="20"/>
                <w:szCs w:val="20"/>
              </w:rPr>
              <w:t xml:space="preserve">Crítica</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Reportes y Analítica Avanzada</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Alto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EF4444"/>
                <w:sz w:val="20"/>
                <w:szCs w:val="20"/>
              </w:rPr>
              <w:t xml:space="preserve">Crítica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Integraciones con Ecosistema DevOps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Alto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59E0B"/>
                <w:sz w:val="20"/>
                <w:szCs w:val="20"/>
              </w:rPr>
              <w:t xml:space="preserve">Alta</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Experiencia de Usuario (UX/UI)</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Medio-Alto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59E0B"/>
                <w:sz w:val="20"/>
                <w:szCs w:val="20"/>
              </w:rPr>
              <w:t xml:space="preserve">Alta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Calidad y Testing</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Alto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59E0B"/>
                <w:sz w:val="20"/>
                <w:szCs w:val="20"/>
              </w:rPr>
              <w:t xml:space="preserve">Alta</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Seguridad y Cumplimiento</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Alto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F59E0B"/>
                <w:sz w:val="20"/>
                <w:szCs w:val="20"/>
              </w:rPr>
              <w:t xml:space="preserve">Alta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Rendimiento y Escalabilidad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563EB"/>
                <w:sz w:val="20"/>
                <w:szCs w:val="20"/>
              </w:rPr>
              <w:t xml:space="preserve">Media</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Automatización y CI/CD</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Medio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563EB"/>
                <w:sz w:val="20"/>
                <w:szCs w:val="20"/>
              </w:rPr>
              <w:t xml:space="preserve">Media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Gestión del Conocimiento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563EB"/>
                <w:sz w:val="20"/>
                <w:szCs w:val="20"/>
              </w:rPr>
              <w:t xml:space="preserve">Media</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Internacionalización y Accesibilidad</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Medio-Bajo</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10B981"/>
                <w:sz w:val="20"/>
                <w:szCs w:val="20"/>
              </w:rPr>
              <w:t xml:space="preserve">Baja</w:t>
            </w:r>
          </w:p>
        </w:tc>
      </w:tr>
    </w:tbl>
    <w:p>
      <w:pPr>
        <w:pStyle w:val="Heading1"/>
        <w:pageBreakBefore/>
      </w:pPr>
      <w:r>
        <w:t xml:space="preserve">2. Metodologías Ágiles y Flujos de Trabajo</w:t>
      </w:r>
    </w:p>
    <w:p>
      <w:pPr>
        <w:spacing w:after="120"/>
      </w:pPr>
      <w:r>
        <w:rPr>
          <w:rFonts w:ascii="Arial" w:cs="Arial" w:eastAsia="Arial" w:hAnsi="Arial"/>
          <w:sz w:val="22"/>
          <w:szCs w:val="22"/>
        </w:rPr>
        <w:t xml:space="preserve">CoreStream implementa un modelo de tickets con estados (TODO, IN_PROGRESS, BLOCKED, DONE) y un tablero Kanban básico. Para posicionarse como herramienta competitiva de gestión de proyectos, es fundamental ampliar el soporte metodológico.</w:t>
      </w:r>
    </w:p>
    <w:p>
      <w:pPr>
        <w:pStyle w:val="Heading2"/>
      </w:pPr>
      <w:r>
        <w:t xml:space="preserve">2.1 Soporte para Sprints y Planificación Iterativa</w:t>
      </w:r>
    </w:p>
    <w:p>
      <w:pPr>
        <w:spacing w:after="120"/>
      </w:pPr>
      <w:r>
        <w:rPr>
          <w:rFonts w:ascii="Arial" w:cs="Arial" w:eastAsia="Arial" w:hAnsi="Arial"/>
          <w:sz w:val="22"/>
          <w:szCs w:val="22"/>
        </w:rPr>
        <w:t xml:space="preserve">Actualmente no existe el concepto de Sprint o iteración temporal. Se recomienda implementar:</w:t>
      </w:r>
    </w:p>
    <w:p>
      <w:pPr>
        <w:pStyle w:val="ListParagraph"/>
        <w:numPr>
          <w:ilvl w:val="0"/>
          <w:numId w:val="2"/>
        </w:numPr>
        <w:spacing w:after="80"/>
      </w:pPr>
      <w:r>
        <w:rPr>
          <w:rFonts w:ascii="Arial" w:cs="Arial" w:eastAsia="Arial" w:hAnsi="Arial"/>
          <w:sz w:val="22"/>
          <w:szCs w:val="22"/>
        </w:rPr>
        <w:t xml:space="preserve">Modelo de Sprint con fecha de inicio, fecha fin, objetivo del sprint y capacidad del equipo.</w:t>
      </w:r>
    </w:p>
    <w:p>
      <w:pPr>
        <w:pStyle w:val="ListParagraph"/>
        <w:numPr>
          <w:ilvl w:val="0"/>
          <w:numId w:val="2"/>
        </w:numPr>
        <w:spacing w:after="80"/>
      </w:pPr>
      <w:r>
        <w:rPr>
          <w:rFonts w:ascii="Arial" w:cs="Arial" w:eastAsia="Arial" w:hAnsi="Arial"/>
          <w:sz w:val="22"/>
          <w:szCs w:val="22"/>
        </w:rPr>
        <w:t xml:space="preserve">Vista de Sprint Backlog con drag-and-drop para mover historias desde el Product Backlog al Sprint.</w:t>
      </w:r>
    </w:p>
    <w:p>
      <w:pPr>
        <w:pStyle w:val="ListParagraph"/>
        <w:numPr>
          <w:ilvl w:val="0"/>
          <w:numId w:val="2"/>
        </w:numPr>
        <w:spacing w:after="80"/>
      </w:pPr>
      <w:r>
        <w:rPr>
          <w:rFonts w:ascii="Arial" w:cs="Arial" w:eastAsia="Arial" w:hAnsi="Arial"/>
          <w:sz w:val="22"/>
          <w:szCs w:val="22"/>
        </w:rPr>
        <w:t xml:space="preserve">Ceremonia de Sprint Planning: interfaz para estimar puntos de historia (story points) utilizando Planning Poker integrado.</w:t>
      </w:r>
    </w:p>
    <w:p>
      <w:pPr>
        <w:pStyle w:val="ListParagraph"/>
        <w:numPr>
          <w:ilvl w:val="0"/>
          <w:numId w:val="2"/>
        </w:numPr>
        <w:spacing w:after="80"/>
      </w:pPr>
      <w:r>
        <w:rPr>
          <w:rFonts w:ascii="Arial" w:cs="Arial" w:eastAsia="Arial" w:hAnsi="Arial"/>
          <w:sz w:val="22"/>
          <w:szCs w:val="22"/>
        </w:rPr>
        <w:t xml:space="preserve">Sprint Review y Retrospectiva: plantillas integradas para documentar resultados y lecciones aprendidas de cada iteración.</w:t>
      </w:r>
    </w:p>
    <w:p>
      <w:pPr>
        <w:pStyle w:val="ListParagraph"/>
        <w:numPr>
          <w:ilvl w:val="0"/>
          <w:numId w:val="2"/>
        </w:numPr>
        <w:spacing w:after="80"/>
      </w:pPr>
      <w:r>
        <w:rPr>
          <w:rFonts w:ascii="Arial" w:cs="Arial" w:eastAsia="Arial" w:hAnsi="Arial"/>
          <w:sz w:val="22"/>
          <w:szCs w:val="22"/>
        </w:rPr>
        <w:t xml:space="preserve">Velocidad del equipo: cálculo automático basado en story points completados por sprint.</w:t>
      </w:r>
    </w:p>
    <w:p>
      <w:pPr>
        <w:pStyle w:val="Heading2"/>
      </w:pPr>
      <w:r>
        <w:t xml:space="preserve">2.2 Tablero Kanban Avanzado</w:t>
      </w:r>
    </w:p>
    <w:p>
      <w:pPr>
        <w:spacing w:after="120"/>
      </w:pPr>
      <w:r>
        <w:rPr>
          <w:rFonts w:ascii="Arial" w:cs="Arial" w:eastAsia="Arial" w:hAnsi="Arial"/>
          <w:sz w:val="22"/>
          <w:szCs w:val="22"/>
        </w:rPr>
        <w:t xml:space="preserve">El tablero actual es funcional pero limitado. Las mejoras sugeridas incluyen:</w:t>
      </w:r>
    </w:p>
    <w:p>
      <w:pPr>
        <w:pStyle w:val="ListParagraph"/>
        <w:numPr>
          <w:ilvl w:val="0"/>
          <w:numId w:val="3"/>
        </w:numPr>
        <w:spacing w:after="80"/>
      </w:pPr>
      <w:r>
        <w:rPr>
          <w:rFonts w:ascii="Arial" w:cs="Arial" w:eastAsia="Arial" w:hAnsi="Arial"/>
          <w:sz w:val="22"/>
          <w:szCs w:val="22"/>
        </w:rPr>
        <w:t xml:space="preserve">Límites WIP (Work In Progress) configurables por columna para evitar sobrecarga del equipo.</w:t>
      </w:r>
    </w:p>
    <w:p>
      <w:pPr>
        <w:pStyle w:val="ListParagraph"/>
        <w:numPr>
          <w:ilvl w:val="0"/>
          <w:numId w:val="3"/>
        </w:numPr>
        <w:spacing w:after="80"/>
      </w:pPr>
      <w:r>
        <w:rPr>
          <w:rFonts w:ascii="Arial" w:cs="Arial" w:eastAsia="Arial" w:hAnsi="Arial"/>
          <w:sz w:val="22"/>
          <w:szCs w:val="22"/>
        </w:rPr>
        <w:t xml:space="preserve">Columnas personalizables por proyecto, permitiendo definir flujos de trabajo específicos (ej: Desarrollo, Code Review, QA, Deploy).</w:t>
      </w:r>
    </w:p>
    <w:p>
      <w:pPr>
        <w:pStyle w:val="ListParagraph"/>
        <w:numPr>
          <w:ilvl w:val="0"/>
          <w:numId w:val="3"/>
        </w:numPr>
        <w:spacing w:after="80"/>
      </w:pPr>
      <w:r>
        <w:rPr>
          <w:rFonts w:ascii="Arial" w:cs="Arial" w:eastAsia="Arial" w:hAnsi="Arial"/>
          <w:sz w:val="22"/>
          <w:szCs w:val="22"/>
        </w:rPr>
        <w:t xml:space="preserve">Políticas de columna: reglas que deben cumplirse antes de mover un ticket a la siguiente fase.</w:t>
      </w:r>
    </w:p>
    <w:p>
      <w:pPr>
        <w:pStyle w:val="ListParagraph"/>
        <w:numPr>
          <w:ilvl w:val="0"/>
          <w:numId w:val="3"/>
        </w:numPr>
        <w:spacing w:after="80"/>
      </w:pPr>
      <w:r>
        <w:rPr>
          <w:rFonts w:ascii="Arial" w:cs="Arial" w:eastAsia="Arial" w:hAnsi="Arial"/>
          <w:sz w:val="22"/>
          <w:szCs w:val="22"/>
        </w:rPr>
        <w:t xml:space="preserve">Indicadores de tiempo de ciclo (cycle time) y tiempo de espera (lead time) por tarjeta.</w:t>
      </w:r>
    </w:p>
    <w:p>
      <w:pPr>
        <w:pStyle w:val="ListParagraph"/>
        <w:numPr>
          <w:ilvl w:val="0"/>
          <w:numId w:val="3"/>
        </w:numPr>
        <w:spacing w:after="80"/>
      </w:pPr>
      <w:r>
        <w:rPr>
          <w:rFonts w:ascii="Arial" w:cs="Arial" w:eastAsia="Arial" w:hAnsi="Arial"/>
          <w:sz w:val="22"/>
          <w:szCs w:val="22"/>
        </w:rPr>
        <w:t xml:space="preserve">Swimlanes por asignado, prioridad o tipo de trabajo para mejorar la visibilidad del tablero.</w:t>
      </w:r>
    </w:p>
    <w:p>
      <w:pPr>
        <w:pStyle w:val="Heading2"/>
      </w:pPr>
      <w:r>
        <w:t xml:space="preserve">2.3 Gestión de Dependencias entre Tickets</w:t>
      </w:r>
    </w:p>
    <w:p>
      <w:pPr>
        <w:spacing w:after="120"/>
      </w:pPr>
      <w:r>
        <w:rPr>
          <w:rFonts w:ascii="Arial" w:cs="Arial" w:eastAsia="Arial" w:hAnsi="Arial"/>
          <w:sz w:val="22"/>
          <w:szCs w:val="22"/>
        </w:rPr>
        <w:t xml:space="preserve">No se observa un sistema de dependencias entre tickets. Se recomienda implementar:</w:t>
      </w:r>
    </w:p>
    <w:p>
      <w:pPr>
        <w:pStyle w:val="ListParagraph"/>
        <w:numPr>
          <w:ilvl w:val="0"/>
          <w:numId w:val="4"/>
        </w:numPr>
        <w:spacing w:after="80"/>
      </w:pPr>
      <w:r>
        <w:rPr>
          <w:rFonts w:ascii="Arial" w:cs="Arial" w:eastAsia="Arial" w:hAnsi="Arial"/>
          <w:sz w:val="22"/>
          <w:szCs w:val="22"/>
        </w:rPr>
        <w:t xml:space="preserve">Relaciones de tipo: bloquea/bloqueado por, se relaciona con, duplica/duplicado por.</w:t>
      </w:r>
    </w:p>
    <w:p>
      <w:pPr>
        <w:pStyle w:val="ListParagraph"/>
        <w:numPr>
          <w:ilvl w:val="0"/>
          <w:numId w:val="4"/>
        </w:numPr>
        <w:spacing w:after="80"/>
      </w:pPr>
      <w:r>
        <w:rPr>
          <w:rFonts w:ascii="Arial" w:cs="Arial" w:eastAsia="Arial" w:hAnsi="Arial"/>
          <w:sz w:val="22"/>
          <w:szCs w:val="22"/>
        </w:rPr>
        <w:t xml:space="preserve">Visualización de ruta crítica (Critical Path) en formato de diagrama de Gantt.</w:t>
      </w:r>
    </w:p>
    <w:p>
      <w:pPr>
        <w:pStyle w:val="ListParagraph"/>
        <w:numPr>
          <w:ilvl w:val="0"/>
          <w:numId w:val="4"/>
        </w:numPr>
        <w:spacing w:after="80"/>
      </w:pPr>
      <w:r>
        <w:rPr>
          <w:rFonts w:ascii="Arial" w:cs="Arial" w:eastAsia="Arial" w:hAnsi="Arial"/>
          <w:sz w:val="22"/>
          <w:szCs w:val="22"/>
        </w:rPr>
        <w:t xml:space="preserve">Alertas automáticas cuando un ticket bloqueante cambia de estado.</w:t>
      </w:r>
    </w:p>
    <w:p>
      <w:pPr>
        <w:pStyle w:val="ListParagraph"/>
        <w:numPr>
          <w:ilvl w:val="0"/>
          <w:numId w:val="4"/>
        </w:numPr>
        <w:spacing w:after="80"/>
      </w:pPr>
      <w:r>
        <w:rPr>
          <w:rFonts w:ascii="Arial" w:cs="Arial" w:eastAsia="Arial" w:hAnsi="Arial"/>
          <w:sz w:val="22"/>
          <w:szCs w:val="22"/>
        </w:rPr>
        <w:t xml:space="preserve">Grafo de dependencias interactivo para visualizar el impacto de retrasos en cadena.</w:t>
      </w:r>
    </w:p>
    <w:p>
      <w:pPr>
        <w:pStyle w:val="Heading1"/>
        <w:pageBreakBefore/>
      </w:pPr>
      <w:r>
        <w:t xml:space="preserve">3. Reportes y Analítica Avanzada</w:t>
      </w:r>
    </w:p>
    <w:p>
      <w:pPr>
        <w:spacing w:after="120"/>
      </w:pPr>
      <w:r>
        <w:rPr>
          <w:rFonts w:ascii="Arial" w:cs="Arial" w:eastAsia="Arial" w:hAnsi="Arial"/>
          <w:sz w:val="22"/>
          <w:szCs w:val="22"/>
        </w:rPr>
        <w:t xml:space="preserve">La plataforma cuenta con componentes de analítica (BurndownChart, Heatmap, MetricCards, PerformanceTable) y un servicio de analytics en el backend. Para proporcionar valor real a los gestores de proyecto, se proponen las siguientes mejoras:</w:t>
      </w:r>
    </w:p>
    <w:p>
      <w:pPr>
        <w:pStyle w:val="Heading2"/>
      </w:pPr>
      <w:r>
        <w:t xml:space="preserve">3.1 Métricas Ágiles Clave</w:t>
      </w:r>
    </w:p>
    <w:p>
      <w:pPr>
        <w:pStyle w:val="ListParagraph"/>
        <w:numPr>
          <w:ilvl w:val="0"/>
          <w:numId w:val="5"/>
        </w:numPr>
        <w:spacing w:after="80"/>
      </w:pPr>
      <w:r>
        <w:rPr>
          <w:rFonts w:ascii="Arial" w:cs="Arial" w:eastAsia="Arial" w:hAnsi="Arial"/>
          <w:sz w:val="22"/>
          <w:szCs w:val="22"/>
        </w:rPr>
        <w:t xml:space="preserve">Burndown Chart mejorado: comparación con línea ideal, proyección de finalización y detección automática de desviaciones significativas.</w:t>
      </w:r>
    </w:p>
    <w:p>
      <w:pPr>
        <w:pStyle w:val="ListParagraph"/>
        <w:numPr>
          <w:ilvl w:val="0"/>
          <w:numId w:val="5"/>
        </w:numPr>
        <w:spacing w:after="80"/>
      </w:pPr>
      <w:r>
        <w:rPr>
          <w:rFonts w:ascii="Arial" w:cs="Arial" w:eastAsia="Arial" w:hAnsi="Arial"/>
          <w:sz w:val="22"/>
          <w:szCs w:val="22"/>
        </w:rPr>
        <w:t xml:space="preserve">Burnup Chart: visualización del trabajo completado versus el alcance total, incluyendo cambios de alcance (scope creep).</w:t>
      </w:r>
    </w:p>
    <w:p>
      <w:pPr>
        <w:pStyle w:val="ListParagraph"/>
        <w:numPr>
          <w:ilvl w:val="0"/>
          <w:numId w:val="5"/>
        </w:numPr>
        <w:spacing w:after="80"/>
      </w:pPr>
      <w:r>
        <w:rPr>
          <w:rFonts w:ascii="Arial" w:cs="Arial" w:eastAsia="Arial" w:hAnsi="Arial"/>
          <w:sz w:val="22"/>
          <w:szCs w:val="22"/>
        </w:rPr>
        <w:t xml:space="preserve">Cumulative Flow Diagram (CFD): para identificar cuellos de botella en el flujo de trabajo y tendencias de acumulación por estado.</w:t>
      </w:r>
    </w:p>
    <w:p>
      <w:pPr>
        <w:pStyle w:val="ListParagraph"/>
        <w:numPr>
          <w:ilvl w:val="0"/>
          <w:numId w:val="5"/>
        </w:numPr>
        <w:spacing w:after="80"/>
      </w:pPr>
      <w:r>
        <w:rPr>
          <w:rFonts w:ascii="Arial" w:cs="Arial" w:eastAsia="Arial" w:hAnsi="Arial"/>
          <w:sz w:val="22"/>
          <w:szCs w:val="22"/>
        </w:rPr>
        <w:t xml:space="preserve">Velocity Chart: promedio móvil de story points completados por sprint para facilitar estimaciones futuras.</w:t>
      </w:r>
    </w:p>
    <w:p>
      <w:pPr>
        <w:pStyle w:val="ListParagraph"/>
        <w:numPr>
          <w:ilvl w:val="0"/>
          <w:numId w:val="5"/>
        </w:numPr>
        <w:spacing w:after="80"/>
      </w:pPr>
      <w:r>
        <w:rPr>
          <w:rFonts w:ascii="Arial" w:cs="Arial" w:eastAsia="Arial" w:hAnsi="Arial"/>
          <w:sz w:val="22"/>
          <w:szCs w:val="22"/>
        </w:rPr>
        <w:t xml:space="preserve">Control Chart: tiempos de ciclo por ticket con líneas de tendencia y desviaciones estándar.</w:t>
      </w:r>
    </w:p>
    <w:p>
      <w:pPr>
        <w:pStyle w:val="Heading2"/>
      </w:pPr>
      <w:r>
        <w:t xml:space="preserve">3.2 Dashboard Ejecutivo Configurable</w:t>
      </w:r>
    </w:p>
    <w:p>
      <w:pPr>
        <w:spacing w:after="120"/>
      </w:pPr>
      <w:r>
        <w:rPr>
          <w:rFonts w:ascii="Arial" w:cs="Arial" w:eastAsia="Arial" w:hAnsi="Arial"/>
          <w:sz w:val="22"/>
          <w:szCs w:val="22"/>
        </w:rPr>
        <w:t xml:space="preserve">Se recomienda crear un dashboard ejecutivo con las siguientes características:</w:t>
      </w:r>
    </w:p>
    <w:p>
      <w:pPr>
        <w:pStyle w:val="ListParagraph"/>
        <w:numPr>
          <w:ilvl w:val="0"/>
          <w:numId w:val="6"/>
        </w:numPr>
        <w:spacing w:after="80"/>
      </w:pPr>
      <w:r>
        <w:rPr>
          <w:rFonts w:ascii="Arial" w:cs="Arial" w:eastAsia="Arial" w:hAnsi="Arial"/>
          <w:sz w:val="22"/>
          <w:szCs w:val="22"/>
        </w:rPr>
        <w:t xml:space="preserve">Widgets arrastrables y redimensionables para que cada usuario personalice su vista.</w:t>
      </w:r>
    </w:p>
    <w:p>
      <w:pPr>
        <w:pStyle w:val="ListParagraph"/>
        <w:numPr>
          <w:ilvl w:val="0"/>
          <w:numId w:val="6"/>
        </w:numPr>
        <w:spacing w:after="80"/>
      </w:pPr>
      <w:r>
        <w:rPr>
          <w:rFonts w:ascii="Arial" w:cs="Arial" w:eastAsia="Arial" w:hAnsi="Arial"/>
          <w:sz w:val="22"/>
          <w:szCs w:val="22"/>
        </w:rPr>
        <w:t xml:space="preserve">KPIs en tiempo real: tickets abiertos, tasa de resolución, tiempo promedio de cierre, SLA compliance.</w:t>
      </w:r>
    </w:p>
    <w:p>
      <w:pPr>
        <w:pStyle w:val="ListParagraph"/>
        <w:numPr>
          <w:ilvl w:val="0"/>
          <w:numId w:val="6"/>
        </w:numPr>
        <w:spacing w:after="80"/>
      </w:pPr>
      <w:r>
        <w:rPr>
          <w:rFonts w:ascii="Arial" w:cs="Arial" w:eastAsia="Arial" w:hAnsi="Arial"/>
          <w:sz w:val="22"/>
          <w:szCs w:val="22"/>
        </w:rPr>
        <w:t xml:space="preserve">Exportación a PDF y Excel de cualquier reporte para compartir con stakeholders externos.</w:t>
      </w:r>
    </w:p>
    <w:p>
      <w:pPr>
        <w:pStyle w:val="ListParagraph"/>
        <w:numPr>
          <w:ilvl w:val="0"/>
          <w:numId w:val="6"/>
        </w:numPr>
        <w:spacing w:after="80"/>
      </w:pPr>
      <w:r>
        <w:rPr>
          <w:rFonts w:ascii="Arial" w:cs="Arial" w:eastAsia="Arial" w:hAnsi="Arial"/>
          <w:sz w:val="22"/>
          <w:szCs w:val="22"/>
        </w:rPr>
        <w:t xml:space="preserve">Envío programado de reportes por correo electrónico (diario, semanal, mensual) a los interesados.</w:t>
      </w:r>
    </w:p>
    <w:p>
      <w:pPr>
        <w:pStyle w:val="ListParagraph"/>
        <w:numPr>
          <w:ilvl w:val="0"/>
          <w:numId w:val="6"/>
        </w:numPr>
        <w:spacing w:after="80"/>
      </w:pPr>
      <w:r>
        <w:rPr>
          <w:rFonts w:ascii="Arial" w:cs="Arial" w:eastAsia="Arial" w:hAnsi="Arial"/>
          <w:sz w:val="22"/>
          <w:szCs w:val="22"/>
        </w:rPr>
        <w:t xml:space="preserve">Comparativa entre proyectos para evaluar rendimiento relativo de diferentes equipos.</w:t>
      </w:r>
    </w:p>
    <w:p>
      <w:pPr>
        <w:pStyle w:val="Heading2"/>
      </w:pPr>
      <w:r>
        <w:t xml:space="preserve">3.3 Predicción y Forecasting</w:t>
      </w:r>
    </w:p>
    <w:p>
      <w:pPr>
        <w:spacing w:after="120"/>
      </w:pPr>
      <w:r>
        <w:rPr>
          <w:rFonts w:ascii="Arial" w:cs="Arial" w:eastAsia="Arial" w:hAnsi="Arial"/>
          <w:sz w:val="22"/>
          <w:szCs w:val="22"/>
        </w:rPr>
        <w:t xml:space="preserve">Incorporar capacidades predictivas basadas en datos históricos:</w:t>
      </w:r>
    </w:p>
    <w:p>
      <w:pPr>
        <w:pStyle w:val="ListParagraph"/>
        <w:numPr>
          <w:ilvl w:val="0"/>
          <w:numId w:val="7"/>
        </w:numPr>
        <w:spacing w:after="80"/>
      </w:pPr>
      <w:r>
        <w:rPr>
          <w:rFonts w:ascii="Arial" w:cs="Arial" w:eastAsia="Arial" w:hAnsi="Arial"/>
          <w:sz w:val="22"/>
          <w:szCs w:val="22"/>
        </w:rPr>
        <w:t xml:space="preserve">Estimación de fecha de finalización basada en velocidad promedio del equipo mediante simulaciones Monte Carlo.</w:t>
      </w:r>
    </w:p>
    <w:p>
      <w:pPr>
        <w:pStyle w:val="ListParagraph"/>
        <w:numPr>
          <w:ilvl w:val="0"/>
          <w:numId w:val="7"/>
        </w:numPr>
        <w:spacing w:after="80"/>
      </w:pPr>
      <w:r>
        <w:rPr>
          <w:rFonts w:ascii="Arial" w:cs="Arial" w:eastAsia="Arial" w:hAnsi="Arial"/>
          <w:sz w:val="22"/>
          <w:szCs w:val="22"/>
        </w:rPr>
        <w:t xml:space="preserve">Detección temprana de riesgos: alertas cuando un sprint está en riesgo de no completarse según la tendencia actual.</w:t>
      </w:r>
    </w:p>
    <w:p>
      <w:pPr>
        <w:pStyle w:val="ListParagraph"/>
        <w:numPr>
          <w:ilvl w:val="0"/>
          <w:numId w:val="7"/>
        </w:numPr>
        <w:spacing w:after="80"/>
      </w:pPr>
      <w:r>
        <w:rPr>
          <w:rFonts w:ascii="Arial" w:cs="Arial" w:eastAsia="Arial" w:hAnsi="Arial"/>
          <w:sz w:val="22"/>
          <w:szCs w:val="22"/>
        </w:rPr>
        <w:t xml:space="preserve">Análisis de patrones de bloqueo: identificar causas recurrentes y equipos o tipos de tarea más afectados.</w:t>
      </w:r>
    </w:p>
    <w:p>
      <w:pPr>
        <w:pStyle w:val="Heading1"/>
        <w:pageBreakBefore/>
      </w:pPr>
      <w:r>
        <w:t xml:space="preserve">4. Integraciones con Ecosistema DevOps</w:t>
      </w:r>
    </w:p>
    <w:p>
      <w:pPr>
        <w:spacing w:after="120"/>
      </w:pPr>
      <w:r>
        <w:rPr>
          <w:rFonts w:ascii="Arial" w:cs="Arial" w:eastAsia="Arial" w:hAnsi="Arial"/>
          <w:sz w:val="22"/>
          <w:szCs w:val="22"/>
        </w:rPr>
        <w:t xml:space="preserve">CoreStream ya soporta URLs de Pull Request de GitHub, GitLab y Bitbucket en la validación de completación de tickets. Sin embargo, la integración es superficial. Se propone profundizar:</w:t>
      </w:r>
    </w:p>
    <w:p>
      <w:pPr>
        <w:pStyle w:val="Heading2"/>
      </w:pPr>
      <w:r>
        <w:t xml:space="preserve">4.1 Integración Bidireccional con Repositorios Git</w:t>
      </w:r>
    </w:p>
    <w:p>
      <w:pPr>
        <w:pStyle w:val="ListParagraph"/>
        <w:numPr>
          <w:ilvl w:val="0"/>
          <w:numId w:val="8"/>
        </w:numPr>
        <w:spacing w:after="80"/>
      </w:pPr>
      <w:r>
        <w:rPr>
          <w:rFonts w:ascii="Arial" w:cs="Arial" w:eastAsia="Arial" w:hAnsi="Arial"/>
          <w:sz w:val="22"/>
          <w:szCs w:val="22"/>
        </w:rPr>
        <w:t xml:space="preserve">Vinculación automática de commits a tickets mediante convención de nombres en mensajes de commit (ej: CS-123).</w:t>
      </w:r>
    </w:p>
    <w:p>
      <w:pPr>
        <w:pStyle w:val="ListParagraph"/>
        <w:numPr>
          <w:ilvl w:val="0"/>
          <w:numId w:val="8"/>
        </w:numPr>
        <w:spacing w:after="80"/>
      </w:pPr>
      <w:r>
        <w:rPr>
          <w:rFonts w:ascii="Arial" w:cs="Arial" w:eastAsia="Arial" w:hAnsi="Arial"/>
          <w:sz w:val="22"/>
          <w:szCs w:val="22"/>
        </w:rPr>
        <w:t xml:space="preserve">Visualización del estado del Pull Request directamente en el ticket (abierto, en revisión, aprobado, mergeado).</w:t>
      </w:r>
    </w:p>
    <w:p>
      <w:pPr>
        <w:pStyle w:val="ListParagraph"/>
        <w:numPr>
          <w:ilvl w:val="0"/>
          <w:numId w:val="8"/>
        </w:numPr>
        <w:spacing w:after="80"/>
      </w:pPr>
      <w:r>
        <w:rPr>
          <w:rFonts w:ascii="Arial" w:cs="Arial" w:eastAsia="Arial" w:hAnsi="Arial"/>
          <w:sz w:val="22"/>
          <w:szCs w:val="22"/>
        </w:rPr>
        <w:t xml:space="preserve">Transición automática de estado: cuando se mergea un PR, el ticket pasa automáticamente a DONE.</w:t>
      </w:r>
    </w:p>
    <w:p>
      <w:pPr>
        <w:pStyle w:val="ListParagraph"/>
        <w:numPr>
          <w:ilvl w:val="0"/>
          <w:numId w:val="8"/>
        </w:numPr>
        <w:spacing w:after="80"/>
      </w:pPr>
      <w:r>
        <w:rPr>
          <w:rFonts w:ascii="Arial" w:cs="Arial" w:eastAsia="Arial" w:hAnsi="Arial"/>
          <w:sz w:val="22"/>
          <w:szCs w:val="22"/>
        </w:rPr>
        <w:t xml:space="preserve">Vista de código asociado: mostrar los archivos modificados y diff resumido dentro del detalle del ticket.</w:t>
      </w:r>
    </w:p>
    <w:p>
      <w:pPr>
        <w:pStyle w:val="Heading2"/>
      </w:pPr>
      <w:r>
        <w:t xml:space="preserve">4.2 Integración con Pipelines CI/CD</w:t>
      </w:r>
    </w:p>
    <w:p>
      <w:pPr>
        <w:pStyle w:val="ListParagraph"/>
        <w:numPr>
          <w:ilvl w:val="0"/>
          <w:numId w:val="9"/>
        </w:numPr>
        <w:spacing w:after="80"/>
      </w:pPr>
      <w:r>
        <w:rPr>
          <w:rFonts w:ascii="Arial" w:cs="Arial" w:eastAsia="Arial" w:hAnsi="Arial"/>
          <w:sz w:val="22"/>
          <w:szCs w:val="22"/>
        </w:rPr>
        <w:t xml:space="preserve">Estado del pipeline visible en el ticket: build passing/failing, cobertura de tests, análisis estático.</w:t>
      </w:r>
    </w:p>
    <w:p>
      <w:pPr>
        <w:pStyle w:val="ListParagraph"/>
        <w:numPr>
          <w:ilvl w:val="0"/>
          <w:numId w:val="9"/>
        </w:numPr>
        <w:spacing w:after="80"/>
      </w:pPr>
      <w:r>
        <w:rPr>
          <w:rFonts w:ascii="Arial" w:cs="Arial" w:eastAsia="Arial" w:hAnsi="Arial"/>
          <w:sz w:val="22"/>
          <w:szCs w:val="22"/>
        </w:rPr>
        <w:t xml:space="preserve">Notificaciones de despliegue: alertas cuando el código de un ticket llega a cada ambiente (staging, producción).</w:t>
      </w:r>
    </w:p>
    <w:p>
      <w:pPr>
        <w:pStyle w:val="ListParagraph"/>
        <w:numPr>
          <w:ilvl w:val="0"/>
          <w:numId w:val="9"/>
        </w:numPr>
        <w:spacing w:after="80"/>
      </w:pPr>
      <w:r>
        <w:rPr>
          <w:rFonts w:ascii="Arial" w:cs="Arial" w:eastAsia="Arial" w:hAnsi="Arial"/>
          <w:sz w:val="22"/>
          <w:szCs w:val="22"/>
        </w:rPr>
        <w:t xml:space="preserve">Vinculación con herramientas de CI/CD populares: GitHub Actions, GitLab CI, Jenkins, CircleCI.</w:t>
      </w:r>
    </w:p>
    <w:p>
      <w:pPr>
        <w:pStyle w:val="Heading2"/>
      </w:pPr>
      <w:r>
        <w:t xml:space="preserve">4.3 Comunicación y Colaboración</w:t>
      </w:r>
    </w:p>
    <w:p>
      <w:pPr>
        <w:pStyle w:val="ListParagraph"/>
        <w:numPr>
          <w:ilvl w:val="0"/>
          <w:numId w:val="10"/>
        </w:numPr>
        <w:spacing w:after="80"/>
      </w:pPr>
      <w:r>
        <w:rPr>
          <w:rFonts w:ascii="Arial" w:cs="Arial" w:eastAsia="Arial" w:hAnsi="Arial"/>
          <w:sz w:val="22"/>
          <w:szCs w:val="22"/>
        </w:rPr>
        <w:t xml:space="preserve">Integración con Slack/Microsoft Teams: notificaciones de cambios de estado, asignaciones y bloqueos directamente en canales del equipo.</w:t>
      </w:r>
    </w:p>
    <w:p>
      <w:pPr>
        <w:pStyle w:val="ListParagraph"/>
        <w:numPr>
          <w:ilvl w:val="0"/>
          <w:numId w:val="10"/>
        </w:numPr>
        <w:spacing w:after="80"/>
      </w:pPr>
      <w:r>
        <w:rPr>
          <w:rFonts w:ascii="Arial" w:cs="Arial" w:eastAsia="Arial" w:hAnsi="Arial"/>
          <w:sz w:val="22"/>
          <w:szCs w:val="22"/>
        </w:rPr>
        <w:t xml:space="preserve">Webhooks configurables para conectar con cualquier servicio externo.</w:t>
      </w:r>
    </w:p>
    <w:p>
      <w:pPr>
        <w:pStyle w:val="ListParagraph"/>
        <w:numPr>
          <w:ilvl w:val="0"/>
          <w:numId w:val="10"/>
        </w:numPr>
        <w:spacing w:after="80"/>
      </w:pPr>
      <w:r>
        <w:rPr>
          <w:rFonts w:ascii="Arial" w:cs="Arial" w:eastAsia="Arial" w:hAnsi="Arial"/>
          <w:sz w:val="22"/>
          <w:szCs w:val="22"/>
        </w:rPr>
        <w:t xml:space="preserve">API pública documentada con OpenAPI para permitir integraciones personalizadas de terceros.</w:t>
      </w:r>
    </w:p>
    <w:p>
      <w:pPr>
        <w:pStyle w:val="ListParagraph"/>
        <w:numPr>
          <w:ilvl w:val="0"/>
          <w:numId w:val="10"/>
        </w:numPr>
        <w:spacing w:after="80"/>
      </w:pPr>
      <w:r>
        <w:rPr>
          <w:rFonts w:ascii="Arial" w:cs="Arial" w:eastAsia="Arial" w:hAnsi="Arial"/>
          <w:sz w:val="22"/>
          <w:szCs w:val="22"/>
        </w:rPr>
        <w:t xml:space="preserve">Integración con calendarios (Google Calendar, Outlook) para sincronizar fechas límite y reuniones de sprint.</w:t>
      </w:r>
    </w:p>
    <w:p>
      <w:pPr>
        <w:pStyle w:val="Heading1"/>
        <w:pageBreakBefore/>
      </w:pPr>
      <w:r>
        <w:t xml:space="preserve">5. Experiencia de Usuario (UX/UI)</w:t>
      </w:r>
    </w:p>
    <w:p>
      <w:pPr>
        <w:spacing w:after="120"/>
      </w:pPr>
      <w:r>
        <w:rPr>
          <w:rFonts w:ascii="Arial" w:cs="Arial" w:eastAsia="Arial" w:hAnsi="Arial"/>
          <w:sz w:val="22"/>
          <w:szCs w:val="22"/>
        </w:rPr>
        <w:t xml:space="preserve">La interfaz actual utiliza Tailwind CSS con tema oscuro y transiciones suaves. Para elevar la experiencia de usuario, se proponen las siguientes mejoras:</w:t>
      </w:r>
    </w:p>
    <w:p>
      <w:pPr>
        <w:pStyle w:val="Heading2"/>
      </w:pPr>
      <w:r>
        <w:t xml:space="preserve">5.1 Navegación y Usabilidad</w:t>
      </w:r>
    </w:p>
    <w:p>
      <w:pPr>
        <w:pStyle w:val="ListParagraph"/>
        <w:numPr>
          <w:ilvl w:val="0"/>
          <w:numId w:val="11"/>
        </w:numPr>
        <w:spacing w:after="80"/>
      </w:pPr>
      <w:r>
        <w:rPr>
          <w:rFonts w:ascii="Arial" w:cs="Arial" w:eastAsia="Arial" w:hAnsi="Arial"/>
          <w:sz w:val="22"/>
          <w:szCs w:val="22"/>
        </w:rPr>
        <w:t xml:space="preserve">Búsqueda global con atajos de teclado (Ctrl+K / Cmd+K): búsqueda instantánea de tickets, épicas, usuarios y documentos.</w:t>
      </w:r>
    </w:p>
    <w:p>
      <w:pPr>
        <w:pStyle w:val="ListParagraph"/>
        <w:numPr>
          <w:ilvl w:val="0"/>
          <w:numId w:val="11"/>
        </w:numPr>
        <w:spacing w:after="80"/>
      </w:pPr>
      <w:r>
        <w:rPr>
          <w:rFonts w:ascii="Arial" w:cs="Arial" w:eastAsia="Arial" w:hAnsi="Arial"/>
          <w:sz w:val="22"/>
          <w:szCs w:val="22"/>
        </w:rPr>
        <w:t xml:space="preserve">Breadcrumbs persistentes en todas las vistas para facilitar la orientación del usuario dentro de la jerarquía del proyecto.</w:t>
      </w:r>
    </w:p>
    <w:p>
      <w:pPr>
        <w:pStyle w:val="ListParagraph"/>
        <w:numPr>
          <w:ilvl w:val="0"/>
          <w:numId w:val="11"/>
        </w:numPr>
        <w:spacing w:after="80"/>
      </w:pPr>
      <w:r>
        <w:rPr>
          <w:rFonts w:ascii="Arial" w:cs="Arial" w:eastAsia="Arial" w:hAnsi="Arial"/>
          <w:sz w:val="22"/>
          <w:szCs w:val="22"/>
        </w:rPr>
        <w:t xml:space="preserve">Atajos de teclado configurables para acciones frecuentes (crear ticket, cambiar estado, asignar).</w:t>
      </w:r>
    </w:p>
    <w:p>
      <w:pPr>
        <w:pStyle w:val="ListParagraph"/>
        <w:numPr>
          <w:ilvl w:val="0"/>
          <w:numId w:val="11"/>
        </w:numPr>
        <w:spacing w:after="80"/>
      </w:pPr>
      <w:r>
        <w:rPr>
          <w:rFonts w:ascii="Arial" w:cs="Arial" w:eastAsia="Arial" w:hAnsi="Arial"/>
          <w:sz w:val="22"/>
          <w:szCs w:val="22"/>
        </w:rPr>
        <w:t xml:space="preserve">Vista de lista alternativa al Kanban para usuarios que prefieren formatos tabulares densos.</w:t>
      </w:r>
    </w:p>
    <w:p>
      <w:pPr>
        <w:pStyle w:val="ListParagraph"/>
        <w:numPr>
          <w:ilvl w:val="0"/>
          <w:numId w:val="11"/>
        </w:numPr>
        <w:spacing w:after="80"/>
      </w:pPr>
      <w:r>
        <w:rPr>
          <w:rFonts w:ascii="Arial" w:cs="Arial" w:eastAsia="Arial" w:hAnsi="Arial"/>
          <w:sz w:val="22"/>
          <w:szCs w:val="22"/>
        </w:rPr>
        <w:t xml:space="preserve">Modo de enfoque (focus mode) que oculta elementos de navegación para maximizar el área de trabajo.</w:t>
      </w:r>
    </w:p>
    <w:p>
      <w:pPr>
        <w:pStyle w:val="Heading2"/>
      </w:pPr>
      <w:r>
        <w:t xml:space="preserve">5.2 Personalización y Preferencias</w:t>
      </w:r>
    </w:p>
    <w:p>
      <w:pPr>
        <w:spacing w:after="120"/>
      </w:pPr>
      <w:r>
        <w:rPr>
          <w:rFonts w:ascii="Arial" w:cs="Arial" w:eastAsia="Arial" w:hAnsi="Arial"/>
          <w:sz w:val="22"/>
          <w:szCs w:val="22"/>
        </w:rPr>
        <w:t xml:space="preserve">Permitir que cada usuario configure su experiencia según sus necesidades:</w:t>
      </w:r>
    </w:p>
    <w:p>
      <w:pPr>
        <w:pStyle w:val="ListParagraph"/>
        <w:numPr>
          <w:ilvl w:val="0"/>
          <w:numId w:val="2"/>
        </w:numPr>
        <w:spacing w:after="80"/>
      </w:pPr>
      <w:r>
        <w:rPr>
          <w:rFonts w:ascii="Arial" w:cs="Arial" w:eastAsia="Arial" w:hAnsi="Arial"/>
          <w:sz w:val="22"/>
          <w:szCs w:val="22"/>
        </w:rPr>
        <w:t xml:space="preserve">Temas personalizables más allá de oscuro/claro: paletas corporativas, alto contraste para accesibilidad.</w:t>
      </w:r>
    </w:p>
    <w:p>
      <w:pPr>
        <w:pStyle w:val="ListParagraph"/>
        <w:numPr>
          <w:ilvl w:val="0"/>
          <w:numId w:val="2"/>
        </w:numPr>
        <w:spacing w:after="80"/>
      </w:pPr>
      <w:r>
        <w:rPr>
          <w:rFonts w:ascii="Arial" w:cs="Arial" w:eastAsia="Arial" w:hAnsi="Arial"/>
          <w:sz w:val="22"/>
          <w:szCs w:val="22"/>
        </w:rPr>
        <w:t xml:space="preserve">Vistas guardadas: combinaciones de filtros y ordenamiento que el usuario pueda nombrar y reutilizar.</w:t>
      </w:r>
    </w:p>
    <w:p>
      <w:pPr>
        <w:pStyle w:val="ListParagraph"/>
        <w:numPr>
          <w:ilvl w:val="0"/>
          <w:numId w:val="2"/>
        </w:numPr>
        <w:spacing w:after="80"/>
      </w:pPr>
      <w:r>
        <w:rPr>
          <w:rFonts w:ascii="Arial" w:cs="Arial" w:eastAsia="Arial" w:hAnsi="Arial"/>
          <w:sz w:val="22"/>
          <w:szCs w:val="22"/>
        </w:rPr>
        <w:t xml:space="preserve">Configuración de notificaciones granular: elegir qué eventos generan notificaciones push, email o ninguna.</w:t>
      </w:r>
    </w:p>
    <w:p>
      <w:pPr>
        <w:pStyle w:val="ListParagraph"/>
        <w:numPr>
          <w:ilvl w:val="0"/>
          <w:numId w:val="2"/>
        </w:numPr>
        <w:spacing w:after="80"/>
      </w:pPr>
      <w:r>
        <w:rPr>
          <w:rFonts w:ascii="Arial" w:cs="Arial" w:eastAsia="Arial" w:hAnsi="Arial"/>
          <w:sz w:val="22"/>
          <w:szCs w:val="22"/>
        </w:rPr>
        <w:t xml:space="preserve">Dashboard personalizable con widgets arrastrables para que cada rol vea lo que más le importa.</w:t>
      </w:r>
    </w:p>
    <w:p>
      <w:pPr>
        <w:pStyle w:val="Heading2"/>
      </w:pPr>
      <w:r>
        <w:t xml:space="preserve">5.3 Soporte Móvil y PWA</w:t>
      </w:r>
    </w:p>
    <w:p>
      <w:pPr>
        <w:spacing w:after="120"/>
      </w:pPr>
      <w:r>
        <w:rPr>
          <w:rFonts w:ascii="Arial" w:cs="Arial" w:eastAsia="Arial" w:hAnsi="Arial"/>
          <w:sz w:val="22"/>
          <w:szCs w:val="22"/>
        </w:rPr>
        <w:t xml:space="preserve">El proyecto menciona PWA como fase futura. Las recomendaciones específicas incluyen:</w:t>
      </w:r>
    </w:p>
    <w:p>
      <w:pPr>
        <w:pStyle w:val="ListParagraph"/>
        <w:numPr>
          <w:ilvl w:val="0"/>
          <w:numId w:val="3"/>
        </w:numPr>
        <w:spacing w:after="80"/>
      </w:pPr>
      <w:r>
        <w:rPr>
          <w:rFonts w:ascii="Arial" w:cs="Arial" w:eastAsia="Arial" w:hAnsi="Arial"/>
          <w:sz w:val="22"/>
          <w:szCs w:val="22"/>
        </w:rPr>
        <w:t xml:space="preserve">Diseño responsive completo optimizado para tablets y móviles, especialmente para la vista Workbench.</w:t>
      </w:r>
    </w:p>
    <w:p>
      <w:pPr>
        <w:pStyle w:val="ListParagraph"/>
        <w:numPr>
          <w:ilvl w:val="0"/>
          <w:numId w:val="3"/>
        </w:numPr>
        <w:spacing w:after="80"/>
      </w:pPr>
      <w:r>
        <w:rPr>
          <w:rFonts w:ascii="Arial" w:cs="Arial" w:eastAsia="Arial" w:hAnsi="Arial"/>
          <w:sz w:val="22"/>
          <w:szCs w:val="22"/>
        </w:rPr>
        <w:t xml:space="preserve">Soporte offline para consultar tickets y registrar actualizaciones que se sincronicen al recuperar conexión.</w:t>
      </w:r>
    </w:p>
    <w:p>
      <w:pPr>
        <w:pStyle w:val="ListParagraph"/>
        <w:numPr>
          <w:ilvl w:val="0"/>
          <w:numId w:val="3"/>
        </w:numPr>
        <w:spacing w:after="80"/>
      </w:pPr>
      <w:r>
        <w:rPr>
          <w:rFonts w:ascii="Arial" w:cs="Arial" w:eastAsia="Arial" w:hAnsi="Arial"/>
          <w:sz w:val="22"/>
          <w:szCs w:val="22"/>
        </w:rPr>
        <w:t xml:space="preserve">Notificaciones push nativas en dispositivos móviles para alertas críticas (tickets bloqueados, deadlines).</w:t>
      </w:r>
    </w:p>
    <w:p>
      <w:pPr>
        <w:pStyle w:val="Heading1"/>
        <w:pageBreakBefore/>
      </w:pPr>
      <w:r>
        <w:t xml:space="preserve">6. Calidad y Testing</w:t>
      </w:r>
    </w:p>
    <w:p>
      <w:pPr>
        <w:spacing w:after="120"/>
      </w:pPr>
      <w:r>
        <w:rPr>
          <w:rFonts w:ascii="Arial" w:cs="Arial" w:eastAsia="Arial" w:hAnsi="Arial"/>
          <w:sz w:val="22"/>
          <w:szCs w:val="22"/>
        </w:rPr>
        <w:t xml:space="preserve">El proyecto actualmente no cuenta con suites de pruebas implementadas, aunque se mencionan como próximos pasos. Esta es un área de mejora crítica:</w:t>
      </w:r>
    </w:p>
    <w:p>
      <w:pPr>
        <w:pStyle w:val="Heading2"/>
      </w:pPr>
      <w:r>
        <w:t xml:space="preserve">6.1 Estrategia de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Nivel de Test</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Herramienta Sugerida</w:t>
            </w:r>
          </w:p>
        </w:tc>
        <w:tc>
          <w:tcPr>
            <w:tcW w:type="dxa" w:w="312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Cobertura Objetivo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Unitarios (Backend)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Pytest + pytest-asyncio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80% mínimo</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Unitarios (Frontend)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Vitest + Vue Test Utils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75% mínimo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Integración API</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Pytest + httpx</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 de endpoints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End-to-End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Cypress o Playwright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Flujos críticos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Rendimiento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k6 o Locust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Bajo carga concurrente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Seguridad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OWASP ZAP + Bandit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Análisis periódico</w:t>
            </w:r>
          </w:p>
        </w:tc>
      </w:tr>
    </w:tbl>
    <w:p>
      <w:pPr>
        <w:spacing w:after="120" w:before="120"/>
      </w:pPr>
    </w:p>
    <w:p>
      <w:pPr>
        <w:spacing w:after="120"/>
      </w:pPr>
      <w:r>
        <w:rPr>
          <w:rFonts w:ascii="Arial" w:cs="Arial" w:eastAsia="Arial" w:hAnsi="Arial"/>
          <w:sz w:val="22"/>
          <w:szCs w:val="22"/>
        </w:rPr>
        <w:t xml:space="preserve">Se recomienda además implementar pruebas de contrato (contract tests) entre frontend y backend para garantizar la compatibilidad de la API, y pruebas de accesibilidad automatizadas con herramientas como axe-core.</w:t>
      </w:r>
    </w:p>
    <w:p>
      <w:pPr>
        <w:pStyle w:val="Heading2"/>
      </w:pPr>
      <w:r>
        <w:t xml:space="preserve">6.2 Calidad de Código</w:t>
      </w:r>
    </w:p>
    <w:p>
      <w:pPr>
        <w:pStyle w:val="ListParagraph"/>
        <w:numPr>
          <w:ilvl w:val="0"/>
          <w:numId w:val="4"/>
        </w:numPr>
        <w:spacing w:after="80"/>
      </w:pPr>
      <w:r>
        <w:rPr>
          <w:rFonts w:ascii="Arial" w:cs="Arial" w:eastAsia="Arial" w:hAnsi="Arial"/>
          <w:sz w:val="22"/>
          <w:szCs w:val="22"/>
        </w:rPr>
        <w:t xml:space="preserve">Linting estricto: ESLint con reglas de Vue 3 y TypeScript en el frontend; Ruff o flake8 en el backend.</w:t>
      </w:r>
    </w:p>
    <w:p>
      <w:pPr>
        <w:pStyle w:val="ListParagraph"/>
        <w:numPr>
          <w:ilvl w:val="0"/>
          <w:numId w:val="4"/>
        </w:numPr>
        <w:spacing w:after="80"/>
      </w:pPr>
      <w:r>
        <w:rPr>
          <w:rFonts w:ascii="Arial" w:cs="Arial" w:eastAsia="Arial" w:hAnsi="Arial"/>
          <w:sz w:val="22"/>
          <w:szCs w:val="22"/>
        </w:rPr>
        <w:t xml:space="preserve">Pre-commit hooks con Husky para ejecutar linting, formateo y tests antes de cada commit.</w:t>
      </w:r>
    </w:p>
    <w:p>
      <w:pPr>
        <w:pStyle w:val="ListParagraph"/>
        <w:numPr>
          <w:ilvl w:val="0"/>
          <w:numId w:val="4"/>
        </w:numPr>
        <w:spacing w:after="80"/>
      </w:pPr>
      <w:r>
        <w:rPr>
          <w:rFonts w:ascii="Arial" w:cs="Arial" w:eastAsia="Arial" w:hAnsi="Arial"/>
          <w:sz w:val="22"/>
          <w:szCs w:val="22"/>
        </w:rPr>
        <w:t xml:space="preserve">Revisión automática de complejidad ciclomática y cobertura de código en cada Pull Request.</w:t>
      </w:r>
    </w:p>
    <w:p>
      <w:pPr>
        <w:pStyle w:val="ListParagraph"/>
        <w:numPr>
          <w:ilvl w:val="0"/>
          <w:numId w:val="4"/>
        </w:numPr>
        <w:spacing w:after="80"/>
      </w:pPr>
      <w:r>
        <w:rPr>
          <w:rFonts w:ascii="Arial" w:cs="Arial" w:eastAsia="Arial" w:hAnsi="Arial"/>
          <w:sz w:val="22"/>
          <w:szCs w:val="22"/>
        </w:rPr>
        <w:t xml:space="preserve">Documentación de API automática con Swagger/ReDoc ya presente, pero añadir ejemplos interactivos.</w:t>
      </w:r>
    </w:p>
    <w:p>
      <w:pPr>
        <w:pStyle w:val="Heading1"/>
        <w:pageBreakBefore/>
      </w:pPr>
      <w:r>
        <w:t xml:space="preserve">7. Seguridad y Cumplimiento</w:t>
      </w:r>
    </w:p>
    <w:p>
      <w:pPr>
        <w:spacing w:after="120"/>
      </w:pPr>
      <w:r>
        <w:rPr>
          <w:rFonts w:ascii="Arial" w:cs="Arial" w:eastAsia="Arial" w:hAnsi="Arial"/>
          <w:sz w:val="22"/>
          <w:szCs w:val="22"/>
        </w:rPr>
        <w:t xml:space="preserve">El backend ya implementa JWT con bcrypt y control de roles (RBAC). Para fortalecer la postura de seguridad:</w:t>
      </w:r>
    </w:p>
    <w:p>
      <w:pPr>
        <w:pStyle w:val="Heading2"/>
      </w:pPr>
      <w:r>
        <w:t xml:space="preserve">7.1 Mejoras de Autenticación</w:t>
      </w:r>
    </w:p>
    <w:p>
      <w:pPr>
        <w:pStyle w:val="ListParagraph"/>
        <w:numPr>
          <w:ilvl w:val="0"/>
          <w:numId w:val="5"/>
        </w:numPr>
        <w:spacing w:after="80"/>
      </w:pPr>
      <w:r>
        <w:rPr>
          <w:rFonts w:ascii="Arial" w:cs="Arial" w:eastAsia="Arial" w:hAnsi="Arial"/>
          <w:sz w:val="22"/>
          <w:szCs w:val="22"/>
        </w:rPr>
        <w:t xml:space="preserve">Autenticación multifactor (MFA/2FA): soporte para TOTP (Google Authenticator) y llaves de seguridad WebAuthn/FIDO2.</w:t>
      </w:r>
    </w:p>
    <w:p>
      <w:pPr>
        <w:pStyle w:val="ListParagraph"/>
        <w:numPr>
          <w:ilvl w:val="0"/>
          <w:numId w:val="5"/>
        </w:numPr>
        <w:spacing w:after="80"/>
      </w:pPr>
      <w:r>
        <w:rPr>
          <w:rFonts w:ascii="Arial" w:cs="Arial" w:eastAsia="Arial" w:hAnsi="Arial"/>
          <w:sz w:val="22"/>
          <w:szCs w:val="22"/>
        </w:rPr>
        <w:t xml:space="preserve">Single Sign-On (SSO): integración con proveedores SAML 2.0 y OAuth 2.0 corporativos (Azure AD, Google Workspace, Okta).</w:t>
      </w:r>
    </w:p>
    <w:p>
      <w:pPr>
        <w:pStyle w:val="ListParagraph"/>
        <w:numPr>
          <w:ilvl w:val="0"/>
          <w:numId w:val="5"/>
        </w:numPr>
        <w:spacing w:after="80"/>
      </w:pPr>
      <w:r>
        <w:rPr>
          <w:rFonts w:ascii="Arial" w:cs="Arial" w:eastAsia="Arial" w:hAnsi="Arial"/>
          <w:sz w:val="22"/>
          <w:szCs w:val="22"/>
        </w:rPr>
        <w:t xml:space="preserve">Política de contraseñas configurable: longitud mínima, complejidad, historial de contraseñas y rotación obligatoria.</w:t>
      </w:r>
    </w:p>
    <w:p>
      <w:pPr>
        <w:pStyle w:val="ListParagraph"/>
        <w:numPr>
          <w:ilvl w:val="0"/>
          <w:numId w:val="5"/>
        </w:numPr>
        <w:spacing w:after="80"/>
      </w:pPr>
      <w:r>
        <w:rPr>
          <w:rFonts w:ascii="Arial" w:cs="Arial" w:eastAsia="Arial" w:hAnsi="Arial"/>
          <w:sz w:val="22"/>
          <w:szCs w:val="22"/>
        </w:rPr>
        <w:t xml:space="preserve">Gestión de sesiones: tiempo de expiración configurable, cierre de sesiones remotas, registro de dispositivos.</w:t>
      </w:r>
    </w:p>
    <w:p>
      <w:pPr>
        <w:pStyle w:val="Heading2"/>
      </w:pPr>
      <w:r>
        <w:t xml:space="preserve">7.2 Auditoría y Cumplimiento</w:t>
      </w:r>
    </w:p>
    <w:p>
      <w:pPr>
        <w:pStyle w:val="ListParagraph"/>
        <w:numPr>
          <w:ilvl w:val="0"/>
          <w:numId w:val="6"/>
        </w:numPr>
        <w:spacing w:after="80"/>
      </w:pPr>
      <w:r>
        <w:rPr>
          <w:rFonts w:ascii="Arial" w:cs="Arial" w:eastAsia="Arial" w:hAnsi="Arial"/>
          <w:sz w:val="22"/>
          <w:szCs w:val="22"/>
        </w:rPr>
        <w:t xml:space="preserve">Log de auditoría inmutable: registro detallado de todas las acciones realizadas en el sistema (quién, qué, cuándo, desde dónde).</w:t>
      </w:r>
    </w:p>
    <w:p>
      <w:pPr>
        <w:pStyle w:val="ListParagraph"/>
        <w:numPr>
          <w:ilvl w:val="0"/>
          <w:numId w:val="6"/>
        </w:numPr>
        <w:spacing w:after="80"/>
      </w:pPr>
      <w:r>
        <w:rPr>
          <w:rFonts w:ascii="Arial" w:cs="Arial" w:eastAsia="Arial" w:hAnsi="Arial"/>
          <w:sz w:val="22"/>
          <w:szCs w:val="22"/>
        </w:rPr>
        <w:t xml:space="preserve">Retención de datos configurable: políticas de retención y eliminación para cumplir con GDPR y regulaciones locales.</w:t>
      </w:r>
    </w:p>
    <w:p>
      <w:pPr>
        <w:pStyle w:val="ListParagraph"/>
        <w:numPr>
          <w:ilvl w:val="0"/>
          <w:numId w:val="6"/>
        </w:numPr>
        <w:spacing w:after="80"/>
      </w:pPr>
      <w:r>
        <w:rPr>
          <w:rFonts w:ascii="Arial" w:cs="Arial" w:eastAsia="Arial" w:hAnsi="Arial"/>
          <w:sz w:val="22"/>
          <w:szCs w:val="22"/>
        </w:rPr>
        <w:t xml:space="preserve">Control de acceso granular a nivel de proyecto y épica, no solo por rol global.</w:t>
      </w:r>
    </w:p>
    <w:p>
      <w:pPr>
        <w:pStyle w:val="ListParagraph"/>
        <w:numPr>
          <w:ilvl w:val="0"/>
          <w:numId w:val="6"/>
        </w:numPr>
        <w:spacing w:after="80"/>
      </w:pPr>
      <w:r>
        <w:rPr>
          <w:rFonts w:ascii="Arial" w:cs="Arial" w:eastAsia="Arial" w:hAnsi="Arial"/>
          <w:sz w:val="22"/>
          <w:szCs w:val="22"/>
        </w:rPr>
        <w:t xml:space="preserve">Encriptación de datos sensibles en reposo (base de datos) y en tránsito (TLS/HTTPS obligatorio).</w:t>
      </w:r>
    </w:p>
    <w:p>
      <w:pPr>
        <w:pStyle w:val="Heading1"/>
      </w:pPr>
      <w:r>
        <w:t xml:space="preserve">8. Rendimiento y Escalabilidad</w:t>
      </w:r>
    </w:p>
    <w:p>
      <w:pPr>
        <w:spacing w:after="120"/>
      </w:pPr>
      <w:r>
        <w:rPr>
          <w:rFonts w:ascii="Arial" w:cs="Arial" w:eastAsia="Arial" w:hAnsi="Arial"/>
          <w:sz w:val="22"/>
          <w:szCs w:val="22"/>
        </w:rPr>
        <w:t xml:space="preserve">La arquitectura actual con FastAPI async y PostgreSQL es una base excelente. Para preparar la plataforma para escala:</w:t>
      </w:r>
    </w:p>
    <w:p>
      <w:pPr>
        <w:pStyle w:val="ListParagraph"/>
        <w:numPr>
          <w:ilvl w:val="0"/>
          <w:numId w:val="7"/>
        </w:numPr>
        <w:spacing w:after="80"/>
      </w:pPr>
      <w:r>
        <w:rPr>
          <w:rFonts w:ascii="Arial" w:cs="Arial" w:eastAsia="Arial" w:hAnsi="Arial"/>
          <w:sz w:val="22"/>
          <w:szCs w:val="22"/>
        </w:rPr>
        <w:t xml:space="preserve">Implementar paginación basada en cursor (en lugar de offset) para conjuntos de datos grandes, mejorando el rendimiento en listas extensas.</w:t>
      </w:r>
    </w:p>
    <w:p>
      <w:pPr>
        <w:pStyle w:val="ListParagraph"/>
        <w:numPr>
          <w:ilvl w:val="0"/>
          <w:numId w:val="7"/>
        </w:numPr>
        <w:spacing w:after="80"/>
      </w:pPr>
      <w:r>
        <w:rPr>
          <w:rFonts w:ascii="Arial" w:cs="Arial" w:eastAsia="Arial" w:hAnsi="Arial"/>
          <w:sz w:val="22"/>
          <w:szCs w:val="22"/>
        </w:rPr>
        <w:t xml:space="preserve">Caché inteligente con Redis para consultas frecuentes: dashboard de analítica, listas de tickets, configuraciones de proyecto.</w:t>
      </w:r>
    </w:p>
    <w:p>
      <w:pPr>
        <w:pStyle w:val="ListParagraph"/>
        <w:numPr>
          <w:ilvl w:val="0"/>
          <w:numId w:val="7"/>
        </w:numPr>
        <w:spacing w:after="80"/>
      </w:pPr>
      <w:r>
        <w:rPr>
          <w:rFonts w:ascii="Arial" w:cs="Arial" w:eastAsia="Arial" w:hAnsi="Arial"/>
          <w:sz w:val="22"/>
          <w:szCs w:val="22"/>
        </w:rPr>
        <w:t xml:space="preserve">Optimización de consultas a base de datos: índices estratégicos, carga ansiosa (eager loading) para relaciones frecuentes y análisis periódico de queries lentas.</w:t>
      </w:r>
    </w:p>
    <w:p>
      <w:pPr>
        <w:pStyle w:val="ListParagraph"/>
        <w:numPr>
          <w:ilvl w:val="0"/>
          <w:numId w:val="7"/>
        </w:numPr>
        <w:spacing w:after="80"/>
      </w:pPr>
      <w:r>
        <w:rPr>
          <w:rFonts w:ascii="Arial" w:cs="Arial" w:eastAsia="Arial" w:hAnsi="Arial"/>
          <w:sz w:val="22"/>
          <w:szCs w:val="22"/>
        </w:rPr>
        <w:t xml:space="preserve">CDN para assets estáticos del frontend y compresión de respuestas API con gzip/brotli.</w:t>
      </w:r>
    </w:p>
    <w:p>
      <w:pPr>
        <w:pStyle w:val="ListParagraph"/>
        <w:numPr>
          <w:ilvl w:val="0"/>
          <w:numId w:val="7"/>
        </w:numPr>
        <w:spacing w:after="80"/>
      </w:pPr>
      <w:r>
        <w:rPr>
          <w:rFonts w:ascii="Arial" w:cs="Arial" w:eastAsia="Arial" w:hAnsi="Arial"/>
          <w:sz w:val="22"/>
          <w:szCs w:val="22"/>
        </w:rPr>
        <w:t xml:space="preserve">Escalamiento horizontal: preparar la aplicación para funcionar detrás de un balanceador de carga con sesiones distribuidas vía Redis.</w:t>
      </w:r>
    </w:p>
    <w:p>
      <w:pPr>
        <w:pStyle w:val="ListParagraph"/>
        <w:numPr>
          <w:ilvl w:val="0"/>
          <w:numId w:val="7"/>
        </w:numPr>
        <w:spacing w:after="80"/>
      </w:pPr>
      <w:r>
        <w:rPr>
          <w:rFonts w:ascii="Arial" w:cs="Arial" w:eastAsia="Arial" w:hAnsi="Arial"/>
          <w:sz w:val="22"/>
          <w:szCs w:val="22"/>
        </w:rPr>
        <w:t xml:space="preserve">Lazy loading agresivo en el frontend: cargar componentes y datos solo cuando el usuario los necesita.</w:t>
      </w:r>
    </w:p>
    <w:p>
      <w:pPr>
        <w:pStyle w:val="Heading1"/>
        <w:pageBreakBefore/>
      </w:pPr>
      <w:r>
        <w:t xml:space="preserve">9. Automatización y CI/CD</w:t>
      </w:r>
    </w:p>
    <w:p>
      <w:pPr>
        <w:spacing w:after="120"/>
      </w:pPr>
      <w:r>
        <w:rPr>
          <w:rFonts w:ascii="Arial" w:cs="Arial" w:eastAsia="Arial" w:hAnsi="Arial"/>
          <w:sz w:val="22"/>
          <w:szCs w:val="22"/>
        </w:rPr>
        <w:t xml:space="preserve">El proyecto cuenta con Dockerfiles y docker-compose para el entorno de desarrollo. Para llevar esto a un nivel de producción:</w:t>
      </w:r>
    </w:p>
    <w:p>
      <w:pPr>
        <w:pStyle w:val="Heading2"/>
      </w:pPr>
      <w:r>
        <w:t xml:space="preserve">9.1 Pipeline de CI/CD</w:t>
      </w:r>
    </w:p>
    <w:p>
      <w:pPr>
        <w:pStyle w:val="ListParagraph"/>
        <w:numPr>
          <w:ilvl w:val="0"/>
          <w:numId w:val="8"/>
        </w:numPr>
        <w:spacing w:after="80"/>
      </w:pPr>
      <w:r>
        <w:rPr>
          <w:rFonts w:ascii="Arial" w:cs="Arial" w:eastAsia="Arial" w:hAnsi="Arial"/>
          <w:sz w:val="22"/>
          <w:szCs w:val="22"/>
        </w:rPr>
        <w:t xml:space="preserve">Pipeline automatizado con GitHub Actions o GitLab CI que incluya: linting, tests unitarios, tests de integración, build, y despliegue.</w:t>
      </w:r>
    </w:p>
    <w:p>
      <w:pPr>
        <w:pStyle w:val="ListParagraph"/>
        <w:numPr>
          <w:ilvl w:val="0"/>
          <w:numId w:val="8"/>
        </w:numPr>
        <w:spacing w:after="80"/>
      </w:pPr>
      <w:r>
        <w:rPr>
          <w:rFonts w:ascii="Arial" w:cs="Arial" w:eastAsia="Arial" w:hAnsi="Arial"/>
          <w:sz w:val="22"/>
          <w:szCs w:val="22"/>
        </w:rPr>
        <w:t xml:space="preserve">Ambientes separados: desarrollo, staging y producción con promoción controlada entre ellos.</w:t>
      </w:r>
    </w:p>
    <w:p>
      <w:pPr>
        <w:pStyle w:val="ListParagraph"/>
        <w:numPr>
          <w:ilvl w:val="0"/>
          <w:numId w:val="8"/>
        </w:numPr>
        <w:spacing w:after="80"/>
      </w:pPr>
      <w:r>
        <w:rPr>
          <w:rFonts w:ascii="Arial" w:cs="Arial" w:eastAsia="Arial" w:hAnsi="Arial"/>
          <w:sz w:val="22"/>
          <w:szCs w:val="22"/>
        </w:rPr>
        <w:t xml:space="preserve">Rollback automático si las métricas de salud del despliegue caen por debajo de umbrales definidos.</w:t>
      </w:r>
    </w:p>
    <w:p>
      <w:pPr>
        <w:pStyle w:val="ListParagraph"/>
        <w:numPr>
          <w:ilvl w:val="0"/>
          <w:numId w:val="8"/>
        </w:numPr>
        <w:spacing w:after="80"/>
      </w:pPr>
      <w:r>
        <w:rPr>
          <w:rFonts w:ascii="Arial" w:cs="Arial" w:eastAsia="Arial" w:hAnsi="Arial"/>
          <w:sz w:val="22"/>
          <w:szCs w:val="22"/>
        </w:rPr>
        <w:t xml:space="preserve">Feature flags para desplegar funcionalidades gradualmente sin arriesgar la estabilidad del sistema.</w:t>
      </w:r>
    </w:p>
    <w:p>
      <w:pPr>
        <w:pStyle w:val="Heading2"/>
      </w:pPr>
      <w:r>
        <w:t xml:space="preserve">9.2 Automatización de Flujos de Trabajo</w:t>
      </w:r>
    </w:p>
    <w:p>
      <w:pPr>
        <w:pStyle w:val="ListParagraph"/>
        <w:numPr>
          <w:ilvl w:val="0"/>
          <w:numId w:val="9"/>
        </w:numPr>
        <w:spacing w:after="80"/>
      </w:pPr>
      <w:r>
        <w:rPr>
          <w:rFonts w:ascii="Arial" w:cs="Arial" w:eastAsia="Arial" w:hAnsi="Arial"/>
          <w:sz w:val="22"/>
          <w:szCs w:val="22"/>
        </w:rPr>
        <w:t xml:space="preserve">Motor de reglas configurable: acciones automáticas cuando se cumplen condiciones (ej: si un ticket lleva más de 48h bloqueado, escalar al líder de grupo).</w:t>
      </w:r>
    </w:p>
    <w:p>
      <w:pPr>
        <w:pStyle w:val="ListParagraph"/>
        <w:numPr>
          <w:ilvl w:val="0"/>
          <w:numId w:val="9"/>
        </w:numPr>
        <w:spacing w:after="80"/>
      </w:pPr>
      <w:r>
        <w:rPr>
          <w:rFonts w:ascii="Arial" w:cs="Arial" w:eastAsia="Arial" w:hAnsi="Arial"/>
          <w:sz w:val="22"/>
          <w:szCs w:val="22"/>
        </w:rPr>
        <w:t xml:space="preserve">Templates de tickets y épicas: plantillas predefinidas para tareas recurrentes (bug fix, feature, hotfix).</w:t>
      </w:r>
    </w:p>
    <w:p>
      <w:pPr>
        <w:pStyle w:val="ListParagraph"/>
        <w:numPr>
          <w:ilvl w:val="0"/>
          <w:numId w:val="9"/>
        </w:numPr>
        <w:spacing w:after="80"/>
      </w:pPr>
      <w:r>
        <w:rPr>
          <w:rFonts w:ascii="Arial" w:cs="Arial" w:eastAsia="Arial" w:hAnsi="Arial"/>
          <w:sz w:val="22"/>
          <w:szCs w:val="22"/>
        </w:rPr>
        <w:t xml:space="preserve">Asignación automática inteligente basada en carga de trabajo actual, especialidad del desarrollador y disponibilidad.</w:t>
      </w:r>
    </w:p>
    <w:p>
      <w:pPr>
        <w:pStyle w:val="ListParagraph"/>
        <w:numPr>
          <w:ilvl w:val="0"/>
          <w:numId w:val="9"/>
        </w:numPr>
        <w:spacing w:after="80"/>
      </w:pPr>
      <w:r>
        <w:rPr>
          <w:rFonts w:ascii="Arial" w:cs="Arial" w:eastAsia="Arial" w:hAnsi="Arial"/>
          <w:sz w:val="22"/>
          <w:szCs w:val="22"/>
        </w:rPr>
        <w:t xml:space="preserve">Recordatorios automáticos para tickets que se acercan a su fecha límite sin actividad reciente.</w:t>
      </w:r>
    </w:p>
    <w:p>
      <w:pPr>
        <w:pStyle w:val="Heading1"/>
      </w:pPr>
      <w:r>
        <w:t xml:space="preserve">10. Gestión del Conocimiento</w:t>
      </w:r>
    </w:p>
    <w:p>
      <w:pPr>
        <w:spacing w:after="120"/>
      </w:pPr>
      <w:r>
        <w:rPr>
          <w:rFonts w:ascii="Arial" w:cs="Arial" w:eastAsia="Arial" w:hAnsi="Arial"/>
          <w:sz w:val="22"/>
          <w:szCs w:val="22"/>
        </w:rPr>
        <w:t xml:space="preserve">CoreStream incluye un módulo de documentos (CodeDocsView, UploadsView) pero puede evolucionar hacia una base de conocimiento más completa:</w:t>
      </w:r>
    </w:p>
    <w:p>
      <w:pPr>
        <w:pStyle w:val="ListParagraph"/>
        <w:numPr>
          <w:ilvl w:val="0"/>
          <w:numId w:val="10"/>
        </w:numPr>
        <w:spacing w:after="80"/>
      </w:pPr>
      <w:r>
        <w:rPr>
          <w:rFonts w:ascii="Arial" w:cs="Arial" w:eastAsia="Arial" w:hAnsi="Arial"/>
          <w:sz w:val="22"/>
          <w:szCs w:val="22"/>
        </w:rPr>
        <w:t xml:space="preserve">Wiki integrada por proyecto: documentación técnica con editor Markdown enriquecido, soporte para diagramas y versionado.</w:t>
      </w:r>
    </w:p>
    <w:p>
      <w:pPr>
        <w:pStyle w:val="ListParagraph"/>
        <w:numPr>
          <w:ilvl w:val="0"/>
          <w:numId w:val="10"/>
        </w:numPr>
        <w:spacing w:after="80"/>
      </w:pPr>
      <w:r>
        <w:rPr>
          <w:rFonts w:ascii="Arial" w:cs="Arial" w:eastAsia="Arial" w:hAnsi="Arial"/>
          <w:sz w:val="22"/>
          <w:szCs w:val="22"/>
        </w:rPr>
        <w:t xml:space="preserve">Base de conocimiento de incidentes: registro de post-mortem vinculado automáticamente a los tickets de incidente.</w:t>
      </w:r>
    </w:p>
    <w:p>
      <w:pPr>
        <w:pStyle w:val="ListParagraph"/>
        <w:numPr>
          <w:ilvl w:val="0"/>
          <w:numId w:val="10"/>
        </w:numPr>
        <w:spacing w:after="80"/>
      </w:pPr>
      <w:r>
        <w:rPr>
          <w:rFonts w:ascii="Arial" w:cs="Arial" w:eastAsia="Arial" w:hAnsi="Arial"/>
          <w:sz w:val="22"/>
          <w:szCs w:val="22"/>
        </w:rPr>
        <w:t xml:space="preserve">Búsqueda semántica: capacidad de buscar no solo por palabras clave sino por significado en toda la documentación del proyecto.</w:t>
      </w:r>
    </w:p>
    <w:p>
      <w:pPr>
        <w:pStyle w:val="ListParagraph"/>
        <w:numPr>
          <w:ilvl w:val="0"/>
          <w:numId w:val="10"/>
        </w:numPr>
        <w:spacing w:after="80"/>
      </w:pPr>
      <w:r>
        <w:rPr>
          <w:rFonts w:ascii="Arial" w:cs="Arial" w:eastAsia="Arial" w:hAnsi="Arial"/>
          <w:sz w:val="22"/>
          <w:szCs w:val="22"/>
        </w:rPr>
        <w:t xml:space="preserve">Plantillas de documentación: guías de estilo, plantillas de especificación técnica y casos de prueba estandarizados.</w:t>
      </w:r>
    </w:p>
    <w:p>
      <w:pPr>
        <w:pStyle w:val="ListParagraph"/>
        <w:numPr>
          <w:ilvl w:val="0"/>
          <w:numId w:val="10"/>
        </w:numPr>
        <w:spacing w:after="80"/>
      </w:pPr>
      <w:r>
        <w:rPr>
          <w:rFonts w:ascii="Arial" w:cs="Arial" w:eastAsia="Arial" w:hAnsi="Arial"/>
          <w:sz w:val="22"/>
          <w:szCs w:val="22"/>
        </w:rPr>
        <w:t xml:space="preserve">Vinculación automática entre documentos y tickets para mantener la trazabilidad entre requisitos, implementación y pruebas.</w:t>
      </w:r>
    </w:p>
    <w:p>
      <w:pPr>
        <w:pStyle w:val="Heading1"/>
      </w:pPr>
      <w:r>
        <w:t xml:space="preserve">11. Internacionalización y Accesibilidad</w:t>
      </w:r>
    </w:p>
    <w:p>
      <w:pPr>
        <w:spacing w:after="120"/>
      </w:pPr>
      <w:r>
        <w:rPr>
          <w:rFonts w:ascii="Arial" w:cs="Arial" w:eastAsia="Arial" w:hAnsi="Arial"/>
          <w:sz w:val="22"/>
          <w:szCs w:val="22"/>
        </w:rPr>
        <w:t xml:space="preserve">El proyecto tiene soporte para i18n y código comentado en español. Las siguientes mejoras ampliarán el alcance:</w:t>
      </w:r>
    </w:p>
    <w:p>
      <w:pPr>
        <w:pStyle w:val="ListParagraph"/>
        <w:numPr>
          <w:ilvl w:val="0"/>
          <w:numId w:val="11"/>
        </w:numPr>
        <w:spacing w:after="80"/>
      </w:pPr>
      <w:r>
        <w:rPr>
          <w:rFonts w:ascii="Arial" w:cs="Arial" w:eastAsia="Arial" w:hAnsi="Arial"/>
          <w:sz w:val="22"/>
          <w:szCs w:val="22"/>
        </w:rPr>
        <w:t xml:space="preserve">Traducción completa a inglés, portugués y francés para cubrir mercados clave de Latinoamérica, Europa y América del Norte.</w:t>
      </w:r>
    </w:p>
    <w:p>
      <w:pPr>
        <w:pStyle w:val="ListParagraph"/>
        <w:numPr>
          <w:ilvl w:val="0"/>
          <w:numId w:val="11"/>
        </w:numPr>
        <w:spacing w:after="80"/>
      </w:pPr>
      <w:r>
        <w:rPr>
          <w:rFonts w:ascii="Arial" w:cs="Arial" w:eastAsia="Arial" w:hAnsi="Arial"/>
          <w:sz w:val="22"/>
          <w:szCs w:val="22"/>
        </w:rPr>
        <w:t xml:space="preserve">Localización de formatos: fechas, números, monedas y zonas horarias según la configuración regional del usuario.</w:t>
      </w:r>
    </w:p>
    <w:p>
      <w:pPr>
        <w:pStyle w:val="ListParagraph"/>
        <w:numPr>
          <w:ilvl w:val="0"/>
          <w:numId w:val="11"/>
        </w:numPr>
        <w:spacing w:after="80"/>
      </w:pPr>
      <w:r>
        <w:rPr>
          <w:rFonts w:ascii="Arial" w:cs="Arial" w:eastAsia="Arial" w:hAnsi="Arial"/>
          <w:sz w:val="22"/>
          <w:szCs w:val="22"/>
        </w:rPr>
        <w:t xml:space="preserve">Cumplimiento WCAG 2.1 nivel AA: contraste adecuado, navegación por teclado completa, lectores de pantalla.</w:t>
      </w:r>
    </w:p>
    <w:p>
      <w:pPr>
        <w:pStyle w:val="ListParagraph"/>
        <w:numPr>
          <w:ilvl w:val="0"/>
          <w:numId w:val="11"/>
        </w:numPr>
        <w:spacing w:after="80"/>
      </w:pPr>
      <w:r>
        <w:rPr>
          <w:rFonts w:ascii="Arial" w:cs="Arial" w:eastAsia="Arial" w:hAnsi="Arial"/>
          <w:sz w:val="22"/>
          <w:szCs w:val="22"/>
        </w:rPr>
        <w:t xml:space="preserve">Soporte RTL (right-to-left) para idiomas como árabe y hebreo en caso de expansión internacional.</w:t>
      </w:r>
    </w:p>
    <w:p>
      <w:pPr>
        <w:pStyle w:val="Heading1"/>
        <w:pageBreakBefore/>
      </w:pPr>
      <w:r>
        <w:t xml:space="preserve">12. Hoja de Ruta Propuesta</w:t>
      </w:r>
    </w:p>
    <w:p>
      <w:pPr>
        <w:spacing w:after="120"/>
      </w:pPr>
      <w:r>
        <w:rPr>
          <w:rFonts w:ascii="Arial" w:cs="Arial" w:eastAsia="Arial" w:hAnsi="Arial"/>
          <w:sz w:val="22"/>
          <w:szCs w:val="22"/>
        </w:rPr>
        <w:t xml:space="preserve">Se propone la siguiente hoja de ruta para la implementación de las mejoras, organizada en trimestres: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400"/>
        <w:gridCol w:w="4260"/>
      </w:tblGrid>
      <w:tr>
        <w:tc>
          <w:tcPr>
            <w:tcW w:type="dxa" w:w="12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Fase</w:t>
            </w:r>
          </w:p>
        </w:tc>
        <w:tc>
          <w:tcPr>
            <w:tcW w:type="dxa" w:w="15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Período</w:t>
            </w:r>
          </w:p>
        </w:tc>
        <w:tc>
          <w:tcPr>
            <w:tcW w:type="dxa" w:w="240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Foco Principal</w:t>
            </w:r>
          </w:p>
        </w:tc>
        <w:tc>
          <w:tcPr>
            <w:tcW w:type="dxa" w:w="4260"/>
            <w:tcBorders>
              <w:top w:val="single" w:color="1E3A5F" w:sz="1"/>
              <w:left w:val="single" w:color="1E3A5F" w:sz="1"/>
              <w:bottom w:val="single" w:color="1E3A5F" w:sz="1"/>
              <w:right w:val="single" w:color="1E3A5F" w:sz="1"/>
            </w:tcBorders>
            <w:shd w:fill="1E3A5F"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Entregables Clave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Fase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Q2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Fundamentos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Testing, CI/CD, Sprints, Calidad de código</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Fase 2</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Q3 2026</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Analítica</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Métricas ágiles, Dashboard ejecutivo, Reportes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Fase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Q4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Integraciones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Git bidireccional, Slack/Teams, Webhooks</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Fase 4</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Q1 2027</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UX y Móvil</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PWA, Búsqueda global, Personalización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Fase 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Q2 2027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Seguridad</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MFA, SSO, Auditoría, Cumplimiento</w:t>
            </w:r>
          </w:p>
        </w:tc>
      </w:tr>
      <w:tr>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Fase 6</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Q3 2027</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Escala</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sz w:val="20"/>
                <w:szCs w:val="20"/>
              </w:rPr>
              <w:t xml:space="preserve">Rendimiento, Automatización avanzada, i18n</w:t>
            </w:r>
          </w:p>
        </w:tc>
      </w:tr>
    </w:tbl>
    <w:p>
      <w:pPr>
        <w:spacing w:after="240" w:before="240"/>
      </w:pPr>
    </w:p>
    <w:p>
      <w:pPr>
        <w:pStyle w:val="Heading1"/>
      </w:pPr>
      <w:r>
        <w:t xml:space="preserve">13. Conclusión</w:t>
      </w:r>
    </w:p>
    <w:p>
      <w:pPr>
        <w:spacing w:after="120"/>
      </w:pPr>
      <w:r>
        <w:rPr>
          <w:rFonts w:ascii="Arial" w:cs="Arial" w:eastAsia="Arial" w:hAnsi="Arial"/>
          <w:sz w:val="22"/>
          <w:szCs w:val="22"/>
        </w:rPr>
        <w:t xml:space="preserve">CoreStream posee una base técnica sólida con arquitectura moderna y código bien estructurado. Las mejoras propuestas en este documento están diseñadas para transformar la plataforma de un sistema de seguimiento de tickets funcional a una herramienta integral de gestión de proyectos que pueda competir con soluciones establecidas en el mercado.</w:t>
      </w:r>
    </w:p>
    <w:p>
      <w:pPr>
        <w:spacing w:after="120"/>
      </w:pPr>
      <w:r>
        <w:rPr>
          <w:rFonts w:ascii="Arial" w:cs="Arial" w:eastAsia="Arial" w:hAnsi="Arial"/>
          <w:sz w:val="22"/>
          <w:szCs w:val="22"/>
        </w:rPr>
        <w:t xml:space="preserve">La implementación gradual siguiendo la hoja de ruta propuesta permitirá validar cada mejora con usuarios reales antes de avanzar a la siguiente fase, minimizando riesgos y maximizando el valor entregado en cada iteración.</w:t>
      </w:r>
    </w:p>
    <w:p>
      <w:pPr>
        <w:spacing w:after="120"/>
      </w:pPr>
      <w:r>
        <w:rPr>
          <w:rFonts w:ascii="Arial" w:cs="Arial" w:eastAsia="Arial" w:hAnsi="Arial"/>
          <w:sz w:val="22"/>
          <w:szCs w:val="22"/>
        </w:rPr>
        <w:t xml:space="preserve">Las áreas de mayor impacto inmediato son el soporte para metodologías ágiles (Sprints), la analítica avanzada y la implementación de una estrategia de testing robusta. Estas tres áreas, combinadas, establecerán los cimientos necesarios para que las demás mejoras se construyan sobre una plataforma confiable y medible.</w:t>
      </w:r>
    </w:p>
    <w:p>
      <w:pPr>
        <w:spacing w:after="300" w:before="300"/>
      </w:pPr>
    </w:p>
    <w:p>
      <w:pPr>
        <w:pBdr>
          <w:top w:val="single" w:color="CCCCCC" w:sz="4" w:space="8"/>
        </w:pBdr>
        <w:spacing w:before="200"/>
        <w:jc w:val="center"/>
      </w:pPr>
      <w:r>
        <w:rPr>
          <w:rFonts w:ascii="Arial" w:cs="Arial" w:eastAsia="Arial" w:hAnsi="Arial"/>
          <w:i/>
          <w:iCs/>
          <w:color w:val="888888"/>
          <w:sz w:val="18"/>
          <w:szCs w:val="18"/>
        </w:rPr>
        <w:t xml:space="preserve">Documento preparado con fines de planificación estratégica para el equipo de CoreStream.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tabs>
        <w:tab w:val="right" w:pos="9026"/>
      </w:tabs>
    </w:pPr>
    <w:r>
      <w:rPr>
        <w:rFonts w:ascii="Arial" w:cs="Arial" w:eastAsia="Arial" w:hAnsi="Arial"/>
        <w:color w:val="888888"/>
        <w:sz w:val="18"/>
        <w:szCs w:val="18"/>
      </w:rPr>
      <w:t xml:space="preserve">CoreStream – Informe de Mejoras Potenciales</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563E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2026-03-31T10:13:08.254Z</dcterms:created>
  <dcterms:modified xsi:type="dcterms:W3CDTF">2026-03-31T10:13:08.255Z</dcterms:modified>
</cp:coreProperties>
</file>

<file path=docProps/custom.xml><?xml version="1.0" encoding="utf-8"?>
<Properties xmlns="http://schemas.openxmlformats.org/officeDocument/2006/custom-properties" xmlns:vt="http://schemas.openxmlformats.org/officeDocument/2006/docPropsVTypes"/>
</file>