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5B4E3C" w14:textId="77777777" w:rsidR="006F2A20" w:rsidRPr="006F2A20" w:rsidRDefault="006F2A20" w:rsidP="006F2A20">
      <w:pPr>
        <w:rPr>
          <w:b/>
          <w:bCs/>
          <w:lang w:val="es-419"/>
        </w:rPr>
      </w:pPr>
      <w:r w:rsidRPr="006F2A20">
        <w:rPr>
          <w:b/>
          <w:bCs/>
          <w:lang w:val="es-419"/>
        </w:rPr>
        <w:t>Framework Estratégico y Técnico: Proyectos de Innovación en Alloxentric</w:t>
      </w:r>
    </w:p>
    <w:p w14:paraId="23D52B21" w14:textId="77777777" w:rsidR="006F2A20" w:rsidRPr="006F2A20" w:rsidRDefault="006F2A20" w:rsidP="006F2A20">
      <w:pPr>
        <w:rPr>
          <w:b/>
          <w:bCs/>
          <w:lang w:val="es-419"/>
        </w:rPr>
      </w:pPr>
      <w:r w:rsidRPr="006F2A20">
        <w:rPr>
          <w:b/>
          <w:bCs/>
          <w:lang w:val="es-419"/>
        </w:rPr>
        <w:t>1. Nuestra Esencia: Tecnología con Propósito Humano</w:t>
      </w:r>
    </w:p>
    <w:p w14:paraId="43E44C38" w14:textId="77777777" w:rsidR="006F2A20" w:rsidRPr="006F2A20" w:rsidRDefault="006F2A20" w:rsidP="006F2A20">
      <w:pPr>
        <w:rPr>
          <w:b/>
          <w:bCs/>
          <w:lang w:val="es-419"/>
        </w:rPr>
      </w:pPr>
      <w:r w:rsidRPr="006F2A20">
        <w:rPr>
          <w:b/>
          <w:bCs/>
          <w:lang w:val="es-419"/>
        </w:rPr>
        <w:t>Bienvenido a Alloxentric. Al integrarte a nuestro equipo, no solo te sumas a una empresa de tecnología, sino a un movimiento que busca redefinir la relación entre los seres humanos y el trabajo. En Alloxentric, nos definimos como un motor de inteligencia operacional aplicada. Nuestra misión trasciende la optimización financiera: nos dedicamos a liberar el potencial humano del peso de la repetitividad.</w:t>
      </w:r>
    </w:p>
    <w:p w14:paraId="284CDD85" w14:textId="77777777" w:rsidR="006F2A20" w:rsidRPr="006F2A20" w:rsidRDefault="006F2A20" w:rsidP="006F2A20">
      <w:pPr>
        <w:rPr>
          <w:b/>
          <w:bCs/>
          <w:lang w:val="es-419"/>
        </w:rPr>
      </w:pPr>
      <w:r w:rsidRPr="006F2A20">
        <w:rPr>
          <w:b/>
          <w:bCs/>
          <w:lang w:val="es-419"/>
        </w:rPr>
        <w:t>Creemos firmemente que el talento de las personas es desperdiciado en tareas mecánicas y deshumanizantes. Por ello, diseñamos sistemas inteligentes que asumen esa carga, permitiendo que los trabajadores se enfoquen en actividades que requieran empatía, creatividad y juicio crítico. Nuestra visión es ser la infraestructura invisible que sostiene la eficiencia de las organizaciones modernas, devolviendo tiempo y propósito a las personas a través de la automatización inteligente.</w:t>
      </w:r>
    </w:p>
    <w:p w14:paraId="27DAF8F5" w14:textId="77777777" w:rsidR="006F2A20" w:rsidRPr="006F2A20" w:rsidRDefault="006F2A20" w:rsidP="006F2A20">
      <w:pPr>
        <w:rPr>
          <w:b/>
          <w:bCs/>
          <w:lang w:val="es-419"/>
        </w:rPr>
      </w:pPr>
      <w:r w:rsidRPr="006F2A20">
        <w:rPr>
          <w:b/>
          <w:bCs/>
          <w:lang w:val="es-419"/>
        </w:rPr>
        <w:t>2. El Ecosistema Alloxentric: Automatización Integral</w:t>
      </w:r>
    </w:p>
    <w:p w14:paraId="168D86FA" w14:textId="77777777" w:rsidR="006F2A20" w:rsidRPr="006F2A20" w:rsidRDefault="006F2A20" w:rsidP="006F2A20">
      <w:pPr>
        <w:rPr>
          <w:b/>
          <w:bCs/>
          <w:lang w:val="es-419"/>
        </w:rPr>
      </w:pPr>
      <w:r w:rsidRPr="006F2A20">
        <w:rPr>
          <w:b/>
          <w:bCs/>
          <w:lang w:val="es-419"/>
        </w:rPr>
        <w:t>Nuestra labor se centra en automatizar procesos complejos utilizando Inteligencia Artificial, transformando la manera en que las empresas operan internamente y conversan con el mundo. Ya no somos simplemente una plataforma de comunicaciones; somos arquitectos de flujos de trabajo autónomos. Cada proyecto que desarrollamos inyecta inteligencia en el corazón de las operaciones de nuestros clientes, resolviendo "nudos" críticos en la gestión de datos, la atención al cliente o el mantenimiento industrial. Tu llegada tiene un objetivo claro: diseñar soluciones que no solo funcionen, sino que aprendan, escalen y generen un impacto positivo real.</w:t>
      </w:r>
    </w:p>
    <w:p w14:paraId="24F5160A" w14:textId="77777777" w:rsidR="006F2A20" w:rsidRPr="006F2A20" w:rsidRDefault="006F2A20" w:rsidP="006F2A20">
      <w:pPr>
        <w:rPr>
          <w:b/>
          <w:bCs/>
          <w:lang w:val="es-419"/>
        </w:rPr>
      </w:pPr>
      <w:r w:rsidRPr="006F2A20">
        <w:rPr>
          <w:b/>
          <w:bCs/>
          <w:lang w:val="es-419"/>
        </w:rPr>
        <w:t>Especificación Técnica de Estándares Transversales y Capacidades Comerciales</w:t>
      </w:r>
    </w:p>
    <w:p w14:paraId="695B414A" w14:textId="77777777" w:rsidR="006F2A20" w:rsidRPr="006F2A20" w:rsidRDefault="006F2A20" w:rsidP="006F2A20">
      <w:pPr>
        <w:rPr>
          <w:b/>
          <w:bCs/>
          <w:lang w:val="es-419"/>
        </w:rPr>
      </w:pPr>
      <w:r w:rsidRPr="006F2A20">
        <w:rPr>
          <w:b/>
          <w:bCs/>
          <w:lang w:val="es-419"/>
        </w:rPr>
        <w:t>1. Arquitectura Multi-</w:t>
      </w:r>
      <w:proofErr w:type="spellStart"/>
      <w:r w:rsidRPr="006F2A20">
        <w:rPr>
          <w:b/>
          <w:bCs/>
          <w:lang w:val="es-419"/>
        </w:rPr>
        <w:t>Tenancy</w:t>
      </w:r>
      <w:proofErr w:type="spellEnd"/>
      <w:r w:rsidRPr="006F2A20">
        <w:rPr>
          <w:b/>
          <w:bCs/>
          <w:lang w:val="es-419"/>
        </w:rPr>
        <w:t xml:space="preserve"> y Aislamiento de Datos</w:t>
      </w:r>
    </w:p>
    <w:p w14:paraId="6CE4B4E8" w14:textId="77777777" w:rsidR="006F2A20" w:rsidRPr="006F2A20" w:rsidRDefault="006F2A20" w:rsidP="006F2A20">
      <w:pPr>
        <w:rPr>
          <w:lang w:val="es-419"/>
        </w:rPr>
      </w:pPr>
      <w:r w:rsidRPr="006F2A20">
        <w:rPr>
          <w:lang w:val="es-419"/>
        </w:rPr>
        <w:t xml:space="preserve">Para que Alloxentric opere como una verdadera plataforma SaaS (Software as a Service), cada proyecto debe adherirse a un modelo de </w:t>
      </w:r>
      <w:proofErr w:type="spellStart"/>
      <w:r w:rsidRPr="006F2A20">
        <w:rPr>
          <w:b/>
          <w:bCs/>
          <w:lang w:val="es-419"/>
        </w:rPr>
        <w:t>multi-tenancy</w:t>
      </w:r>
      <w:proofErr w:type="spellEnd"/>
      <w:r w:rsidRPr="006F2A20">
        <w:rPr>
          <w:b/>
          <w:bCs/>
          <w:lang w:val="es-419"/>
        </w:rPr>
        <w:t xml:space="preserve"> de aislamiento lógico</w:t>
      </w:r>
      <w:r w:rsidRPr="006F2A20">
        <w:rPr>
          <w:lang w:val="es-419"/>
        </w:rPr>
        <w:t>. Esto significa que la infraestructura es compartida, pero los datos y las configuraciones de cada empresa están estrictamente particionados mediante un identificador único de cliente (</w:t>
      </w:r>
      <w:proofErr w:type="spellStart"/>
      <w:r w:rsidRPr="006F2A20">
        <w:rPr>
          <w:lang w:val="es-419"/>
        </w:rPr>
        <w:t>client_id</w:t>
      </w:r>
      <w:proofErr w:type="spellEnd"/>
      <w:r w:rsidRPr="006F2A20">
        <w:rPr>
          <w:lang w:val="es-419"/>
        </w:rPr>
        <w:t>) en cada transacción de la base de datos y en cada llamada a la API. Esta estructura permite que una sola instancia de la aplicación sirva a múltiples organizaciones, garantizando que el mantenimiento y las actualizaciones se realicen de forma centralizada sin comprometer la privacidad y seguridad de la información de cada cliente.</w:t>
      </w:r>
    </w:p>
    <w:p w14:paraId="1CFD203E" w14:textId="77777777" w:rsidR="006F2A20" w:rsidRPr="006F2A20" w:rsidRDefault="006F2A20" w:rsidP="006F2A20">
      <w:pPr>
        <w:rPr>
          <w:b/>
          <w:bCs/>
          <w:lang w:val="es-419"/>
        </w:rPr>
      </w:pPr>
      <w:r w:rsidRPr="006F2A20">
        <w:rPr>
          <w:b/>
          <w:bCs/>
          <w:lang w:val="es-419"/>
        </w:rPr>
        <w:t>2. Control de Acceso basado en Perfil Comercial (</w:t>
      </w:r>
      <w:proofErr w:type="spellStart"/>
      <w:r w:rsidRPr="006F2A20">
        <w:rPr>
          <w:b/>
          <w:bCs/>
          <w:lang w:val="es-419"/>
        </w:rPr>
        <w:t>Feature</w:t>
      </w:r>
      <w:proofErr w:type="spellEnd"/>
      <w:r w:rsidRPr="006F2A20">
        <w:rPr>
          <w:b/>
          <w:bCs/>
          <w:lang w:val="es-419"/>
        </w:rPr>
        <w:t xml:space="preserve"> </w:t>
      </w:r>
      <w:proofErr w:type="spellStart"/>
      <w:r w:rsidRPr="006F2A20">
        <w:rPr>
          <w:b/>
          <w:bCs/>
          <w:lang w:val="es-419"/>
        </w:rPr>
        <w:t>Gating</w:t>
      </w:r>
      <w:proofErr w:type="spellEnd"/>
      <w:r w:rsidRPr="006F2A20">
        <w:rPr>
          <w:b/>
          <w:bCs/>
          <w:lang w:val="es-419"/>
        </w:rPr>
        <w:t>)</w:t>
      </w:r>
    </w:p>
    <w:p w14:paraId="35CABD05" w14:textId="77777777" w:rsidR="006F2A20" w:rsidRPr="006F2A20" w:rsidRDefault="006F2A20" w:rsidP="006F2A20">
      <w:pPr>
        <w:rPr>
          <w:lang w:val="es-419"/>
        </w:rPr>
      </w:pPr>
      <w:r w:rsidRPr="006F2A20">
        <w:rPr>
          <w:lang w:val="es-419"/>
        </w:rPr>
        <w:t xml:space="preserve">Desde una perspectiva estratégica y de negocio, el sistema debe implementar un mecanismo de </w:t>
      </w:r>
      <w:r w:rsidRPr="006F2A20">
        <w:rPr>
          <w:b/>
          <w:bCs/>
          <w:lang w:val="es-419"/>
        </w:rPr>
        <w:t>concesión de características (</w:t>
      </w:r>
      <w:proofErr w:type="spellStart"/>
      <w:r w:rsidRPr="006F2A20">
        <w:rPr>
          <w:b/>
          <w:bCs/>
          <w:lang w:val="es-419"/>
        </w:rPr>
        <w:t>Feature</w:t>
      </w:r>
      <w:proofErr w:type="spellEnd"/>
      <w:r w:rsidRPr="006F2A20">
        <w:rPr>
          <w:b/>
          <w:bCs/>
          <w:lang w:val="es-419"/>
        </w:rPr>
        <w:t xml:space="preserve"> </w:t>
      </w:r>
      <w:proofErr w:type="spellStart"/>
      <w:r w:rsidRPr="006F2A20">
        <w:rPr>
          <w:b/>
          <w:bCs/>
          <w:lang w:val="es-419"/>
        </w:rPr>
        <w:t>Gating</w:t>
      </w:r>
      <w:proofErr w:type="spellEnd"/>
      <w:r w:rsidRPr="006F2A20">
        <w:rPr>
          <w:b/>
          <w:bCs/>
          <w:lang w:val="es-419"/>
        </w:rPr>
        <w:t>)</w:t>
      </w:r>
      <w:r w:rsidRPr="006F2A20">
        <w:rPr>
          <w:lang w:val="es-419"/>
        </w:rPr>
        <w:t xml:space="preserve"> vinculado al plan comercial suscrito por el cliente. Técnicamente, esto se traduce en la implementación de un middleware o interceptor a nivel de </w:t>
      </w:r>
      <w:proofErr w:type="spellStart"/>
      <w:r w:rsidRPr="006F2A20">
        <w:rPr>
          <w:lang w:val="es-419"/>
        </w:rPr>
        <w:t>backend</w:t>
      </w:r>
      <w:proofErr w:type="spellEnd"/>
      <w:r w:rsidRPr="006F2A20">
        <w:rPr>
          <w:lang w:val="es-419"/>
        </w:rPr>
        <w:t xml:space="preserve"> que evalúa el "Tier" o perfil comercial del cliente antes de resolver cualquier solicitud.</w:t>
      </w:r>
    </w:p>
    <w:p w14:paraId="3DC24222" w14:textId="77777777" w:rsidR="006F2A20" w:rsidRPr="006F2A20" w:rsidRDefault="006F2A20" w:rsidP="006F2A20">
      <w:pPr>
        <w:rPr>
          <w:lang w:val="es-419"/>
        </w:rPr>
      </w:pPr>
      <w:r w:rsidRPr="006F2A20">
        <w:rPr>
          <w:lang w:val="es-419"/>
        </w:rPr>
        <w:t>Cada funcionalidad o módulo crítico del sistema debe estar asociado a una bandera de característica (</w:t>
      </w:r>
      <w:proofErr w:type="spellStart"/>
      <w:r w:rsidRPr="006F2A20">
        <w:rPr>
          <w:lang w:val="es-419"/>
        </w:rPr>
        <w:t>feature_flag</w:t>
      </w:r>
      <w:proofErr w:type="spellEnd"/>
      <w:r w:rsidRPr="006F2A20">
        <w:rPr>
          <w:lang w:val="es-419"/>
        </w:rPr>
        <w:t xml:space="preserve">). Si un cliente intenta acceder a un </w:t>
      </w:r>
      <w:proofErr w:type="spellStart"/>
      <w:r w:rsidRPr="006F2A20">
        <w:rPr>
          <w:lang w:val="es-419"/>
        </w:rPr>
        <w:t>endpoint</w:t>
      </w:r>
      <w:proofErr w:type="spellEnd"/>
      <w:r w:rsidRPr="006F2A20">
        <w:rPr>
          <w:lang w:val="es-419"/>
        </w:rPr>
        <w:t xml:space="preserve"> de una función premium (por ejemplo, el asistente Dani-AI o el escaneo avanzado de Dani-ETH) sin contar con el permiso en su perfil comercial, el sistema debe retornar un código de error específico (403 </w:t>
      </w:r>
      <w:proofErr w:type="spellStart"/>
      <w:r w:rsidRPr="006F2A20">
        <w:rPr>
          <w:lang w:val="es-419"/>
        </w:rPr>
        <w:t>Forbidden</w:t>
      </w:r>
      <w:proofErr w:type="spellEnd"/>
      <w:r w:rsidRPr="006F2A20">
        <w:rPr>
          <w:lang w:val="es-419"/>
        </w:rPr>
        <w:t xml:space="preserve"> o 402 Payment </w:t>
      </w:r>
      <w:proofErr w:type="spellStart"/>
      <w:r w:rsidRPr="006F2A20">
        <w:rPr>
          <w:lang w:val="es-419"/>
        </w:rPr>
        <w:t>Required</w:t>
      </w:r>
      <w:proofErr w:type="spellEnd"/>
      <w:r w:rsidRPr="006F2A20">
        <w:rPr>
          <w:lang w:val="es-419"/>
        </w:rPr>
        <w:t xml:space="preserve">). En el </w:t>
      </w:r>
      <w:proofErr w:type="spellStart"/>
      <w:r w:rsidRPr="006F2A20">
        <w:rPr>
          <w:lang w:val="es-419"/>
        </w:rPr>
        <w:t>frontend</w:t>
      </w:r>
      <w:proofErr w:type="spellEnd"/>
      <w:r w:rsidRPr="006F2A20">
        <w:rPr>
          <w:lang w:val="es-419"/>
        </w:rPr>
        <w:t xml:space="preserve">, la interfaz debe reaccionar dinámicamente, deshabilitando o limitando la </w:t>
      </w:r>
      <w:r w:rsidRPr="006F2A20">
        <w:rPr>
          <w:lang w:val="es-419"/>
        </w:rPr>
        <w:lastRenderedPageBreak/>
        <w:t>visibilidad de estos componentes basándose en la respuesta del perfil comercial obtenida durante el proceso de autenticación.</w:t>
      </w:r>
    </w:p>
    <w:p w14:paraId="606FD99B" w14:textId="77777777" w:rsidR="006F2A20" w:rsidRPr="006F2A20" w:rsidRDefault="006F2A20" w:rsidP="006F2A20">
      <w:pPr>
        <w:rPr>
          <w:b/>
          <w:bCs/>
          <w:lang w:val="es-419"/>
        </w:rPr>
      </w:pPr>
      <w:r w:rsidRPr="006F2A20">
        <w:rPr>
          <w:b/>
          <w:bCs/>
          <w:lang w:val="es-419"/>
        </w:rPr>
        <w:t>3. Gestión de Identidades y RBAC Granular</w:t>
      </w:r>
    </w:p>
    <w:p w14:paraId="3DFC058C" w14:textId="77777777" w:rsidR="006F2A20" w:rsidRPr="006F2A20" w:rsidRDefault="006F2A20" w:rsidP="006F2A20">
      <w:pPr>
        <w:rPr>
          <w:lang w:val="es-419"/>
        </w:rPr>
      </w:pPr>
      <w:r w:rsidRPr="006F2A20">
        <w:rPr>
          <w:lang w:val="es-419"/>
        </w:rPr>
        <w:t xml:space="preserve">Más allá del perfil comercial de la empresa, cada organización requiere autonomía para gestionar a su propio personal. La plataforma debe soportar un modelo de </w:t>
      </w:r>
      <w:r w:rsidRPr="006F2A20">
        <w:rPr>
          <w:b/>
          <w:bCs/>
          <w:lang w:val="es-419"/>
        </w:rPr>
        <w:t>Control de Acceso Basado en Roles (RBAC)</w:t>
      </w:r>
      <w:r w:rsidRPr="006F2A20">
        <w:rPr>
          <w:lang w:val="es-419"/>
        </w:rPr>
        <w:t xml:space="preserve"> que sea jerárquico y granular. Esto implica que, dentro de un mismo cliente, existirán roles predefinidos (como Administrador, Auditor, Técnico o Usuario de Consulta) con privilegios específicos sobre los recursos.</w:t>
      </w:r>
    </w:p>
    <w:p w14:paraId="086D9777" w14:textId="77777777" w:rsidR="006F2A20" w:rsidRPr="006F2A20" w:rsidRDefault="006F2A20" w:rsidP="006F2A20">
      <w:pPr>
        <w:rPr>
          <w:lang w:val="es-419"/>
        </w:rPr>
      </w:pPr>
      <w:r w:rsidRPr="006F2A20">
        <w:rPr>
          <w:lang w:val="es-419"/>
        </w:rPr>
        <w:t xml:space="preserve">A nivel técnico, la autorización no debe limitarse a "si el usuario está </w:t>
      </w:r>
      <w:proofErr w:type="spellStart"/>
      <w:r w:rsidRPr="006F2A20">
        <w:rPr>
          <w:lang w:val="es-419"/>
        </w:rPr>
        <w:t>logueado</w:t>
      </w:r>
      <w:proofErr w:type="spellEnd"/>
      <w:r w:rsidRPr="006F2A20">
        <w:rPr>
          <w:lang w:val="es-419"/>
        </w:rPr>
        <w:t xml:space="preserve">", sino a "si este usuario tiene el permiso </w:t>
      </w:r>
      <w:proofErr w:type="spellStart"/>
      <w:proofErr w:type="gramStart"/>
      <w:r w:rsidRPr="006F2A20">
        <w:rPr>
          <w:lang w:val="es-419"/>
        </w:rPr>
        <w:t>write:vulnerabilities</w:t>
      </w:r>
      <w:proofErr w:type="spellEnd"/>
      <w:proofErr w:type="gramEnd"/>
      <w:r w:rsidRPr="006F2A20">
        <w:rPr>
          <w:lang w:val="es-419"/>
        </w:rPr>
        <w:t xml:space="preserve"> para este recurso específico". Los tokens de seguridad (JWT) deben transportar esta información de </w:t>
      </w:r>
      <w:proofErr w:type="spellStart"/>
      <w:r w:rsidRPr="006F2A20">
        <w:rPr>
          <w:lang w:val="es-419"/>
        </w:rPr>
        <w:t>claims</w:t>
      </w:r>
      <w:proofErr w:type="spellEnd"/>
      <w:r w:rsidRPr="006F2A20">
        <w:rPr>
          <w:lang w:val="es-419"/>
        </w:rPr>
        <w:t xml:space="preserve"> de manera compacta, permitiendo que tanto el </w:t>
      </w:r>
      <w:proofErr w:type="spellStart"/>
      <w:r w:rsidRPr="006F2A20">
        <w:rPr>
          <w:lang w:val="es-419"/>
        </w:rPr>
        <w:t>backend</w:t>
      </w:r>
      <w:proofErr w:type="spellEnd"/>
      <w:r w:rsidRPr="006F2A20">
        <w:rPr>
          <w:lang w:val="es-419"/>
        </w:rPr>
        <w:t xml:space="preserve"> como el </w:t>
      </w:r>
      <w:proofErr w:type="spellStart"/>
      <w:r w:rsidRPr="006F2A20">
        <w:rPr>
          <w:lang w:val="es-419"/>
        </w:rPr>
        <w:t>frontend</w:t>
      </w:r>
      <w:proofErr w:type="spellEnd"/>
      <w:r w:rsidRPr="006F2A20">
        <w:rPr>
          <w:lang w:val="es-419"/>
        </w:rPr>
        <w:t xml:space="preserve"> tomen decisiones de renderizado y ejecución de forma inmediata y segura.</w:t>
      </w:r>
    </w:p>
    <w:p w14:paraId="6F586E45" w14:textId="77777777" w:rsidR="006F2A20" w:rsidRPr="006F2A20" w:rsidRDefault="006F2A20" w:rsidP="006F2A20">
      <w:pPr>
        <w:rPr>
          <w:b/>
          <w:bCs/>
          <w:lang w:val="es-419"/>
        </w:rPr>
      </w:pPr>
      <w:r w:rsidRPr="006F2A20">
        <w:rPr>
          <w:b/>
          <w:bCs/>
          <w:lang w:val="es-419"/>
        </w:rPr>
        <w:t>4. Experiencia de Usuario Global: i18n y Adaptabilidad Visual</w:t>
      </w:r>
    </w:p>
    <w:p w14:paraId="2E8B3631" w14:textId="77777777" w:rsidR="006F2A20" w:rsidRPr="006F2A20" w:rsidRDefault="006F2A20" w:rsidP="006F2A20">
      <w:pPr>
        <w:rPr>
          <w:lang w:val="es-419"/>
        </w:rPr>
      </w:pPr>
      <w:r w:rsidRPr="006F2A20">
        <w:rPr>
          <w:lang w:val="es-419"/>
        </w:rPr>
        <w:t xml:space="preserve">Alloxentric es una empresa con visión global, lo que exige que cada línea de texto sea tratada como un recurso dinámico. La plataforma debe implementar un sistema de </w:t>
      </w:r>
      <w:r w:rsidRPr="006F2A20">
        <w:rPr>
          <w:b/>
          <w:bCs/>
          <w:lang w:val="es-419"/>
        </w:rPr>
        <w:t>internacionalización (i18n)</w:t>
      </w:r>
      <w:r w:rsidRPr="006F2A20">
        <w:rPr>
          <w:lang w:val="es-419"/>
        </w:rPr>
        <w:t xml:space="preserve"> robusto, donde no existan cadenas de texto "</w:t>
      </w:r>
      <w:proofErr w:type="spellStart"/>
      <w:r w:rsidRPr="006F2A20">
        <w:rPr>
          <w:lang w:val="es-419"/>
        </w:rPr>
        <w:t>hardcodeadas</w:t>
      </w:r>
      <w:proofErr w:type="spellEnd"/>
      <w:r w:rsidRPr="006F2A20">
        <w:rPr>
          <w:lang w:val="es-419"/>
        </w:rPr>
        <w:t>" en el código. Toda la interfaz debe ser capaz de cambiar de idioma en tiempo real (</w:t>
      </w:r>
      <w:proofErr w:type="gramStart"/>
      <w:r w:rsidRPr="006F2A20">
        <w:rPr>
          <w:lang w:val="es-419"/>
        </w:rPr>
        <w:t>Inglés</w:t>
      </w:r>
      <w:proofErr w:type="gramEnd"/>
      <w:r w:rsidRPr="006F2A20">
        <w:rPr>
          <w:lang w:val="es-419"/>
        </w:rPr>
        <w:t xml:space="preserve">, </w:t>
      </w:r>
      <w:proofErr w:type="gramStart"/>
      <w:r w:rsidRPr="006F2A20">
        <w:rPr>
          <w:lang w:val="es-419"/>
        </w:rPr>
        <w:t>Español</w:t>
      </w:r>
      <w:proofErr w:type="gramEnd"/>
      <w:r w:rsidRPr="006F2A20">
        <w:rPr>
          <w:lang w:val="es-419"/>
        </w:rPr>
        <w:t xml:space="preserve">, </w:t>
      </w:r>
      <w:proofErr w:type="gramStart"/>
      <w:r w:rsidRPr="006F2A20">
        <w:rPr>
          <w:lang w:val="es-419"/>
        </w:rPr>
        <w:t>Francés</w:t>
      </w:r>
      <w:proofErr w:type="gramEnd"/>
      <w:r w:rsidRPr="006F2A20">
        <w:rPr>
          <w:lang w:val="es-419"/>
        </w:rPr>
        <w:t>, entre otros) consultando diccionarios de traducción centralizados.</w:t>
      </w:r>
    </w:p>
    <w:p w14:paraId="2DAAC9A6" w14:textId="77777777" w:rsidR="006F2A20" w:rsidRPr="006F2A20" w:rsidRDefault="006F2A20" w:rsidP="006F2A20">
      <w:pPr>
        <w:rPr>
          <w:lang w:val="es-419"/>
        </w:rPr>
      </w:pPr>
      <w:r w:rsidRPr="006F2A20">
        <w:rPr>
          <w:lang w:val="es-419"/>
        </w:rPr>
        <w:t xml:space="preserve">En paralelo, para asegurar la ergonomía y la salud visual de los usuarios que operan la plataforma durante largas jornadas, se exige el soporte nativo de </w:t>
      </w:r>
      <w:r w:rsidRPr="006F2A20">
        <w:rPr>
          <w:b/>
          <w:bCs/>
          <w:lang w:val="es-419"/>
        </w:rPr>
        <w:t>Temas Visuales (Light/Dark Mode)</w:t>
      </w:r>
      <w:r w:rsidRPr="006F2A20">
        <w:rPr>
          <w:lang w:val="es-419"/>
        </w:rPr>
        <w:t>. Esta implementación debe realizarse mediante el uso de variables CSS (</w:t>
      </w:r>
      <w:proofErr w:type="spellStart"/>
      <w:r w:rsidRPr="006F2A20">
        <w:rPr>
          <w:lang w:val="es-419"/>
        </w:rPr>
        <w:t>Custom</w:t>
      </w:r>
      <w:proofErr w:type="spellEnd"/>
      <w:r w:rsidRPr="006F2A20">
        <w:rPr>
          <w:lang w:val="es-419"/>
        </w:rPr>
        <w:t xml:space="preserve"> </w:t>
      </w:r>
      <w:proofErr w:type="spellStart"/>
      <w:r w:rsidRPr="006F2A20">
        <w:rPr>
          <w:lang w:val="es-419"/>
        </w:rPr>
        <w:t>Properties</w:t>
      </w:r>
      <w:proofErr w:type="spellEnd"/>
      <w:r w:rsidRPr="006F2A20">
        <w:rPr>
          <w:lang w:val="es-419"/>
        </w:rPr>
        <w:t>) o tokens de diseño que permitan una transición fluida y consistente en todos los componentes, asegurando que la legibilidad y el contraste cumplan con los estándares internacionales de accesibilidad.</w:t>
      </w:r>
    </w:p>
    <w:p w14:paraId="0C06A299" w14:textId="77777777" w:rsidR="006F2A20" w:rsidRPr="006F2A20" w:rsidRDefault="006F2A20" w:rsidP="006F2A20">
      <w:pPr>
        <w:rPr>
          <w:b/>
          <w:bCs/>
          <w:lang w:val="es-419"/>
        </w:rPr>
      </w:pPr>
      <w:r w:rsidRPr="006F2A20">
        <w:rPr>
          <w:b/>
          <w:bCs/>
          <w:lang w:val="es-419"/>
        </w:rPr>
        <w:t xml:space="preserve">5. Interoperabilidad y Escalabilidad mediante </w:t>
      </w:r>
      <w:proofErr w:type="spellStart"/>
      <w:r w:rsidRPr="006F2A20">
        <w:rPr>
          <w:b/>
          <w:bCs/>
          <w:lang w:val="es-419"/>
        </w:rPr>
        <w:t>APIs</w:t>
      </w:r>
      <w:proofErr w:type="spellEnd"/>
    </w:p>
    <w:p w14:paraId="75989162" w14:textId="77777777" w:rsidR="006F2A20" w:rsidRPr="006F2A20" w:rsidRDefault="006F2A20" w:rsidP="006F2A20">
      <w:pPr>
        <w:rPr>
          <w:lang w:val="es-419"/>
        </w:rPr>
      </w:pPr>
      <w:r w:rsidRPr="006F2A20">
        <w:rPr>
          <w:lang w:val="es-419"/>
        </w:rPr>
        <w:t xml:space="preserve">Para que estas reglas generales funcionen en armonía, el sistema debe estar construido bajo una mentalidad de </w:t>
      </w:r>
      <w:r w:rsidRPr="006F2A20">
        <w:rPr>
          <w:b/>
          <w:bCs/>
          <w:lang w:val="es-419"/>
        </w:rPr>
        <w:t>API-First</w:t>
      </w:r>
      <w:r w:rsidRPr="006F2A20">
        <w:rPr>
          <w:lang w:val="es-419"/>
        </w:rPr>
        <w:t xml:space="preserve">. Cada acción del usuario, cada cambio de configuración y cada validación de acceso comercial debe pasar por </w:t>
      </w:r>
      <w:proofErr w:type="spellStart"/>
      <w:r w:rsidRPr="006F2A20">
        <w:rPr>
          <w:lang w:val="es-419"/>
        </w:rPr>
        <w:t>endpoints</w:t>
      </w:r>
      <w:proofErr w:type="spellEnd"/>
      <w:r w:rsidRPr="006F2A20">
        <w:rPr>
          <w:lang w:val="es-419"/>
        </w:rPr>
        <w:t xml:space="preserve"> documentados que sigan los estándares REST o </w:t>
      </w:r>
      <w:proofErr w:type="spellStart"/>
      <w:r w:rsidRPr="006F2A20">
        <w:rPr>
          <w:lang w:val="es-419"/>
        </w:rPr>
        <w:t>GraphQL</w:t>
      </w:r>
      <w:proofErr w:type="spellEnd"/>
      <w:r w:rsidRPr="006F2A20">
        <w:rPr>
          <w:lang w:val="es-419"/>
        </w:rPr>
        <w:t xml:space="preserve">. Esta arquitectura permite que las reglas comerciales sean consistentes, ya sea que el usuario acceda desde la plataforma web oficial o desde una futura aplicación móvil o integración de terceros. La escalabilidad se garantiza mediante el uso de contenedores y orquestadores que pueden replicar estos servicios según la demanda de los múltiples clientes, manteniendo siempre el control estricto de quién puede hacer qué, en qué idioma y </w:t>
      </w:r>
      <w:proofErr w:type="gramStart"/>
      <w:r w:rsidRPr="006F2A20">
        <w:rPr>
          <w:lang w:val="es-419"/>
        </w:rPr>
        <w:t>bajo qué condiciones</w:t>
      </w:r>
      <w:proofErr w:type="gramEnd"/>
      <w:r w:rsidRPr="006F2A20">
        <w:rPr>
          <w:lang w:val="es-419"/>
        </w:rPr>
        <w:t xml:space="preserve"> comerciales.</w:t>
      </w:r>
    </w:p>
    <w:p w14:paraId="26CB45BF" w14:textId="77777777" w:rsidR="006F2A20" w:rsidRPr="006F2A20" w:rsidRDefault="006F2A20" w:rsidP="006F2A20">
      <w:pPr>
        <w:rPr>
          <w:b/>
          <w:bCs/>
          <w:lang w:val="es-419"/>
        </w:rPr>
      </w:pPr>
      <w:r w:rsidRPr="006F2A20">
        <w:rPr>
          <w:b/>
          <w:bCs/>
          <w:lang w:val="es-419"/>
        </w:rPr>
        <w:t>6. Auditoría de Logs: El Registro de la Verdad y la Transparencia</w:t>
      </w:r>
    </w:p>
    <w:p w14:paraId="5F3F7E50" w14:textId="77777777" w:rsidR="006F2A20" w:rsidRPr="006F2A20" w:rsidRDefault="006F2A20" w:rsidP="006F2A20">
      <w:pPr>
        <w:rPr>
          <w:lang w:val="es-419"/>
        </w:rPr>
      </w:pPr>
      <w:r w:rsidRPr="006F2A20">
        <w:rPr>
          <w:lang w:val="es-419"/>
        </w:rPr>
        <w:t xml:space="preserve">En un ecosistema donde la Inteligencia Artificial toma decisiones y automatiza procesos críticos, la transparencia no es opcional, es un imperativo ético. La </w:t>
      </w:r>
      <w:r w:rsidRPr="006F2A20">
        <w:rPr>
          <w:b/>
          <w:bCs/>
          <w:lang w:val="es-419"/>
        </w:rPr>
        <w:t>Auditoría de Logs</w:t>
      </w:r>
      <w:r w:rsidRPr="006F2A20">
        <w:rPr>
          <w:lang w:val="es-419"/>
        </w:rPr>
        <w:t xml:space="preserve"> en Alloxentric está diseñada bajo el principio de "No Repudio" y trazabilidad total. Desde una perspectiva altruista, este sistema protege al trabajador honesto: ante cualquier falla o anomalía, los logs permiten reconstruir los hechos con precisión quirúrgica, eliminando las suposiciones y permitiendo que la organización aprenda de sus errores en lugar de buscar culpables. Es la memoria digital que garantiza que cada acción, ya sea humana o algorítmica, sea auditable, responsable y justa.</w:t>
      </w:r>
    </w:p>
    <w:p w14:paraId="21DD994F" w14:textId="77777777" w:rsidR="006F2A20" w:rsidRPr="006F2A20" w:rsidRDefault="006F2A20" w:rsidP="006F2A20">
      <w:pPr>
        <w:rPr>
          <w:b/>
          <w:bCs/>
          <w:lang w:val="es-419"/>
        </w:rPr>
      </w:pPr>
      <w:r w:rsidRPr="006F2A20">
        <w:rPr>
          <w:b/>
          <w:bCs/>
          <w:lang w:val="es-419"/>
        </w:rPr>
        <w:t>Implementación Técnica de la Trazabilidad</w:t>
      </w:r>
    </w:p>
    <w:p w14:paraId="4D4F21CC" w14:textId="77777777" w:rsidR="006F2A20" w:rsidRPr="006F2A20" w:rsidRDefault="006F2A20" w:rsidP="006F2A20">
      <w:pPr>
        <w:rPr>
          <w:lang w:val="es-419"/>
        </w:rPr>
      </w:pPr>
      <w:r w:rsidRPr="006F2A20">
        <w:rPr>
          <w:lang w:val="es-419"/>
        </w:rPr>
        <w:lastRenderedPageBreak/>
        <w:t xml:space="preserve">Para que un log sea útil en un entorno de auditoría profesional, debe cumplir con una estructura de datos inmutable y estandarizada. Cada evento registrado en la plataforma debe capturar obligatoriamente cinco dimensiones: </w:t>
      </w:r>
      <w:r w:rsidRPr="006F2A20">
        <w:rPr>
          <w:b/>
          <w:bCs/>
          <w:lang w:val="es-419"/>
        </w:rPr>
        <w:t>Quién</w:t>
      </w:r>
      <w:r w:rsidRPr="006F2A20">
        <w:rPr>
          <w:lang w:val="es-419"/>
        </w:rPr>
        <w:t xml:space="preserve"> realizó la acción (ID de usuario y rol), </w:t>
      </w:r>
      <w:r w:rsidRPr="006F2A20">
        <w:rPr>
          <w:b/>
          <w:bCs/>
          <w:lang w:val="es-419"/>
        </w:rPr>
        <w:t>Qué</w:t>
      </w:r>
      <w:r w:rsidRPr="006F2A20">
        <w:rPr>
          <w:lang w:val="es-419"/>
        </w:rPr>
        <w:t xml:space="preserve"> acción se ejecutó (verbo de la API y recurso afectado), </w:t>
      </w:r>
      <w:r w:rsidRPr="006F2A20">
        <w:rPr>
          <w:b/>
          <w:bCs/>
          <w:lang w:val="es-419"/>
        </w:rPr>
        <w:t>Cuándo</w:t>
      </w:r>
      <w:r w:rsidRPr="006F2A20">
        <w:rPr>
          <w:lang w:val="es-419"/>
        </w:rPr>
        <w:t xml:space="preserve"> ocurrió (</w:t>
      </w:r>
      <w:proofErr w:type="spellStart"/>
      <w:r w:rsidRPr="006F2A20">
        <w:rPr>
          <w:lang w:val="es-419"/>
        </w:rPr>
        <w:t>timestamp</w:t>
      </w:r>
      <w:proofErr w:type="spellEnd"/>
      <w:r w:rsidRPr="006F2A20">
        <w:rPr>
          <w:lang w:val="es-419"/>
        </w:rPr>
        <w:t xml:space="preserve"> en formato ISO 8601 con precisión de milisegundos), </w:t>
      </w:r>
      <w:r w:rsidRPr="006F2A20">
        <w:rPr>
          <w:b/>
          <w:bCs/>
          <w:lang w:val="es-419"/>
        </w:rPr>
        <w:t>Desde dónde</w:t>
      </w:r>
      <w:r w:rsidRPr="006F2A20">
        <w:rPr>
          <w:lang w:val="es-419"/>
        </w:rPr>
        <w:t xml:space="preserve"> (dirección IP y </w:t>
      </w:r>
      <w:proofErr w:type="spellStart"/>
      <w:r w:rsidRPr="006F2A20">
        <w:rPr>
          <w:lang w:val="es-419"/>
        </w:rPr>
        <w:t>User</w:t>
      </w:r>
      <w:proofErr w:type="spellEnd"/>
      <w:r w:rsidRPr="006F2A20">
        <w:rPr>
          <w:lang w:val="es-419"/>
        </w:rPr>
        <w:t xml:space="preserve">-Agent) y cuál fue el </w:t>
      </w:r>
      <w:r w:rsidRPr="006F2A20">
        <w:rPr>
          <w:b/>
          <w:bCs/>
          <w:lang w:val="es-419"/>
        </w:rPr>
        <w:t>Resultado</w:t>
      </w:r>
      <w:r w:rsidRPr="006F2A20">
        <w:rPr>
          <w:lang w:val="es-419"/>
        </w:rPr>
        <w:t xml:space="preserve"> (código de estado y éxito/error). Estos registros no se almacenan en las tablas principales de operación para no degradar el rendimiento; se derivan a servicios de persistencia especializados o motores de búsqueda de logs (como ELK Stack o </w:t>
      </w:r>
      <w:proofErr w:type="spellStart"/>
      <w:r w:rsidRPr="006F2A20">
        <w:rPr>
          <w:lang w:val="es-419"/>
        </w:rPr>
        <w:t>CloudWatch</w:t>
      </w:r>
      <w:proofErr w:type="spellEnd"/>
      <w:r w:rsidRPr="006F2A20">
        <w:rPr>
          <w:lang w:val="es-419"/>
        </w:rPr>
        <w:t>) que permiten consultas complejas y auditorías forenses sin afectar la experiencia del usuario final.</w:t>
      </w:r>
    </w:p>
    <w:p w14:paraId="6FD06E7E" w14:textId="77777777" w:rsidR="006F2A20" w:rsidRPr="006F2A20" w:rsidRDefault="006F2A20" w:rsidP="006F2A20">
      <w:pPr>
        <w:rPr>
          <w:b/>
          <w:bCs/>
          <w:lang w:val="es-419"/>
        </w:rPr>
      </w:pPr>
      <w:r w:rsidRPr="006F2A20">
        <w:rPr>
          <w:b/>
          <w:bCs/>
          <w:lang w:val="es-419"/>
        </w:rPr>
        <w:t>Correlación con el Perfil Comercial y Seguridad</w:t>
      </w:r>
    </w:p>
    <w:p w14:paraId="2A2BBA61" w14:textId="77777777" w:rsidR="006F2A20" w:rsidRPr="006F2A20" w:rsidRDefault="006F2A20" w:rsidP="006F2A20">
      <w:pPr>
        <w:rPr>
          <w:lang w:val="es-419"/>
        </w:rPr>
      </w:pPr>
      <w:r w:rsidRPr="006F2A20">
        <w:rPr>
          <w:lang w:val="es-419"/>
        </w:rPr>
        <w:t xml:space="preserve">La profundidad y la retención de estos logs también están sujetas al </w:t>
      </w:r>
      <w:r w:rsidRPr="006F2A20">
        <w:rPr>
          <w:b/>
          <w:bCs/>
          <w:lang w:val="es-419"/>
        </w:rPr>
        <w:t>Perfil Comercial</w:t>
      </w:r>
      <w:r w:rsidRPr="006F2A20">
        <w:rPr>
          <w:lang w:val="es-419"/>
        </w:rPr>
        <w:t xml:space="preserve"> del cliente y a las normativas de cumplimiento como la ISO 27001. Mientras que un cliente básico puede tener acceso a logs de actividad de los últimos 30 días, un perfil Enterprise requiere retenciones de hasta un año o más, con capacidades de exportación para auditorías externas.</w:t>
      </w:r>
    </w:p>
    <w:p w14:paraId="6A99F693" w14:textId="77777777" w:rsidR="006F2A20" w:rsidRPr="006F2A20" w:rsidRDefault="006F2A20" w:rsidP="006F2A20">
      <w:pPr>
        <w:rPr>
          <w:lang w:val="es-419"/>
        </w:rPr>
      </w:pPr>
      <w:r w:rsidRPr="006F2A20">
        <w:rPr>
          <w:lang w:val="es-419"/>
        </w:rPr>
        <w:t>Técnicamente, esto se gestiona mediante capas de almacenamiento estratificado (</w:t>
      </w:r>
      <w:proofErr w:type="spellStart"/>
      <w:r w:rsidRPr="006F2A20">
        <w:rPr>
          <w:lang w:val="es-419"/>
        </w:rPr>
        <w:t>Tiered</w:t>
      </w:r>
      <w:proofErr w:type="spellEnd"/>
      <w:r w:rsidRPr="006F2A20">
        <w:rPr>
          <w:lang w:val="es-419"/>
        </w:rPr>
        <w:t xml:space="preserve"> Storage). Además, para garantizar la integridad de la auditoría, los logs de seguridad de nivel crítico deben ser firmados digitalmente o enviados a repositorios de "solo escritura", impidiendo que incluso un administrador del sistema pueda modificar o eliminar el rastro de una acción sospechosa. De esta forma, la auditoría de logs se convierte en la columna vertebral de la confianza en nuestras plataformas de automatización.</w:t>
      </w:r>
    </w:p>
    <w:p w14:paraId="6C781810" w14:textId="77777777" w:rsidR="002E2E0D" w:rsidRPr="006F2A20" w:rsidRDefault="002E2E0D">
      <w:pPr>
        <w:rPr>
          <w:lang w:val="es-419"/>
        </w:rPr>
      </w:pPr>
    </w:p>
    <w:sectPr w:rsidR="002E2E0D" w:rsidRPr="006F2A2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2A20"/>
    <w:rsid w:val="002E2E0D"/>
    <w:rsid w:val="006F2A20"/>
    <w:rsid w:val="00B4134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2EA304"/>
  <w15:chartTrackingRefBased/>
  <w15:docId w15:val="{9E568194-33BA-4D39-BF95-8D42A98978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F2A2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F2A2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F2A2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F2A2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F2A2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F2A2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F2A2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F2A2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F2A2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F2A2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F2A2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F2A2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F2A2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F2A2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F2A2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F2A2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F2A2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F2A20"/>
    <w:rPr>
      <w:rFonts w:eastAsiaTheme="majorEastAsia" w:cstheme="majorBidi"/>
      <w:color w:val="272727" w:themeColor="text1" w:themeTint="D8"/>
    </w:rPr>
  </w:style>
  <w:style w:type="paragraph" w:styleId="Title">
    <w:name w:val="Title"/>
    <w:basedOn w:val="Normal"/>
    <w:next w:val="Normal"/>
    <w:link w:val="TitleChar"/>
    <w:uiPriority w:val="10"/>
    <w:qFormat/>
    <w:rsid w:val="006F2A2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F2A2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F2A2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F2A2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F2A20"/>
    <w:pPr>
      <w:spacing w:before="160"/>
      <w:jc w:val="center"/>
    </w:pPr>
    <w:rPr>
      <w:i/>
      <w:iCs/>
      <w:color w:val="404040" w:themeColor="text1" w:themeTint="BF"/>
    </w:rPr>
  </w:style>
  <w:style w:type="character" w:customStyle="1" w:styleId="QuoteChar">
    <w:name w:val="Quote Char"/>
    <w:basedOn w:val="DefaultParagraphFont"/>
    <w:link w:val="Quote"/>
    <w:uiPriority w:val="29"/>
    <w:rsid w:val="006F2A20"/>
    <w:rPr>
      <w:i/>
      <w:iCs/>
      <w:color w:val="404040" w:themeColor="text1" w:themeTint="BF"/>
    </w:rPr>
  </w:style>
  <w:style w:type="paragraph" w:styleId="ListParagraph">
    <w:name w:val="List Paragraph"/>
    <w:basedOn w:val="Normal"/>
    <w:uiPriority w:val="34"/>
    <w:qFormat/>
    <w:rsid w:val="006F2A20"/>
    <w:pPr>
      <w:ind w:left="720"/>
      <w:contextualSpacing/>
    </w:pPr>
  </w:style>
  <w:style w:type="character" w:styleId="IntenseEmphasis">
    <w:name w:val="Intense Emphasis"/>
    <w:basedOn w:val="DefaultParagraphFont"/>
    <w:uiPriority w:val="21"/>
    <w:qFormat/>
    <w:rsid w:val="006F2A20"/>
    <w:rPr>
      <w:i/>
      <w:iCs/>
      <w:color w:val="2F5496" w:themeColor="accent1" w:themeShade="BF"/>
    </w:rPr>
  </w:style>
  <w:style w:type="paragraph" w:styleId="IntenseQuote">
    <w:name w:val="Intense Quote"/>
    <w:basedOn w:val="Normal"/>
    <w:next w:val="Normal"/>
    <w:link w:val="IntenseQuoteChar"/>
    <w:uiPriority w:val="30"/>
    <w:qFormat/>
    <w:rsid w:val="006F2A2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F2A20"/>
    <w:rPr>
      <w:i/>
      <w:iCs/>
      <w:color w:val="2F5496" w:themeColor="accent1" w:themeShade="BF"/>
    </w:rPr>
  </w:style>
  <w:style w:type="character" w:styleId="IntenseReference">
    <w:name w:val="Intense Reference"/>
    <w:basedOn w:val="DefaultParagraphFont"/>
    <w:uiPriority w:val="32"/>
    <w:qFormat/>
    <w:rsid w:val="006F2A2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3</Pages>
  <Words>1305</Words>
  <Characters>7466</Characters>
  <Application>Microsoft Office Word</Application>
  <DocSecurity>0</DocSecurity>
  <Lines>103</Lines>
  <Paragraphs>31</Paragraphs>
  <ScaleCrop>false</ScaleCrop>
  <Company/>
  <LinksUpToDate>false</LinksUpToDate>
  <CharactersWithSpaces>8740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Max Kreimerman</dc:creator>
  <cp:keywords/>
  <dc:description/>
  <cp:lastModifiedBy>Max Kreimerman</cp:lastModifiedBy>
  <cp:revision>1</cp:revision>
  <dcterms:created xsi:type="dcterms:W3CDTF">2026-03-12T09:51:00Z</dcterms:created>
  <dcterms:modified xsi:type="dcterms:W3CDTF">2026-03-12T09:54:00Z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ed475402-83e0-4378-9712-5c61426d8efc</vt:lpwstr>
  </property>
</Properties>
</file>