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8C" w:rsidRPr="00160E7D" w:rsidRDefault="001D4FBE" w:rsidP="001D4FBE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160E7D">
        <w:rPr>
          <w:rFonts w:cstheme="minorHAnsi"/>
          <w:b/>
          <w:sz w:val="28"/>
          <w:szCs w:val="28"/>
        </w:rPr>
        <w:t>violinplot</w:t>
      </w:r>
      <w:proofErr w:type="spellEnd"/>
    </w:p>
    <w:p w:rsidR="001D4FBE" w:rsidRPr="00160E7D" w:rsidRDefault="001D4FBE" w:rsidP="001D4FBE">
      <w:pPr>
        <w:rPr>
          <w:rFonts w:cstheme="minorHAnsi"/>
          <w:sz w:val="28"/>
          <w:szCs w:val="28"/>
        </w:rPr>
      </w:pPr>
      <w:proofErr w:type="spellStart"/>
      <w:r w:rsidRPr="00160E7D">
        <w:rPr>
          <w:rFonts w:cstheme="minorHAnsi"/>
          <w:sz w:val="28"/>
          <w:szCs w:val="28"/>
        </w:rPr>
        <w:t>Boxplot</w:t>
      </w:r>
      <w:proofErr w:type="spellEnd"/>
      <w:r w:rsidRPr="00160E7D">
        <w:rPr>
          <w:rFonts w:cstheme="minorHAnsi"/>
          <w:sz w:val="28"/>
          <w:szCs w:val="28"/>
        </w:rPr>
        <w:t xml:space="preserve"> ve KDE </w:t>
      </w:r>
      <w:proofErr w:type="spellStart"/>
      <w:r w:rsidRPr="00160E7D">
        <w:rPr>
          <w:rFonts w:cstheme="minorHAnsi"/>
          <w:sz w:val="28"/>
          <w:szCs w:val="28"/>
        </w:rPr>
        <w:t>plot</w:t>
      </w:r>
      <w:proofErr w:type="spellEnd"/>
      <w:r w:rsidRPr="00160E7D">
        <w:rPr>
          <w:rFonts w:cstheme="minorHAnsi"/>
          <w:sz w:val="28"/>
          <w:szCs w:val="28"/>
        </w:rPr>
        <w:t xml:space="preserve"> </w:t>
      </w:r>
      <w:proofErr w:type="spellStart"/>
      <w:r w:rsidRPr="00160E7D">
        <w:rPr>
          <w:rFonts w:cstheme="minorHAnsi"/>
          <w:sz w:val="28"/>
          <w:szCs w:val="28"/>
        </w:rPr>
        <w:t>ın</w:t>
      </w:r>
      <w:proofErr w:type="spellEnd"/>
      <w:r w:rsidRPr="00160E7D">
        <w:rPr>
          <w:rFonts w:cstheme="minorHAnsi"/>
          <w:sz w:val="28"/>
          <w:szCs w:val="28"/>
        </w:rPr>
        <w:t xml:space="preserve"> bir </w:t>
      </w:r>
      <w:proofErr w:type="gramStart"/>
      <w:r w:rsidRPr="00160E7D">
        <w:rPr>
          <w:rFonts w:cstheme="minorHAnsi"/>
          <w:sz w:val="28"/>
          <w:szCs w:val="28"/>
        </w:rPr>
        <w:t>kombinasyonunu</w:t>
      </w:r>
      <w:proofErr w:type="gramEnd"/>
      <w:r w:rsidRPr="00160E7D">
        <w:rPr>
          <w:rFonts w:cstheme="minorHAnsi"/>
          <w:sz w:val="28"/>
          <w:szCs w:val="28"/>
        </w:rPr>
        <w:t xml:space="preserve"> çizer.</w:t>
      </w:r>
    </w:p>
    <w:p w:rsidR="001D4FBE" w:rsidRPr="00160E7D" w:rsidRDefault="001D4FBE" w:rsidP="001D4FBE">
      <w:pPr>
        <w:rPr>
          <w:rFonts w:cstheme="minorHAnsi"/>
          <w:sz w:val="28"/>
          <w:szCs w:val="28"/>
        </w:rPr>
      </w:pPr>
      <w:proofErr w:type="spellStart"/>
      <w:r w:rsidRPr="00160E7D">
        <w:rPr>
          <w:rFonts w:cstheme="minorHAnsi"/>
          <w:sz w:val="28"/>
          <w:szCs w:val="28"/>
        </w:rPr>
        <w:t>Violinplot</w:t>
      </w:r>
      <w:proofErr w:type="spellEnd"/>
      <w:r w:rsidRPr="00160E7D">
        <w:rPr>
          <w:rFonts w:cstheme="minorHAnsi"/>
          <w:sz w:val="28"/>
          <w:szCs w:val="28"/>
        </w:rPr>
        <w:t xml:space="preserve">, </w:t>
      </w:r>
      <w:proofErr w:type="spellStart"/>
      <w:r w:rsidRPr="00160E7D">
        <w:rPr>
          <w:rFonts w:cstheme="minorHAnsi"/>
          <w:sz w:val="28"/>
          <w:szCs w:val="28"/>
        </w:rPr>
        <w:t>boxplot</w:t>
      </w:r>
      <w:proofErr w:type="spellEnd"/>
      <w:r w:rsidRPr="00160E7D">
        <w:rPr>
          <w:rFonts w:cstheme="minorHAnsi"/>
          <w:sz w:val="28"/>
          <w:szCs w:val="28"/>
        </w:rPr>
        <w:t xml:space="preserve"> ve </w:t>
      </w:r>
      <w:proofErr w:type="spellStart"/>
      <w:r w:rsidRPr="00160E7D">
        <w:rPr>
          <w:rFonts w:cstheme="minorHAnsi"/>
          <w:sz w:val="28"/>
          <w:szCs w:val="28"/>
        </w:rPr>
        <w:t>whiskerplot</w:t>
      </w:r>
      <w:proofErr w:type="spellEnd"/>
      <w:r w:rsidRPr="00160E7D">
        <w:rPr>
          <w:rFonts w:cstheme="minorHAnsi"/>
          <w:sz w:val="28"/>
          <w:szCs w:val="28"/>
        </w:rPr>
        <w:t xml:space="preserve"> ile benzer bir rol oynar. Bir veya daha fazla kategorik değişkenin çeşitli seviyelerinde nicel verilerin dağılımını göstererek bu dağılımların karşılaştırılmasına </w:t>
      </w:r>
      <w:proofErr w:type="gramStart"/>
      <w:r w:rsidRPr="00160E7D">
        <w:rPr>
          <w:rFonts w:cstheme="minorHAnsi"/>
          <w:sz w:val="28"/>
          <w:szCs w:val="28"/>
        </w:rPr>
        <w:t>imkan</w:t>
      </w:r>
      <w:proofErr w:type="gramEnd"/>
      <w:r w:rsidRPr="00160E7D">
        <w:rPr>
          <w:rFonts w:cstheme="minorHAnsi"/>
          <w:sz w:val="28"/>
          <w:szCs w:val="28"/>
        </w:rPr>
        <w:t xml:space="preserve"> sağlar.  Tüm çizim bileşenlerinin gerçek veri noktalarına karşılık geldiği bir </w:t>
      </w:r>
      <w:proofErr w:type="spellStart"/>
      <w:r w:rsidRPr="00160E7D">
        <w:rPr>
          <w:rFonts w:cstheme="minorHAnsi"/>
          <w:sz w:val="28"/>
          <w:szCs w:val="28"/>
        </w:rPr>
        <w:t>boxplot</w:t>
      </w:r>
      <w:proofErr w:type="spellEnd"/>
      <w:r w:rsidRPr="00160E7D">
        <w:rPr>
          <w:rFonts w:cstheme="minorHAnsi"/>
          <w:sz w:val="28"/>
          <w:szCs w:val="28"/>
        </w:rPr>
        <w:t xml:space="preserve"> tan farklı olarak, </w:t>
      </w:r>
      <w:proofErr w:type="spellStart"/>
      <w:r w:rsidRPr="00160E7D">
        <w:rPr>
          <w:rFonts w:cstheme="minorHAnsi"/>
          <w:sz w:val="28"/>
          <w:szCs w:val="28"/>
        </w:rPr>
        <w:t>violinplot</w:t>
      </w:r>
      <w:proofErr w:type="spellEnd"/>
      <w:r w:rsidRPr="00160E7D">
        <w:rPr>
          <w:rFonts w:cstheme="minorHAnsi"/>
          <w:sz w:val="28"/>
          <w:szCs w:val="28"/>
        </w:rPr>
        <w:t>, temel dağılımın bir çekirdek yoğunluğu tahminini (KDE) içerir.</w:t>
      </w:r>
    </w:p>
    <w:p w:rsidR="001D4FBE" w:rsidRPr="00160E7D" w:rsidRDefault="001D4FBE" w:rsidP="001D4FBE">
      <w:pPr>
        <w:rPr>
          <w:rFonts w:cstheme="minorHAnsi"/>
          <w:sz w:val="28"/>
          <w:szCs w:val="28"/>
        </w:rPr>
      </w:pPr>
      <w:r w:rsidRPr="00160E7D">
        <w:rPr>
          <w:rFonts w:cstheme="minorHAnsi"/>
          <w:sz w:val="28"/>
          <w:szCs w:val="28"/>
        </w:rPr>
        <w:t xml:space="preserve">Aynı anda birden fazla veri dağılımını göstermenin etkili bir yolu olmasına rağmen tahmin prosedürünün numune boyutundan etkilendiğini ve nispeten küçük numuneler için </w:t>
      </w:r>
      <w:proofErr w:type="spellStart"/>
      <w:r w:rsidRPr="00160E7D">
        <w:rPr>
          <w:rFonts w:cstheme="minorHAnsi"/>
          <w:sz w:val="28"/>
          <w:szCs w:val="28"/>
        </w:rPr>
        <w:t>violinplot</w:t>
      </w:r>
      <w:proofErr w:type="spellEnd"/>
      <w:r w:rsidRPr="00160E7D">
        <w:rPr>
          <w:rFonts w:cstheme="minorHAnsi"/>
          <w:sz w:val="28"/>
          <w:szCs w:val="28"/>
        </w:rPr>
        <w:t xml:space="preserve"> </w:t>
      </w:r>
      <w:proofErr w:type="spellStart"/>
      <w:r w:rsidRPr="00160E7D">
        <w:rPr>
          <w:rFonts w:cstheme="minorHAnsi"/>
          <w:sz w:val="28"/>
          <w:szCs w:val="28"/>
        </w:rPr>
        <w:t>ın</w:t>
      </w:r>
      <w:proofErr w:type="spellEnd"/>
      <w:r w:rsidRPr="00160E7D">
        <w:rPr>
          <w:rFonts w:cstheme="minorHAnsi"/>
          <w:sz w:val="28"/>
          <w:szCs w:val="28"/>
        </w:rPr>
        <w:t xml:space="preserve"> yanıltıcı bir şekilde pürüzsüz </w:t>
      </w:r>
      <w:proofErr w:type="gramStart"/>
      <w:r w:rsidRPr="00160E7D">
        <w:rPr>
          <w:rFonts w:cstheme="minorHAnsi"/>
          <w:sz w:val="28"/>
          <w:szCs w:val="28"/>
        </w:rPr>
        <w:t>görünebileceği  unutulmamalıdır</w:t>
      </w:r>
      <w:proofErr w:type="gramEnd"/>
      <w:r w:rsidRPr="00160E7D">
        <w:rPr>
          <w:rFonts w:cstheme="minorHAnsi"/>
          <w:sz w:val="28"/>
          <w:szCs w:val="28"/>
        </w:rPr>
        <w:t>.</w:t>
      </w:r>
    </w:p>
    <w:p w:rsidR="001D4FBE" w:rsidRPr="00160E7D" w:rsidRDefault="00160E7D" w:rsidP="001D4FBE">
      <w:pPr>
        <w:rPr>
          <w:rFonts w:cstheme="minorHAnsi"/>
          <w:sz w:val="28"/>
          <w:szCs w:val="28"/>
        </w:rPr>
      </w:pPr>
      <w:r w:rsidRPr="00160E7D">
        <w:rPr>
          <w:rFonts w:cstheme="minorHAnsi"/>
          <w:sz w:val="28"/>
          <w:szCs w:val="28"/>
        </w:rPr>
        <w:t>Veriler</w:t>
      </w:r>
      <w:r w:rsidR="001D4FBE" w:rsidRPr="00160E7D">
        <w:rPr>
          <w:rFonts w:cstheme="minorHAnsi"/>
          <w:sz w:val="28"/>
          <w:szCs w:val="28"/>
        </w:rPr>
        <w:t xml:space="preserve">, </w:t>
      </w:r>
      <w:proofErr w:type="gramStart"/>
      <w:r w:rsidR="001D4FBE" w:rsidRPr="00160E7D">
        <w:rPr>
          <w:rFonts w:cstheme="minorHAnsi"/>
          <w:sz w:val="28"/>
          <w:szCs w:val="28"/>
        </w:rPr>
        <w:t>aşağıda</w:t>
      </w:r>
      <w:r w:rsidRPr="00160E7D">
        <w:rPr>
          <w:rFonts w:cstheme="minorHAnsi"/>
          <w:sz w:val="28"/>
          <w:szCs w:val="28"/>
        </w:rPr>
        <w:t xml:space="preserve">  gösterilenler</w:t>
      </w:r>
      <w:proofErr w:type="gramEnd"/>
      <w:r w:rsidRPr="00160E7D">
        <w:rPr>
          <w:rFonts w:cstheme="minorHAnsi"/>
          <w:sz w:val="28"/>
          <w:szCs w:val="28"/>
        </w:rPr>
        <w:t xml:space="preserve"> </w:t>
      </w:r>
      <w:r w:rsidR="001D4FBE" w:rsidRPr="00160E7D">
        <w:rPr>
          <w:rFonts w:cstheme="minorHAnsi"/>
          <w:sz w:val="28"/>
          <w:szCs w:val="28"/>
        </w:rPr>
        <w:t>de dahil olmak üzere çeşitli biçimlerde iletilebilir:</w:t>
      </w:r>
    </w:p>
    <w:p w:rsidR="00160E7D" w:rsidRPr="00160E7D" w:rsidRDefault="00160E7D" w:rsidP="00160E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pacing w:val="2"/>
          <w:sz w:val="28"/>
          <w:szCs w:val="28"/>
        </w:rPr>
      </w:pP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Vectors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of </w:t>
      </w:r>
      <w:proofErr w:type="gram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data</w:t>
      </w:r>
      <w:proofErr w:type="gram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represented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as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lists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,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numpy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arrays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,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or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pandas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Series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objects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passed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directly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to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the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 </w:t>
      </w:r>
      <w:r w:rsidRPr="00160E7D">
        <w:rPr>
          <w:rStyle w:val="pre"/>
          <w:rFonts w:asciiTheme="minorHAnsi" w:hAnsiTheme="minorHAnsi" w:cstheme="minorHAnsi"/>
          <w:color w:val="444444"/>
          <w:spacing w:val="2"/>
          <w:sz w:val="28"/>
          <w:szCs w:val="28"/>
        </w:rPr>
        <w:t>x</w:t>
      </w: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, </w:t>
      </w:r>
      <w:r w:rsidRPr="00160E7D">
        <w:rPr>
          <w:rStyle w:val="pre"/>
          <w:rFonts w:asciiTheme="minorHAnsi" w:hAnsiTheme="minorHAnsi" w:cstheme="minorHAnsi"/>
          <w:color w:val="444444"/>
          <w:spacing w:val="2"/>
          <w:sz w:val="28"/>
          <w:szCs w:val="28"/>
        </w:rPr>
        <w:t>y</w:t>
      </w: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,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and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/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or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 </w:t>
      </w:r>
      <w:proofErr w:type="spellStart"/>
      <w:r w:rsidRPr="00160E7D">
        <w:rPr>
          <w:rStyle w:val="pre"/>
          <w:rFonts w:asciiTheme="minorHAnsi" w:hAnsiTheme="minorHAnsi" w:cstheme="minorHAnsi"/>
          <w:color w:val="444444"/>
          <w:spacing w:val="2"/>
          <w:sz w:val="28"/>
          <w:szCs w:val="28"/>
        </w:rPr>
        <w:t>hue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 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parameters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.</w:t>
      </w:r>
    </w:p>
    <w:p w:rsidR="00160E7D" w:rsidRPr="00160E7D" w:rsidRDefault="00160E7D" w:rsidP="00160E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pacing w:val="2"/>
          <w:sz w:val="28"/>
          <w:szCs w:val="28"/>
        </w:rPr>
      </w:pP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 “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long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-form”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DataFrame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, in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which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case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the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 </w:t>
      </w:r>
      <w:r w:rsidRPr="00160E7D">
        <w:rPr>
          <w:rStyle w:val="pre"/>
          <w:rFonts w:asciiTheme="minorHAnsi" w:hAnsiTheme="minorHAnsi" w:cstheme="minorHAnsi"/>
          <w:color w:val="444444"/>
          <w:spacing w:val="2"/>
          <w:sz w:val="28"/>
          <w:szCs w:val="28"/>
        </w:rPr>
        <w:t>x</w:t>
      </w: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, </w:t>
      </w:r>
      <w:r w:rsidRPr="00160E7D">
        <w:rPr>
          <w:rStyle w:val="pre"/>
          <w:rFonts w:asciiTheme="minorHAnsi" w:hAnsiTheme="minorHAnsi" w:cstheme="minorHAnsi"/>
          <w:color w:val="444444"/>
          <w:spacing w:val="2"/>
          <w:sz w:val="28"/>
          <w:szCs w:val="28"/>
        </w:rPr>
        <w:t>y</w:t>
      </w: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,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and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 </w:t>
      </w:r>
      <w:proofErr w:type="spellStart"/>
      <w:r w:rsidRPr="00160E7D">
        <w:rPr>
          <w:rStyle w:val="pre"/>
          <w:rFonts w:asciiTheme="minorHAnsi" w:hAnsiTheme="minorHAnsi" w:cstheme="minorHAnsi"/>
          <w:color w:val="444444"/>
          <w:spacing w:val="2"/>
          <w:sz w:val="28"/>
          <w:szCs w:val="28"/>
        </w:rPr>
        <w:t>hue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 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variables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will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determine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how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the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gram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data</w:t>
      </w:r>
      <w:proofErr w:type="gram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are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plotted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.</w:t>
      </w:r>
    </w:p>
    <w:p w:rsidR="00160E7D" w:rsidRPr="00160E7D" w:rsidRDefault="00160E7D" w:rsidP="00160E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pacing w:val="2"/>
          <w:sz w:val="28"/>
          <w:szCs w:val="28"/>
        </w:rPr>
      </w:pP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 “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wide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-form”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DataFrame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,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such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that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each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numeric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column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will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be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plotted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.</w:t>
      </w:r>
    </w:p>
    <w:p w:rsidR="00160E7D" w:rsidRPr="00160E7D" w:rsidRDefault="00160E7D" w:rsidP="00160E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44444"/>
          <w:spacing w:val="2"/>
          <w:sz w:val="28"/>
          <w:szCs w:val="28"/>
        </w:rPr>
      </w:pPr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An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array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or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list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 xml:space="preserve"> of </w:t>
      </w:r>
      <w:proofErr w:type="spellStart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vectors</w:t>
      </w:r>
      <w:proofErr w:type="spellEnd"/>
      <w:r w:rsidRPr="00160E7D">
        <w:rPr>
          <w:rFonts w:asciiTheme="minorHAnsi" w:hAnsiTheme="minorHAnsi" w:cstheme="minorHAnsi"/>
          <w:color w:val="444444"/>
          <w:spacing w:val="2"/>
          <w:sz w:val="28"/>
          <w:szCs w:val="28"/>
        </w:rPr>
        <w:t>.</w:t>
      </w:r>
    </w:p>
    <w:p w:rsidR="00160E7D" w:rsidRPr="00160E7D" w:rsidRDefault="00160E7D" w:rsidP="001D4FBE">
      <w:pPr>
        <w:rPr>
          <w:rFonts w:cstheme="minorHAnsi"/>
          <w:sz w:val="28"/>
          <w:szCs w:val="28"/>
        </w:rPr>
      </w:pPr>
    </w:p>
    <w:p w:rsidR="00160E7D" w:rsidRPr="00160E7D" w:rsidRDefault="00160E7D" w:rsidP="001D4FBE">
      <w:pPr>
        <w:rPr>
          <w:rFonts w:cstheme="minorHAnsi"/>
          <w:sz w:val="28"/>
          <w:szCs w:val="28"/>
        </w:rPr>
      </w:pPr>
      <w:r w:rsidRPr="00160E7D">
        <w:rPr>
          <w:rFonts w:cstheme="minorHAnsi"/>
          <w:sz w:val="28"/>
          <w:szCs w:val="28"/>
        </w:rPr>
        <w:t xml:space="preserve">Çoğu durumda, </w:t>
      </w:r>
      <w:proofErr w:type="spellStart"/>
      <w:r w:rsidRPr="00160E7D">
        <w:rPr>
          <w:rFonts w:cstheme="minorHAnsi"/>
          <w:sz w:val="28"/>
          <w:szCs w:val="28"/>
        </w:rPr>
        <w:t>numpy</w:t>
      </w:r>
      <w:proofErr w:type="spellEnd"/>
      <w:r w:rsidRPr="00160E7D">
        <w:rPr>
          <w:rFonts w:cstheme="minorHAnsi"/>
          <w:sz w:val="28"/>
          <w:szCs w:val="28"/>
        </w:rPr>
        <w:t xml:space="preserve"> veya </w:t>
      </w:r>
      <w:proofErr w:type="spellStart"/>
      <w:r w:rsidRPr="00160E7D">
        <w:rPr>
          <w:rFonts w:cstheme="minorHAnsi"/>
          <w:sz w:val="28"/>
          <w:szCs w:val="28"/>
        </w:rPr>
        <w:t>Python</w:t>
      </w:r>
      <w:proofErr w:type="spellEnd"/>
      <w:r w:rsidRPr="00160E7D">
        <w:rPr>
          <w:rFonts w:cstheme="minorHAnsi"/>
          <w:sz w:val="28"/>
          <w:szCs w:val="28"/>
        </w:rPr>
        <w:t xml:space="preserve"> nesneleri kullanmak mümkün olmasına rağmen, </w:t>
      </w:r>
      <w:r w:rsidRPr="00160E7D">
        <w:rPr>
          <w:rFonts w:cstheme="minorHAnsi"/>
          <w:sz w:val="28"/>
          <w:szCs w:val="28"/>
        </w:rPr>
        <w:t>ilişkili adlar eksenlere açıklama eklemek için kullanılaca</w:t>
      </w:r>
      <w:r w:rsidRPr="00160E7D">
        <w:rPr>
          <w:rFonts w:cstheme="minorHAnsi"/>
          <w:sz w:val="28"/>
          <w:szCs w:val="28"/>
        </w:rPr>
        <w:t xml:space="preserve">ğından </w:t>
      </w:r>
      <w:proofErr w:type="spellStart"/>
      <w:r w:rsidRPr="00160E7D">
        <w:rPr>
          <w:rFonts w:cstheme="minorHAnsi"/>
          <w:sz w:val="28"/>
          <w:szCs w:val="28"/>
        </w:rPr>
        <w:t>pandas</w:t>
      </w:r>
      <w:proofErr w:type="spellEnd"/>
      <w:r w:rsidRPr="00160E7D">
        <w:rPr>
          <w:rFonts w:cstheme="minorHAnsi"/>
          <w:sz w:val="28"/>
          <w:szCs w:val="28"/>
        </w:rPr>
        <w:t xml:space="preserve"> nesneleri tercih edilir.  İlave olarak, çizim öğelerinin sırasını kontrol etmek maksadıyla gruplama değişkenleri için Kategorik türler kullanılabilir.</w:t>
      </w:r>
    </w:p>
    <w:p w:rsidR="00160E7D" w:rsidRPr="00160E7D" w:rsidRDefault="00160E7D" w:rsidP="001D4FBE">
      <w:pPr>
        <w:rPr>
          <w:rFonts w:cstheme="minorHAnsi"/>
          <w:sz w:val="28"/>
          <w:szCs w:val="28"/>
        </w:rPr>
      </w:pPr>
      <w:r w:rsidRPr="00160E7D">
        <w:rPr>
          <w:rFonts w:cstheme="minorHAnsi"/>
          <w:sz w:val="28"/>
          <w:szCs w:val="28"/>
        </w:rPr>
        <w:t xml:space="preserve">Bu işlev, değişkenlerden birini her zaman kategorik olarak ele alır ve veriler sayısal veya tarih türünde olsa bile ilgili eksende </w:t>
      </w:r>
      <w:proofErr w:type="gramStart"/>
      <w:r w:rsidRPr="00160E7D">
        <w:rPr>
          <w:rFonts w:cstheme="minorHAnsi"/>
          <w:sz w:val="28"/>
          <w:szCs w:val="28"/>
        </w:rPr>
        <w:t>(</w:t>
      </w:r>
      <w:proofErr w:type="gramEnd"/>
      <w:r w:rsidRPr="00160E7D">
        <w:rPr>
          <w:rFonts w:cstheme="minorHAnsi"/>
          <w:sz w:val="28"/>
          <w:szCs w:val="28"/>
        </w:rPr>
        <w:t>0, 1, … n) sıra konumlarında gösterir.</w:t>
      </w:r>
    </w:p>
    <w:p w:rsidR="00160E7D" w:rsidRPr="00160E7D" w:rsidRDefault="00160E7D" w:rsidP="001D4FBE">
      <w:pPr>
        <w:rPr>
          <w:rFonts w:cstheme="minorHAnsi"/>
          <w:sz w:val="28"/>
          <w:szCs w:val="28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Parameters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 xml:space="preserve">x, y, </w:t>
      </w: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hue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names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variables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in </w:t>
      </w:r>
      <w:proofErr w:type="gram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data</w:t>
      </w:r>
      <w:proofErr w:type="gram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vector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data,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Inputs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long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-form </w:t>
      </w:r>
      <w:proofErr w:type="gram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</w:t>
      </w:r>
      <w:proofErr w:type="gram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See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examples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interpretation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data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DataFrame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array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list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arrays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lastRenderedPageBreak/>
        <w:t>Dataset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x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and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y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are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absent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this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is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interpreted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as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-form.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Otherwise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it is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expected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long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-form.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order</w:t>
      </w:r>
      <w:proofErr w:type="spellEnd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hue_order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lists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strings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Order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categorical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in,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otherwise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are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inferred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from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gram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</w:t>
      </w:r>
      <w:proofErr w:type="gram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objects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bw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{‘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scott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’, ‘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silverman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’,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float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},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Either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name of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reference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rule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factor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computing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kernel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bandwidth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actual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kernel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size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determined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multiplying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factor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standard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deviation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gram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</w:t>
      </w:r>
      <w:proofErr w:type="gram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within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bin.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cut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float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Distance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in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units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bandwidth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size,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extend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density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past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extreme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datapoints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Set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0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limit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range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within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range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observed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data (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i.e</w:t>
      </w:r>
      <w:proofErr w:type="spellEnd"/>
      <w:proofErr w:type="gram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.,</w:t>
      </w:r>
      <w:proofErr w:type="gram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have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same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effect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as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trim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=True in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ggplot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scale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{“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area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”, 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count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”, 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”},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method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area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have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same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area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count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number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observations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that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bin.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have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same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scale_hue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bool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nesting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variable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this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parameter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determines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whether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is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computed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within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major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grouping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variable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(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scale_hue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=True)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across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(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scale_hue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=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False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).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gridsize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int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Number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points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discrete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grid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compute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kernel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density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estimate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width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float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full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element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not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nesting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elements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one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major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grouping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variable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inner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{“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box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”, 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quartile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”, 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point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”, “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stick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”,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None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},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lastRenderedPageBreak/>
        <w:t>Representation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datapoints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interior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box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draw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miniature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boxplot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quartiles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draw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quartiles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distribution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point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stick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show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underlying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datapoint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 Using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None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draw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unadorned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bookmarkStart w:id="0" w:name="_GoBack"/>
      <w:bookmarkEnd w:id="0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split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bool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nesting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variable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that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takes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two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setting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split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True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draw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half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violin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This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can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make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it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easier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directly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compare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distributions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dodge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bool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nesting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is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whether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elements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should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shifted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along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categorical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axis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orient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“v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” | “h”,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Orientation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(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vertical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horizontal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).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This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is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usually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inferred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based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on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type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input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variables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but it can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resolve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ambiguitiy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both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x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and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y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are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numeric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when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plotting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-form </w:t>
      </w:r>
      <w:proofErr w:type="gram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data</w:t>
      </w:r>
      <w:proofErr w:type="gram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linewidth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float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Width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gray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lines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that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frame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elements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color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matplotlib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color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all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elements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seed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gradient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palette.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palette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palette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name,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list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dict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for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different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variable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Should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something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that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can be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interpreted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fldChar w:fldCharType="begin"/>
      </w:r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instrText xml:space="preserve"> HYPERLINK "https://seaborn.pydata.org/generated/seaborn.color_palette.html" \l "seaborn.color_palette" \o "seaborn.color_palette" </w:instrText>
      </w:r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fldChar w:fldCharType="separate"/>
      </w:r>
      <w:r w:rsidRPr="00160E7D">
        <w:rPr>
          <w:rFonts w:eastAsia="Times New Roman" w:cstheme="minorHAnsi"/>
          <w:b/>
          <w:bCs/>
          <w:color w:val="0000FF"/>
          <w:spacing w:val="2"/>
          <w:sz w:val="28"/>
          <w:szCs w:val="28"/>
          <w:lang w:eastAsia="tr-TR"/>
        </w:rPr>
        <w:t>color_palette</w:t>
      </w:r>
      <w:proofErr w:type="spellEnd"/>
      <w:r w:rsidRPr="00160E7D">
        <w:rPr>
          <w:rFonts w:eastAsia="Times New Roman" w:cstheme="minorHAnsi"/>
          <w:b/>
          <w:bCs/>
          <w:color w:val="0000FF"/>
          <w:spacing w:val="2"/>
          <w:sz w:val="28"/>
          <w:szCs w:val="28"/>
          <w:lang w:eastAsia="tr-TR"/>
        </w:rPr>
        <w:t>()</w:t>
      </w:r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fldChar w:fldCharType="end"/>
      </w:r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dictionary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mapping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hue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levels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matplotlib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saturation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float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Proportion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of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original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saturation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draw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at.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Large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patches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often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look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better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with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slightly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desaturated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but set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this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 1 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if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you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want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perfectly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match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input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color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spec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b/>
          <w:bCs/>
          <w:color w:val="444444"/>
          <w:spacing w:val="2"/>
          <w:sz w:val="28"/>
          <w:szCs w:val="28"/>
          <w:lang w:eastAsia="tr-TR"/>
        </w:rPr>
        <w:t>ax</w:t>
      </w:r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matplotlib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Axes</w:t>
      </w:r>
      <w:proofErr w:type="spellEnd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b/>
          <w:bCs/>
          <w:i/>
          <w:iCs/>
          <w:color w:val="444444"/>
          <w:spacing w:val="2"/>
          <w:sz w:val="28"/>
          <w:szCs w:val="28"/>
          <w:lang w:eastAsia="tr-TR"/>
        </w:rPr>
        <w:t>optional</w:t>
      </w:r>
      <w:proofErr w:type="spellEnd"/>
    </w:p>
    <w:p w:rsidR="00160E7D" w:rsidRPr="00160E7D" w:rsidRDefault="00160E7D" w:rsidP="00160E7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</w:pP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Axes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object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draw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plot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onto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,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otherwise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uses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the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current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 xml:space="preserve"> </w:t>
      </w:r>
      <w:proofErr w:type="spellStart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Axes</w:t>
      </w:r>
      <w:proofErr w:type="spellEnd"/>
      <w:r w:rsidRPr="00160E7D">
        <w:rPr>
          <w:rFonts w:eastAsia="Times New Roman" w:cstheme="minorHAnsi"/>
          <w:color w:val="444444"/>
          <w:spacing w:val="2"/>
          <w:sz w:val="28"/>
          <w:szCs w:val="28"/>
          <w:lang w:eastAsia="tr-TR"/>
        </w:rPr>
        <w:t>.</w:t>
      </w:r>
    </w:p>
    <w:p w:rsidR="00160E7D" w:rsidRDefault="00160E7D" w:rsidP="001D4FBE">
      <w:pPr>
        <w:rPr>
          <w:sz w:val="24"/>
          <w:szCs w:val="24"/>
        </w:rPr>
      </w:pPr>
    </w:p>
    <w:p w:rsidR="00160E7D" w:rsidRDefault="00160E7D" w:rsidP="001D4FBE">
      <w:pPr>
        <w:rPr>
          <w:sz w:val="24"/>
          <w:szCs w:val="24"/>
        </w:rPr>
      </w:pPr>
    </w:p>
    <w:p w:rsidR="00160E7D" w:rsidRDefault="00160E7D" w:rsidP="001D4FBE">
      <w:pPr>
        <w:rPr>
          <w:sz w:val="24"/>
          <w:szCs w:val="24"/>
        </w:rPr>
      </w:pPr>
      <w:r w:rsidRPr="00160E7D">
        <w:rPr>
          <w:sz w:val="24"/>
          <w:szCs w:val="24"/>
        </w:rPr>
        <w:lastRenderedPageBreak/>
        <w:drawing>
          <wp:inline distT="0" distB="0" distL="0" distR="0" wp14:anchorId="2F118A54" wp14:editId="21CD19B3">
            <wp:extent cx="5760720" cy="36785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7D" w:rsidRDefault="00160E7D" w:rsidP="001D4FBE">
      <w:pPr>
        <w:rPr>
          <w:sz w:val="24"/>
          <w:szCs w:val="24"/>
        </w:rPr>
      </w:pPr>
      <w:r w:rsidRPr="00160E7D">
        <w:rPr>
          <w:sz w:val="24"/>
          <w:szCs w:val="24"/>
        </w:rPr>
        <w:drawing>
          <wp:inline distT="0" distB="0" distL="0" distR="0" wp14:anchorId="6AA83D1A" wp14:editId="462379A7">
            <wp:extent cx="5760720" cy="33134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7D" w:rsidRDefault="00160E7D" w:rsidP="001D4FBE">
      <w:pPr>
        <w:rPr>
          <w:sz w:val="24"/>
          <w:szCs w:val="24"/>
        </w:rPr>
      </w:pPr>
      <w:r w:rsidRPr="00160E7D">
        <w:rPr>
          <w:sz w:val="24"/>
          <w:szCs w:val="24"/>
        </w:rPr>
        <w:lastRenderedPageBreak/>
        <w:drawing>
          <wp:inline distT="0" distB="0" distL="0" distR="0" wp14:anchorId="7A6CBA66" wp14:editId="2A18CE8C">
            <wp:extent cx="5760720" cy="35172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7D" w:rsidRDefault="00160E7D" w:rsidP="001D4FBE">
      <w:pPr>
        <w:rPr>
          <w:sz w:val="24"/>
          <w:szCs w:val="24"/>
        </w:rPr>
      </w:pPr>
      <w:r w:rsidRPr="00160E7D">
        <w:rPr>
          <w:sz w:val="24"/>
          <w:szCs w:val="24"/>
        </w:rPr>
        <w:drawing>
          <wp:inline distT="0" distB="0" distL="0" distR="0" wp14:anchorId="2A96A297" wp14:editId="05C3C0D5">
            <wp:extent cx="5760720" cy="355727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7D" w:rsidRPr="001D4FBE" w:rsidRDefault="00160E7D" w:rsidP="001D4FBE">
      <w:pPr>
        <w:rPr>
          <w:sz w:val="24"/>
          <w:szCs w:val="24"/>
        </w:rPr>
      </w:pPr>
      <w:r w:rsidRPr="00160E7D">
        <w:rPr>
          <w:sz w:val="24"/>
          <w:szCs w:val="24"/>
        </w:rPr>
        <w:lastRenderedPageBreak/>
        <w:drawing>
          <wp:inline distT="0" distB="0" distL="0" distR="0" wp14:anchorId="319F42EE" wp14:editId="1584B102">
            <wp:extent cx="5760720" cy="3408045"/>
            <wp:effectExtent l="0" t="0" r="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BE" w:rsidRDefault="001D4FBE"/>
    <w:sectPr w:rsidR="001D4FB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251" w:rsidRDefault="00A30251" w:rsidP="00160E7D">
      <w:pPr>
        <w:spacing w:after="0" w:line="240" w:lineRule="auto"/>
      </w:pPr>
      <w:r>
        <w:separator/>
      </w:r>
    </w:p>
  </w:endnote>
  <w:endnote w:type="continuationSeparator" w:id="0">
    <w:p w:rsidR="00A30251" w:rsidRDefault="00A30251" w:rsidP="0016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6287303"/>
      <w:docPartObj>
        <w:docPartGallery w:val="Page Numbers (Bottom of Page)"/>
        <w:docPartUnique/>
      </w:docPartObj>
    </w:sdtPr>
    <w:sdtContent>
      <w:p w:rsidR="00160E7D" w:rsidRDefault="00160E7D">
        <w:pPr>
          <w:pStyle w:val="Altbilgi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>-</w:t>
        </w:r>
      </w:p>
      <w:p w:rsidR="00160E7D" w:rsidRDefault="00160E7D" w:rsidP="00160E7D">
        <w:pPr>
          <w:pStyle w:val="Altbilgi"/>
        </w:pPr>
      </w:p>
    </w:sdtContent>
  </w:sdt>
  <w:p w:rsidR="00160E7D" w:rsidRDefault="00160E7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251" w:rsidRDefault="00A30251" w:rsidP="00160E7D">
      <w:pPr>
        <w:spacing w:after="0" w:line="240" w:lineRule="auto"/>
      </w:pPr>
      <w:r>
        <w:separator/>
      </w:r>
    </w:p>
  </w:footnote>
  <w:footnote w:type="continuationSeparator" w:id="0">
    <w:p w:rsidR="00A30251" w:rsidRDefault="00A30251" w:rsidP="0016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35AF2"/>
    <w:multiLevelType w:val="multilevel"/>
    <w:tmpl w:val="9FB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76"/>
    <w:rsid w:val="00160E7D"/>
    <w:rsid w:val="001D4FBE"/>
    <w:rsid w:val="0045048C"/>
    <w:rsid w:val="00A30251"/>
    <w:rsid w:val="00F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9EE13-41EE-4051-AD3C-60C2A53E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re">
    <w:name w:val="pre"/>
    <w:basedOn w:val="VarsaylanParagrafYazTipi"/>
    <w:rsid w:val="00160E7D"/>
  </w:style>
  <w:style w:type="character" w:styleId="Gl">
    <w:name w:val="Strong"/>
    <w:basedOn w:val="VarsaylanParagrafYazTipi"/>
    <w:uiPriority w:val="22"/>
    <w:qFormat/>
    <w:rsid w:val="00160E7D"/>
    <w:rPr>
      <w:b/>
      <w:bCs/>
    </w:rPr>
  </w:style>
  <w:style w:type="character" w:customStyle="1" w:styleId="classifier">
    <w:name w:val="classifier"/>
    <w:basedOn w:val="VarsaylanParagrafYazTipi"/>
    <w:rsid w:val="00160E7D"/>
  </w:style>
  <w:style w:type="paragraph" w:styleId="stbilgi">
    <w:name w:val="header"/>
    <w:basedOn w:val="Normal"/>
    <w:link w:val="stbilgiChar"/>
    <w:uiPriority w:val="99"/>
    <w:unhideWhenUsed/>
    <w:rsid w:val="0016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60E7D"/>
  </w:style>
  <w:style w:type="paragraph" w:styleId="Altbilgi">
    <w:name w:val="footer"/>
    <w:basedOn w:val="Normal"/>
    <w:link w:val="AltbilgiChar"/>
    <w:uiPriority w:val="99"/>
    <w:unhideWhenUsed/>
    <w:rsid w:val="0016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6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2021-07-18T18:04:00Z</dcterms:created>
  <dcterms:modified xsi:type="dcterms:W3CDTF">2021-07-18T18:23:00Z</dcterms:modified>
</cp:coreProperties>
</file>