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</w:pPr>
    </w:p>
    <w:p>
      <w:pPr>
        <w:spacing w:before="0" w:after="0" w:line="264" w:lineRule="auto"/>
      </w:pPr>
    </w:p>
    <w:p>
      <w:pPr>
        <w:spacing w:before="0" w:after="0" w:line="264" w:lineRule="auto"/>
      </w:pP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b/>
          <w:color w:val="0B2545"/>
          <w:sz w:val="44"/>
        </w:rPr>
        <w:t>大学物理实验</w:t>
      </w:r>
    </w:p>
    <w:p>
      <w:pPr>
        <w:spacing w:before="0" w:after="480" w:line="264" w:lineRule="auto"/>
        <w:jc w:val="center"/>
      </w:pPr>
      <w:r>
        <w:rPr>
          <w:rFonts w:ascii="宋体" w:hAnsi="宋体" w:eastAsia="宋体"/>
          <w:b/>
          <w:color w:val="2E74B5"/>
          <w:sz w:val="48"/>
        </w:rPr>
        <w:t>伏安特性曲线的自动测量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4"/>
              </w:rPr>
              <w:t>姓名</w:t>
            </w:r>
          </w:p>
        </w:tc>
        <w:tc>
          <w:tcPr>
            <w:tcW w:type="dxa" w:w="487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罗天富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4"/>
              </w:rPr>
              <w:t>学号</w:t>
            </w:r>
          </w:p>
        </w:tc>
        <w:tc>
          <w:tcPr>
            <w:tcW w:type="dxa" w:w="487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2025211910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4"/>
              </w:rPr>
              <w:t>班级</w:t>
            </w:r>
          </w:p>
        </w:tc>
        <w:tc>
          <w:tcPr>
            <w:tcW w:type="dxa" w:w="487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202521130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4"/>
              </w:rPr>
              <w:t>实验时间</w:t>
            </w:r>
          </w:p>
        </w:tc>
        <w:tc>
          <w:tcPr>
            <w:tcW w:type="dxa" w:w="487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 年 6 月 1 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4"/>
              </w:rPr>
              <w:t>实验组号</w:t>
            </w:r>
          </w:p>
        </w:tc>
        <w:tc>
          <w:tcPr>
            <w:tcW w:type="dxa" w:w="487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</w:t>
            </w:r>
          </w:p>
        </w:tc>
      </w:tr>
    </w:tbl>
    <w:p>
      <w:pPr>
        <w:spacing w:before="400" w:after="80" w:line="264" w:lineRule="auto"/>
        <w:jc w:val="center"/>
      </w:pPr>
      <w:r>
        <w:rPr>
          <w:rFonts w:ascii="宋体" w:hAnsi="宋体" w:eastAsia="宋体"/>
          <w:b w:val="0"/>
          <w:color w:val="555555"/>
          <w:sz w:val="24"/>
        </w:rPr>
        <w:t>截图汇总与数据记录整理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2E74B5"/>
          <w:sz w:val="32"/>
        </w:rPr>
        <w:t>一、实验截图与程序界面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图中展示了 NI myDAQ 接线盒、面包板、限流电阻、发光二极管及连接导线。实验使用采集卡电源输出作为工作电源，并通过定值电阻两端电压换算 LED 电流。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629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2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1  电路连接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程序框图包含 DAQ 助手数据采集、信号均值测量、电压/电流数值换算与 XY 图生成模块，用于自动记录 LED 正向伏安特性曲线。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269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2  程序框图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前面板设置了电压表、电流表、XY 图显示区，以及测量按钮和电源开关，可实时观察采集电压、电流和伏安曲线变化。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9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3  前面板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2E74B5"/>
          <w:sz w:val="32"/>
        </w:rPr>
        <w:t>二、伏安特性曲线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红光 LED 的伏安曲线在较低正向电压附近开始明显上升，随后电流随电压增加快速增大，体现二极管正向导通特性。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curv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4  红光的伏安特性曲线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蓝光 LED 的伏安曲线在较高正向电压附近出现明显上升，说明其导通电压相对红光 LED 更高。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7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_curv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5  蓝光的伏安特性曲线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2E74B5"/>
          <w:sz w:val="32"/>
        </w:rPr>
        <w:t>三、U-I 原始记录表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记录表列出了红光 LED 在不同电压下的电流测量值，为绘制红光正向伏安特性曲线提供原始数据依据。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18502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tab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85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6  红光的 U-I 记录表</w:t>
      </w:r>
    </w:p>
    <w:p>
      <w:pPr>
        <w:spacing w:before="40" w:after="80" w:line="276" w:lineRule="auto"/>
      </w:pPr>
      <w:r>
        <w:rPr>
          <w:rFonts w:ascii="宋体" w:hAnsi="宋体" w:eastAsia="宋体"/>
          <w:b/>
          <w:color w:val="1F4D78"/>
          <w:sz w:val="22"/>
        </w:rPr>
        <w:t>说明：</w:t>
      </w:r>
      <w:r>
        <w:rPr>
          <w:rFonts w:ascii="宋体" w:hAnsi="宋体" w:eastAsia="宋体"/>
          <w:b w:val="0"/>
          <w:sz w:val="22"/>
        </w:rPr>
        <w:t>记录表列出了蓝光 LED 在不同电压下的电流测量值，可与蓝光曲线截图对应检查数据趋势。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1805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_tabl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8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宋体" w:hAnsi="宋体" w:eastAsia="宋体"/>
          <w:b/>
          <w:color w:val="333333"/>
          <w:sz w:val="20"/>
        </w:rPr>
        <w:t>图 7  蓝光的 U-I 记录表</w:t>
      </w:r>
    </w:p>
    <w:sectPr w:rsidR="00FC693F" w:rsidRPr="0006063C" w:rsidSect="00034616">
      <w:footerReference w:type="default" r:id="rId9"/>
      <w:pgSz w:w="11906" w:h="16838"/>
      <w:pgMar w:top="1304" w:right="1332" w:bottom="1247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>伏安特性曲线的自动测量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