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Document Title Header -->
    <w:p>
      <w:pPr>
        <w:jc w:val="center"/>
        <w:spacing w:before="360" w:after="80" w:line="276" w:lineRule="auto"/>
      </w:pPr>
      <w:r>
        <w:rPr>
          <w:b/>
          <w:color w:val="0F172A"/>
          <w:sz w:val="36"/>
          <w:szCs w:val="36"/>
        </w:rPr>
        <w:t xml:space="preserve">KARRENTS SECURITY ASSESSMENT WORKSPACE</w:t>
      </w:r>
    </w:p>
    <w:p>
      <w:pPr>
        <w:jc w:val="center"/>
        <w:spacing w:before="0" w:after="280" w:line="276" w:lineRule="auto"/>
      </w:pPr>
      <w:r>
        <w:rPr>
          <w:b/>
          <w:color w:val="2563EB"/>
          <w:sz w:val="22"/>
          <w:szCs w:val="22"/>
        </w:rPr>
        <w:t xml:space="preserve">FULL SYSTEM ARCHITECTURE &amp; OPERATIONS MANUAL</w:t>
      </w:r>
    </w:p>
    <!-- Metadata Document Control Table -->
    <w:tbl>
      <w:tblPr>
        <w:tblW w:w="5000" w:type="pct"/>
        <w:tblCellMar>
          <w:top w:w="120" w:type="dxa"/>
          <w:left w:w="160" w:type="dxa"/>
          <w:bottom w:w="120" w:type="dxa"/>
          <w:right w:w="160" w:type="dxa"/>
        </w:tblCellMar>
      </w:tblPr>
      <w:tr>
        <w:tc>
          <w:tcPr>
            <w:tcW w:w="35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Document Metadata Parameter</w:t>
            </w:r>
          </w:p>
        </w:tc>
        <w:tc>
          <w:tcPr>
            <w:tcW w:w="55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System Specification Details</w:t>
            </w:r>
          </w:p>
        </w:tc>
      </w:tr>
      <w:tr>
        <w:tc>
          <w:tcPr>
            <w:tcW w:w="35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System Platform Name</w:t>
            </w:r>
          </w:p>
        </w:tc>
        <w:tc>
          <w:tcPr>
            <w:tcW w:w="55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Karrents Security Assessment Workspace</w:t>
            </w:r>
          </w:p>
        </w:tc>
      </w:tr>
      <w:tr>
        <w:tc>
          <w:tcPr>
            <w:tcW w:w="35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Core Infrastructure</w:t>
            </w:r>
          </w:p>
        </w:tc>
        <w:tc>
          <w:tcPr>
            <w:tcW w:w="55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Node.js, Express.js, TypeScript, PostgreSQL, Prisma ORM, React 19</w:t>
            </w:r>
          </w:p>
        </w:tc>
      </w:tr>
      <w:tr>
        <w:tc>
          <w:tcPr>
            <w:tcW w:w="35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Functional Purpose</w:t>
            </w:r>
          </w:p>
        </w:tc>
        <w:tc>
          <w:tcPr>
            <w:tcW w:w="55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Commercial Assessment, Target Discovery, Evidence Collection &amp; Vulnerability Reporting</w:t>
            </w:r>
          </w:p>
        </w:tc>
      </w:tr>
      <w:tr>
        <w:tc>
          <w:tcPr>
            <w:tcW w:w="35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Scope Boundaries</w:t>
            </w:r>
          </w:p>
        </w:tc>
        <w:tc>
          <w:tcPr>
            <w:tcW w:w="55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Strictly assessment workspace. Structurally distinct from ZimaMDR.</w:t>
            </w:r>
          </w:p>
        </w:tc>
      </w:tr>
      <w:tr>
        <w:tc>
          <w:tcPr>
            <w:tcW w:w="35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Database Hierarchy</w:t>
            </w:r>
          </w:p>
        </w:tc>
        <w:tc>
          <w:tcPr>
            <w:tcW w:w="55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Organization &gt; Clients &gt; Projects &gt; Assets &gt; Findings</w:t>
            </w:r>
          </w:p>
        </w:tc>
      </w:tr>
      <w:tr>
        <w:tc>
          <w:tcPr>
            <w:tcW w:w="35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Release Version</w:t>
            </w:r>
          </w:p>
        </w:tc>
        <w:tc>
          <w:tcPr>
            <w:tcW w:w="55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v1.0.0 Production Engineering Architecture</w:t>
            </w:r>
          </w:p>
        </w:tc>
      </w:tr>
    </w:tbl>
    <w:p>
      <w:pPr>
        <w:spacing w:before="0" w:after="200" w:line="276" w:lineRule="auto"/>
      </w:pPr>
      <w:r>
        <w:rPr>
          <w:color w:val="334155"/>
          <w:sz w:val="22"/>
          <w:szCs w:val="22"/>
        </w:rPr>
        <w:t xml:space="preserve"/>
      </w:r>
    </w:p>
    <w:tbl>
      <w:tblPr>
        <w:tblW w:w="5000" w:type="pct"/>
        <w:tblBorders>
          <w:top w:val="none"/>
          <w:left w:val="single" w:sz="24" w:space="0" w:color="2563EB"/>
          <w:bottom w:val="none"/>
          <w:right w:val="none"/>
        </w:tblBorders>
        <w:tblCellMar>
          <w:top w:w="160" w:type="dxa"/>
          <w:left w:w="240" w:type="dxa"/>
          <w:bottom w:w="160" w:type="dxa"/>
          <w:right w:w="200" w:type="dxa"/>
        </w:tblCellMar>
      </w:tblPr>
      <w:tr>
        <w:tc>
          <w:tcPr>
            <w:tcW w:w="5000" w:type="pct"/>
            <w:shd w:val="clear" w:color="auto" w:fill="F1F5F9"/>
          </w:tcPr>
          <w:p>
            <w:pPr>
              <w:spacing w:before="0" w:after="60" w:line="276" w:lineRule="auto"/>
            </w:pPr>
            <w:r>
              <w:rPr>
                <w:b/>
                <w:color w:val="0F172A"/>
                <w:sz w:val="22"/>
                <w:szCs w:val="22"/>
              </w:rPr>
              <w:t xml:space="preserve">Commercial Workspace Scope Directive</w:t>
            </w:r>
          </w:p>
          <w:p>
            <w:pPr>
              <w:spacing w:before="0" w:after="0" w:line="276" w:lineRule="auto"/>
            </w:pPr>
            <w:r>
              <w:rPr>
                <w:i/>
                <w:color w:val="475569"/>
                <w:sz w:val="20"/>
                <w:szCs w:val="20"/>
              </w:rPr>
              <w:t xml:space="preserve">Karrents is engineered strictly as an assessment, target discovery, evidence collection, and reporting workspace. It does not compete with or replicate the functional scope of ZimaMDR (Managed Detection and Response). All security scanners and intelligence lookups execute exclusively within an authorized Project or Asset context.</w:t>
            </w:r>
          </w:p>
        </w:tc>
      </w:tr>
    </w:tbl>
    <w:p>
      <w:pPr>
        <w:spacing w:before="0" w:after="240" w:line="276" w:lineRule="auto"/>
      </w:pPr>
      <w:r>
        <w:rPr>
          <w:color w:val="334155"/>
          <w:sz w:val="22"/>
          <w:szCs w:val="22"/>
        </w:rPr>
        <w:t xml:space="preserve"/>
      </w:r>
    </w:p>
    <!-- Section 1 -->
    <w:p>
      <w:pPr>
        <w:pStyle w:val="Heading1"/>
      </w:pPr>
      <w:r>
        <w:t>1. Executive Summary &amp; Core Platform Directives</w:t>
      </w:r>
    </w:p>
    <w:p>
      <w:pPr>
        <w:spacing w:before="0" w:after="160" w:line="276" w:lineRule="auto"/>
      </w:pPr>
      <w:r>
        <w:rPr>
          <w:color w:val="334155"/>
          <w:sz w:val="22"/>
          <w:szCs w:val="22"/>
        </w:rPr>
        <w:t xml:space="preserve">The Karrents Security Assessment Workspace is a commercial web application built for cybersecurity assessment teams, penetration testers, and security engineering departments. It provides a centralized, multi-tenant environment to manage client assessment engagements, catalog target digital infrastructure, execute contextual security scanners, and generate verified vulnerability reports.</w:t>
      </w:r>
    </w:p>
    <w:p>
      <w:pPr>
        <w:spacing w:before="0" w:after="160" w:line="276" w:lineRule="auto"/>
      </w:pPr>
      <w:r>
        <w:rPr>
          <w:color w:val="334155"/>
          <w:sz w:val="22"/>
          <w:szCs w:val="22"/>
        </w:rPr>
        <w:t xml:space="preserve">The platform architecture is built around four fundamental engineering pillars:</w:t>
      </w:r>
    </w:p>
    <w:p>
      <w:pPr>
        <w:spacing w:before="60" w:after="60" w:line="276" w:lineRule="auto"/>
        <w:ind w:left="360" w:hanging="240"/>
      </w:pPr>
      <w:r>
        <w:rPr>
          <w:b/>
          <w:color w:val="2563EB"/>
          <w:sz w:val="22"/>
        </w:rPr>
        <w:t xml:space="preserve">• </w:t>
      </w:r>
      <w:r>
        <w:rPr>
          <w:b/>
          <w:color w:val="0F172A"/>
          <w:sz w:val="22"/>
        </w:rPr>
        <w:t xml:space="preserve">Strict Hierarchical Scope Isolation: </w:t>
      </w:r>
      <w:r>
        <w:rPr>
          <w:color w:val="334155"/>
          <w:sz w:val="22"/>
        </w:rPr>
        <w:t xml:space="preserve">Enforces a strict Organization &gt; Clients &gt; Projects &gt; Assets &gt; Findings relational hierarchy in PostgreSQL using Prisma ORM.</w:t>
      </w:r>
    </w:p>
    <w:p>
      <w:pPr>
        <w:spacing w:before="60" w:after="60" w:line="276" w:lineRule="auto"/>
        <w:ind w:left="360" w:hanging="240"/>
      </w:pPr>
      <w:r>
        <w:rPr>
          <w:b/>
          <w:color w:val="2563EB"/>
          <w:sz w:val="22"/>
        </w:rPr>
        <w:t xml:space="preserve">• </w:t>
      </w:r>
      <w:r>
        <w:rPr>
          <w:b/>
          <w:color w:val="0F172A"/>
          <w:sz w:val="22"/>
        </w:rPr>
        <w:t xml:space="preserve">Workflow Navigation Model: </w:t>
      </w:r>
      <w:r>
        <w:rPr>
          <w:color w:val="334155"/>
          <w:sz w:val="22"/>
        </w:rPr>
        <w:t xml:space="preserve">Replaces legacy standalone utility pages with an operational workflow prioritizing Dashboard, Clients, Projects, Assets, and Findings.</w:t>
      </w:r>
    </w:p>
    <w:p>
      <w:pPr>
        <w:spacing w:before="60" w:after="60" w:line="276" w:lineRule="auto"/>
        <w:ind w:left="360" w:hanging="240"/>
      </w:pPr>
      <w:r>
        <w:rPr>
          <w:b/>
          <w:color w:val="2563EB"/>
          <w:sz w:val="22"/>
        </w:rPr>
        <w:t xml:space="preserve">• </w:t>
      </w:r>
      <w:r>
        <w:rPr>
          <w:b/>
          <w:color w:val="0F172A"/>
          <w:sz w:val="22"/>
        </w:rPr>
        <w:t xml:space="preserve">Contextual Scanner Execution: </w:t>
      </w:r>
      <w:r>
        <w:rPr>
          <w:color w:val="334155"/>
          <w:sz w:val="22"/>
        </w:rPr>
        <w:t xml:space="preserve">Security scanners (CVE lookup, SSL audit, HTTP headers audit, DNS analysis) execute exclusively within an active Project or Asset context, automatically producing actionable Findings.</w:t>
      </w:r>
    </w:p>
    <w:p>
      <w:pPr>
        <w:spacing w:before="60" w:after="60" w:line="276" w:lineRule="auto"/>
        <w:ind w:left="360" w:hanging="240"/>
      </w:pPr>
      <w:r>
        <w:rPr>
          <w:b/>
          <w:color w:val="2563EB"/>
          <w:sz w:val="22"/>
        </w:rPr>
        <w:t xml:space="preserve">• </w:t>
      </w:r>
      <w:r>
        <w:rPr>
          <w:b/>
          <w:color w:val="0F172A"/>
          <w:sz w:val="22"/>
        </w:rPr>
        <w:t xml:space="preserve">Production Data Authenticity: </w:t>
      </w:r>
      <w:r>
        <w:rPr>
          <w:color w:val="334155"/>
          <w:sz w:val="22"/>
        </w:rPr>
        <w:t xml:space="preserve">Removes all mock data, fake alerts, and placeholder statistics. Implements clean production empty states for all views when database information is empty.</w:t>
      </w:r>
    </w:p>
    <!-- Section 2 -->
    <w:p>
      <w:pPr>
        <w:pStyle w:val="Heading1"/>
      </w:pPr>
      <w:r>
        <w:t>2. Relational Database Architecture (PostgreSQL &amp; Prisma ORM)</w:t>
      </w:r>
    </w:p>
    <w:p>
      <w:pPr>
        <w:spacing w:before="0" w:after="160" w:line="276" w:lineRule="auto"/>
      </w:pPr>
      <w:r>
        <w:rPr>
          <w:color w:val="334155"/>
          <w:sz w:val="22"/>
          <w:szCs w:val="22"/>
        </w:rPr>
        <w:t xml:space="preserve">The database layer utilizes PostgreSQL as the relational engine and Prisma ORM for type-safe query execution and migrations. The schema enforces a strict five-tier entity hierarchy to maintain logical boundary separation between client organizations, assessment engagements, and findings.</w:t>
      </w:r>
    </w:p>
    <w:p>
      <w:pPr>
        <w:pStyle w:val="Heading2"/>
      </w:pPr>
      <w:r>
        <w:t>2.1 Relational Schema Specification</w:t>
      </w:r>
    </w:p>
    <w:tbl>
      <w:tblPr>
        <w:tblW w:w="5000" w:type="pct"/>
        <w:tblCellMar>
          <w:top w:w="120" w:type="dxa"/>
          <w:left w:w="160" w:type="dxa"/>
          <w:bottom w:w="120" w:type="dxa"/>
          <w:right w:w="160" w:type="dxa"/>
        </w:tblCellMar>
      </w:tblPr>
      <w:tr>
        <w:tc>
          <w:tcPr>
            <w:tcW w:w="20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Entity Model</w:t>
            </w:r>
          </w:p>
        </w:tc>
        <w:tc>
          <w:tcPr>
            <w:tcW w:w="30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Primary &amp; Foreign Keys</w:t>
            </w:r>
          </w:p>
        </w:tc>
        <w:tc>
          <w:tcPr>
            <w:tcW w:w="40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Data Scope &amp; Business Logic</w:t>
            </w:r>
          </w:p>
        </w:tc>
      </w:tr>
      <w:tr>
        <w:tc>
          <w:tcPr>
            <w:tcW w:w="2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Organization</w:t>
            </w:r>
          </w:p>
        </w:tc>
        <w:tc>
          <w:tcPr>
            <w:tcW w:w="3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id (UUID PK)</w:t>
            </w:r>
          </w:p>
        </w:tc>
        <w:tc>
          <w:tcPr>
            <w:tcW w:w="4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Top-level tenant account container representing the consulting firm or enterprise workspace.</w:t>
            </w:r>
          </w:p>
        </w:tc>
      </w:tr>
      <w:tr>
        <w:tc>
          <w:tcPr>
            <w:tcW w:w="2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Client</w:t>
            </w:r>
          </w:p>
        </w:tc>
        <w:tc>
          <w:tcPr>
            <w:tcW w:w="3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id (UUID PK)
organization_id (FK -&gt; Organization)</w:t>
            </w:r>
          </w:p>
        </w:tc>
        <w:tc>
          <w:tcPr>
            <w:tcW w:w="4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Commercial client entity undergoing assessment. Stores industry sector, contact info, and compliance scope.</w:t>
            </w:r>
          </w:p>
        </w:tc>
      </w:tr>
      <w:tr>
        <w:tc>
          <w:tcPr>
            <w:tcW w:w="2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Project</w:t>
            </w:r>
          </w:p>
        </w:tc>
        <w:tc>
          <w:tcPr>
            <w:tcW w:w="3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id (UUID PK)
client_id (FK -&gt; Client)
organization_id (FK -&gt; Organization)</w:t>
            </w:r>
          </w:p>
        </w:tc>
        <w:tc>
          <w:tcPr>
            <w:tcW w:w="4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Security assessment engagement (e.g. Q3 Web App Pen Test) bound to a client with status tracking.</w:t>
            </w:r>
          </w:p>
        </w:tc>
      </w:tr>
      <w:tr>
        <w:tc>
          <w:tcPr>
            <w:tcW w:w="2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Asset</w:t>
            </w:r>
          </w:p>
        </w:tc>
        <w:tc>
          <w:tcPr>
            <w:tcW w:w="3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id (UUID PK)
project_id (FK -&gt; Project)</w:t>
            </w:r>
          </w:p>
        </w:tc>
        <w:tc>
          <w:tcPr>
            <w:tcW w:w="4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Target digital asset (Domain, Subdomain, Website, Public IP, Container, Cloud Resource) under assessment.</w:t>
            </w:r>
          </w:p>
        </w:tc>
      </w:tr>
      <w:tr>
        <w:tc>
          <w:tcPr>
            <w:tcW w:w="2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Finding</w:t>
            </w:r>
          </w:p>
        </w:tc>
        <w:tc>
          <w:tcPr>
            <w:tcW w:w="3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id (UUID PK)
project_id (FK -&gt; Project)</w:t>
            </w:r>
          </w:p>
        </w:tc>
        <w:tc>
          <w:tcPr>
            <w:tcW w:w="4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Verified vulnerability finding with CVSS v3.1/v4.0 score, EPSS likelihood, risk weight, and remediation guidance.</w:t>
            </w:r>
          </w:p>
        </w:tc>
      </w:tr>
      <w:tr>
        <w:tc>
          <w:tcPr>
            <w:tcW w:w="2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FindingAsset</w:t>
            </w:r>
          </w:p>
        </w:tc>
        <w:tc>
          <w:tcPr>
            <w:tcW w:w="3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finding_id (FK -&gt; Finding)
asset_id (FK -&gt; Asset)
PRIMARY KEY(finding_id, asset_id)</w:t>
            </w:r>
          </w:p>
        </w:tc>
        <w:tc>
          <w:tcPr>
            <w:tcW w:w="4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Many-to-many join table mapping findings across multiple affected target assets within a project scope.</w:t>
            </w:r>
          </w:p>
        </w:tc>
      </w:tr>
      <w:tr>
        <w:tc>
          <w:tcPr>
            <w:tcW w:w="2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Evidence</w:t>
            </w:r>
          </w:p>
        </w:tc>
        <w:tc>
          <w:tcPr>
            <w:tcW w:w="3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id (UUID PK)
finding_id (FK -&gt; Finding)</w:t>
            </w:r>
          </w:p>
        </w:tc>
        <w:tc>
          <w:tcPr>
            <w:tcW w:w="4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Empirical evidence attachment (terminal output, HTTP headers, DNS logs, proof of concept, SSL certificates).</w:t>
            </w:r>
          </w:p>
        </w:tc>
      </w:tr>
    </w:tbl>
    <!-- Section 3 -->
    <w:p>
      <w:pPr>
        <w:pStyle w:val="Heading1"/>
      </w:pPr>
      <w:r>
        <w:t>3. Interface Restructuring &amp; Workflow Navigation</w:t>
      </w:r>
    </w:p>
    <w:p>
      <w:pPr>
        <w:spacing w:before="0" w:after="160" w:line="276" w:lineRule="auto"/>
      </w:pPr>
      <w:r>
        <w:rPr>
          <w:color w:val="334155"/>
          <w:sz w:val="22"/>
          <w:szCs w:val="22"/>
        </w:rPr>
        <w:t xml:space="preserve">The frontend client is built with React 19, TypeScript, Tailwind CSS, and Lucide React icons. Standalone tool tabs have been replaced with a streamlined workflow navigation model:</w:t>
      </w:r>
    </w:p>
    <w:p>
      <w:pPr>
        <w:pStyle w:val="Heading2"/>
      </w:pPr>
      <w:r>
        <w:t>3.1 Primary Navigation Modules</w:t>
      </w:r>
    </w:p>
    <w:p>
      <w:pPr>
        <w:spacing w:before="60" w:after="60" w:line="276" w:lineRule="auto"/>
        <w:ind w:left="360" w:hanging="240"/>
      </w:pPr>
      <w:r>
        <w:rPr>
          <w:b/>
          <w:color w:val="2563EB"/>
          <w:sz w:val="22"/>
        </w:rPr>
        <w:t xml:space="preserve">• </w:t>
      </w:r>
      <w:r>
        <w:rPr>
          <w:b/>
          <w:color w:val="0F172A"/>
          <w:sz w:val="22"/>
        </w:rPr>
        <w:t xml:space="preserve">Dashboard View: </w:t>
      </w:r>
      <w:r>
        <w:rPr>
          <w:color w:val="334155"/>
          <w:sz w:val="22"/>
        </w:rPr>
        <w:t xml:space="preserve">Executive security assessment metrics, client scopes overview, vulnerability severity breakdown chart, and real-time audit log stream.</w:t>
      </w:r>
    </w:p>
    <w:p>
      <w:pPr>
        <w:spacing w:before="60" w:after="60" w:line="276" w:lineRule="auto"/>
        <w:ind w:left="360" w:hanging="240"/>
      </w:pPr>
      <w:r>
        <w:rPr>
          <w:b/>
          <w:color w:val="2563EB"/>
          <w:sz w:val="22"/>
        </w:rPr>
        <w:t xml:space="preserve">• </w:t>
      </w:r>
      <w:r>
        <w:rPr>
          <w:b/>
          <w:color w:val="0F172A"/>
          <w:sz w:val="22"/>
        </w:rPr>
        <w:t xml:space="preserve">Clients Workspace: </w:t>
      </w:r>
      <w:r>
        <w:rPr>
          <w:color w:val="334155"/>
          <w:sz w:val="22"/>
        </w:rPr>
        <w:t xml:space="preserve">Directory of client entities, onboarding modal, contact profiles, sector classification, and list of assigned assessment projects.</w:t>
      </w:r>
    </w:p>
    <w:p>
      <w:pPr>
        <w:spacing w:before="60" w:after="60" w:line="276" w:lineRule="auto"/>
        <w:ind w:left="360" w:hanging="240"/>
      </w:pPr>
      <w:r>
        <w:rPr>
          <w:b/>
          <w:color w:val="2563EB"/>
          <w:sz w:val="22"/>
        </w:rPr>
        <w:t xml:space="preserve">• </w:t>
      </w:r>
      <w:r>
        <w:rPr>
          <w:b/>
          <w:color w:val="0F172A"/>
          <w:sz w:val="22"/>
        </w:rPr>
        <w:t xml:space="preserve">Projects Workspace: </w:t>
      </w:r>
      <w:r>
        <w:rPr>
          <w:color w:val="334155"/>
          <w:sz w:val="22"/>
        </w:rPr>
        <w:t xml:space="preserve">Active penetration test scopes, rules of engagement, client association, target asset count, findings count, and contextual scan triggers.</w:t>
      </w:r>
    </w:p>
    <w:p>
      <w:pPr>
        <w:spacing w:before="60" w:after="60" w:line="276" w:lineRule="auto"/>
        <w:ind w:left="360" w:hanging="240"/>
      </w:pPr>
      <w:r>
        <w:rPr>
          <w:b/>
          <w:color w:val="2563EB"/>
          <w:sz w:val="22"/>
        </w:rPr>
        <w:t xml:space="preserve">• </w:t>
      </w:r>
      <w:r>
        <w:rPr>
          <w:b/>
          <w:color w:val="0F172A"/>
          <w:sz w:val="22"/>
        </w:rPr>
        <w:t xml:space="preserve">Assets Workspace: </w:t>
      </w:r>
      <w:r>
        <w:rPr>
          <w:color w:val="334155"/>
          <w:sz w:val="22"/>
        </w:rPr>
        <w:t xml:space="preserve">Target asset inventory (Domains, Subdomains, Public IPs, Applications, Repositories), asset risk scores, and scanner launch buttons.</w:t>
      </w:r>
    </w:p>
    <w:p>
      <w:pPr>
        <w:spacing w:before="60" w:after="60" w:line="276" w:lineRule="auto"/>
        <w:ind w:left="360" w:hanging="240"/>
      </w:pPr>
      <w:r>
        <w:rPr>
          <w:b/>
          <w:color w:val="2563EB"/>
          <w:sz w:val="22"/>
        </w:rPr>
        <w:t xml:space="preserve">• </w:t>
      </w:r>
      <w:r>
        <w:rPr>
          <w:b/>
          <w:color w:val="0F172A"/>
          <w:sz w:val="22"/>
        </w:rPr>
        <w:t xml:space="preserve">Findings Workspace: </w:t>
      </w:r>
      <w:r>
        <w:rPr>
          <w:color w:val="334155"/>
          <w:sz w:val="22"/>
        </w:rPr>
        <w:t xml:space="preserve">Vulnerability database with CVSS v3.1/v4.0 calculator, EPSS probability, evidence attachment gallery, and severity filters.</w:t>
      </w:r>
    </w:p>
    <!-- Section 4 -->
    <w:p>
      <w:pPr>
        <w:pStyle w:val="Heading1"/>
      </w:pPr>
      <w:r>
        <w:t>4. Advanced Threat Analytics &amp; Risk Scoring Engine</w:t>
      </w:r>
    </w:p>
    <w:p>
      <w:pPr>
        <w:spacing w:before="0" w:after="160" w:line="276" w:lineRule="auto"/>
      </w:pPr>
      <w:r>
        <w:rPr>
          <w:color w:val="334155"/>
          <w:sz w:val="22"/>
          <w:szCs w:val="22"/>
        </w:rPr>
        <w:t xml:space="preserve">Karrents integrates advanced quantitative data science models to prioritize vulnerabilities based on severity, threat actor exploit likelihood, and asset criticality:</w:t>
      </w:r>
    </w:p>
    <w:p>
      <w:pPr>
        <w:pStyle w:val="Heading2"/>
      </w:pPr>
      <w:r>
        <w:t>4.1 Scoring Engine &amp; Mathematical Risk Model</w:t>
      </w:r>
    </w:p>
    <w:p>
      <w:pPr>
        <w:spacing w:before="60" w:after="60" w:line="276" w:lineRule="auto"/>
        <w:ind w:left="360" w:hanging="240"/>
      </w:pPr>
      <w:r>
        <w:rPr>
          <w:b/>
          <w:color w:val="2563EB"/>
          <w:sz w:val="22"/>
        </w:rPr>
        <w:t xml:space="preserve">• </w:t>
      </w:r>
      <w:r>
        <w:rPr>
          <w:b/>
          <w:color w:val="0F172A"/>
          <w:sz w:val="22"/>
        </w:rPr>
        <w:t xml:space="preserve">CVSS v3.1 / v4.0 Calculation: </w:t>
      </w:r>
      <w:r>
        <w:rPr>
          <w:color w:val="334155"/>
          <w:sz w:val="22"/>
        </w:rPr>
        <w:t xml:space="preserve">Standardized scoring based on Attack Vector, Attack Complexity, Privileges Required, User Interaction, Scope, and CIA Impact.</w:t>
      </w:r>
    </w:p>
    <w:p>
      <w:pPr>
        <w:spacing w:before="60" w:after="60" w:line="276" w:lineRule="auto"/>
        <w:ind w:left="360" w:hanging="240"/>
      </w:pPr>
      <w:r>
        <w:rPr>
          <w:b/>
          <w:color w:val="2563EB"/>
          <w:sz w:val="22"/>
        </w:rPr>
        <w:t xml:space="preserve">• </w:t>
      </w:r>
      <w:r>
        <w:rPr>
          <w:b/>
          <w:color w:val="0F172A"/>
          <w:sz w:val="22"/>
        </w:rPr>
        <w:t xml:space="preserve">EPSS Probability Mapping: </w:t>
      </w:r>
      <w:r>
        <w:rPr>
          <w:color w:val="334155"/>
          <w:sz w:val="22"/>
        </w:rPr>
        <w:t xml:space="preserve">Exploit Prediction Scoring System probabilities indicating real-world exploit activity in the wild.</w:t>
      </w:r>
    </w:p>
    <w:p>
      <w:pPr>
        <w:spacing w:before="60" w:after="60" w:line="276" w:lineRule="auto"/>
        <w:ind w:left="360" w:hanging="240"/>
      </w:pPr>
      <w:r>
        <w:rPr>
          <w:b/>
          <w:color w:val="2563EB"/>
          <w:sz w:val="22"/>
        </w:rPr>
        <w:t xml:space="preserve">• </w:t>
      </w:r>
      <w:r>
        <w:rPr>
          <w:b/>
          <w:color w:val="0F172A"/>
          <w:sz w:val="22"/>
        </w:rPr>
        <w:t xml:space="preserve">Calculated Risk Weighting: </w:t>
      </w:r>
      <w:r>
        <w:rPr>
          <w:color w:val="334155"/>
          <w:sz w:val="22"/>
        </w:rPr>
        <w:t xml:space="preserve">Composite risk score calculated per finding and aggregated across target assets using the formula:</w:t>
      </w:r>
    </w:p>
    <w:p>
      <w:pPr>
        <w:jc w:val="center"/>
        <w:spacing w:before="120" w:after="160" w:line="276" w:lineRule="auto"/>
      </w:pPr>
      <w:r>
        <w:rPr>
          <w:b/>
          <w:color w:val="DC2626"/>
          <w:sz w:val="22"/>
          <w:szCs w:val="22"/>
        </w:rPr>
        <w:t xml:space="preserve">Risk Weight = CVSS Score × (1 + EPSS Score) × Asset Criticality Factor</w:t>
      </w:r>
    </w:p>
    <!-- Section 5 -->
    <w:p>
      <w:pPr>
        <w:pStyle w:val="Heading1"/>
      </w:pPr>
      <w:r>
        <w:t>5. Backend Architecture &amp; Separation of Concerns</w:t>
      </w:r>
    </w:p>
    <w:p>
      <w:pPr>
        <w:spacing w:before="0" w:after="160" w:line="276" w:lineRule="auto"/>
      </w:pPr>
      <w:r>
        <w:rPr>
          <w:color w:val="334155"/>
          <w:sz w:val="22"/>
          <w:szCs w:val="22"/>
        </w:rPr>
        <w:t xml:space="preserve">The Node.js and Express backend enforces a strict separation of concerns across routes, controllers, services, and repositories:</w:t>
      </w:r>
    </w:p>
    <w:tbl>
      <w:tblPr>
        <w:tblW w:w="5000" w:type="pct"/>
        <w:tblCellMar>
          <w:top w:w="120" w:type="dxa"/>
          <w:left w:w="160" w:type="dxa"/>
          <w:bottom w:w="120" w:type="dxa"/>
          <w:right w:w="160" w:type="dxa"/>
        </w:tblCellMar>
      </w:tblPr>
      <w:tr>
        <w:tc>
          <w:tcPr>
            <w:tcW w:w="22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Layer Name</w:t>
            </w:r>
          </w:p>
        </w:tc>
        <w:tc>
          <w:tcPr>
            <w:tcW w:w="28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Directory Path</w:t>
            </w:r>
          </w:p>
        </w:tc>
        <w:tc>
          <w:tcPr>
            <w:tcW w:w="4000" w:type="dxa"/>
            <w:shd w:val="clear" w:color="auto" w:fill="0F172A"/>
            <w:tcBorders>
              <w:top w:val="single" w:sz="4" w:space="0" w:color="CBD5E1"/>
              <w:left w:val="single" w:sz="4" w:space="0" w:color="CBD5E1"/>
              <w:bottom w:val="single" w:sz="4" w:space="0" w:color="CBD5E1"/>
              <w:right w:val="single" w:sz="4" w:space="0" w:color="CBD5E1"/>
            </w:tcBorders>
          </w:tcPr>
          <w:p>
            <w:pPr>
              <w:spacing w:before="80" w:after="80" w:line="276" w:lineRule="auto"/>
            </w:pPr>
            <w:r>
              <w:rPr>
                <w:b/>
                <w:color w:val="FFFFFF"/>
                <w:sz w:val="20"/>
                <w:szCs w:val="20"/>
              </w:rPr>
              <w:t xml:space="preserve">Architectural Responsibility</w:t>
            </w:r>
          </w:p>
        </w:tc>
      </w:tr>
      <w:tr>
        <w:tc>
          <w:tcPr>
            <w:tcW w:w="22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Routes Layer</w:t>
            </w:r>
          </w:p>
        </w:tc>
        <w:tc>
          <w:tcPr>
            <w:tcW w:w="28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server/routes/</w:t>
            </w:r>
          </w:p>
        </w:tc>
        <w:tc>
          <w:tcPr>
            <w:tcW w:w="4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Express router modules, endpoint declarations, auth middleware, and rate limiters.</w:t>
            </w:r>
          </w:p>
        </w:tc>
      </w:tr>
      <w:tr>
        <w:tc>
          <w:tcPr>
            <w:tcW w:w="22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Controllers Layer</w:t>
            </w:r>
          </w:p>
        </w:tc>
        <w:tc>
          <w:tcPr>
            <w:tcW w:w="28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server/controllers/</w:t>
            </w:r>
          </w:p>
        </w:tc>
        <w:tc>
          <w:tcPr>
            <w:tcW w:w="4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HTTP request parsing, input sanitation, status code dispatching, and response formatting.</w:t>
            </w:r>
          </w:p>
        </w:tc>
      </w:tr>
      <w:tr>
        <w:tc>
          <w:tcPr>
            <w:tcW w:w="22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Services Layer</w:t>
            </w:r>
          </w:p>
        </w:tc>
        <w:tc>
          <w:tcPr>
            <w:tcW w:w="28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server/services/</w:t>
            </w:r>
          </w:p>
        </w:tc>
        <w:tc>
          <w:tcPr>
            <w:tcW w:w="4000" w:type="dxa"/>
            <w:shd w:val="clear" w:color="auto"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Business logic execution, CVSS/EPSS scoring, risk weighting, and scanner integration.</w:t>
            </w:r>
          </w:p>
        </w:tc>
      </w:tr>
      <w:tr>
        <w:tc>
          <w:tcPr>
            <w:tcW w:w="22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b/>
                <w:color w:val="0F172A"/>
                <w:sz w:val="20"/>
                <w:szCs w:val="20"/>
              </w:rPr>
              <w:t xml:space="preserve">Repositories Layer</w:t>
            </w:r>
          </w:p>
        </w:tc>
        <w:tc>
          <w:tcPr>
            <w:tcW w:w="28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server/repositories/</w:t>
            </w:r>
          </w:p>
        </w:tc>
        <w:tc>
          <w:tcPr>
            <w:tcW w:w="4000" w:type="dxa"/>
            <w:shd w:val="clear" w:color="auto" w:fill="F8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color w:val="334155"/>
                <w:sz w:val="20"/>
                <w:szCs w:val="20"/>
              </w:rPr>
              <w:t xml:space="preserve">Database query abstraction via Prisma ORM with fallback support.</w:t>
            </w:r>
          </w:p>
        </w:tc>
      </w:tr>
    </w:tbl>
    <!-- Section 6 -->
    <w:p>
      <w:pPr>
        <w:pStyle w:val="Heading1"/>
      </w:pPr>
      <w:r>
        <w:t>6. Security Controls &amp; Deployment Verification</w:t>
      </w:r>
    </w:p>
    <w:p>
      <w:pPr>
        <w:spacing w:before="0" w:after="160" w:line="276" w:lineRule="auto"/>
      </w:pPr>
      <w:r>
        <w:rPr>
          <w:color w:val="334155"/>
          <w:sz w:val="22"/>
          <w:szCs w:val="22"/>
        </w:rPr>
        <w:t xml:space="preserve">Karrents implements comprehensive security controls for enterprise deployment:</w:t>
      </w:r>
    </w:p>
    <w:p>
      <w:pPr>
        <w:spacing w:before="60" w:after="60" w:line="276" w:lineRule="auto"/>
        <w:ind w:left="360" w:hanging="240"/>
      </w:pPr>
      <w:r>
        <w:rPr>
          <w:b/>
          <w:color w:val="2563EB"/>
          <w:sz w:val="22"/>
        </w:rPr>
        <w:t xml:space="preserve">• </w:t>
      </w:r>
      <w:r>
        <w:rPr>
          <w:b/>
          <w:color w:val="0F172A"/>
          <w:sz w:val="22"/>
        </w:rPr>
        <w:t xml:space="preserve">Authentication Vault: </w:t>
      </w:r>
      <w:r>
        <w:rPr>
          <w:color w:val="334155"/>
          <w:sz w:val="22"/>
        </w:rPr>
        <w:t xml:space="preserve">JWT tokens in HTTP-only cookies with MFA Google Authenticator TOTP support.</w:t>
      </w:r>
    </w:p>
    <w:p>
      <w:pPr>
        <w:spacing w:before="60" w:after="60" w:line="276" w:lineRule="auto"/>
        <w:ind w:left="360" w:hanging="240"/>
      </w:pPr>
      <w:r>
        <w:rPr>
          <w:b/>
          <w:color w:val="2563EB"/>
          <w:sz w:val="22"/>
        </w:rPr>
        <w:t xml:space="preserve">• </w:t>
      </w:r>
      <w:r>
        <w:rPr>
          <w:b/>
          <w:color w:val="0F172A"/>
          <w:sz w:val="22"/>
        </w:rPr>
        <w:t xml:space="preserve">CSRF &amp; Rate Limiting: </w:t>
      </w:r>
      <w:r>
        <w:rPr>
          <w:color w:val="334155"/>
          <w:sz w:val="22"/>
        </w:rPr>
        <w:t xml:space="preserve">Double-submit XSRF header validation and sliding-window rate limiting on API endpoints.</w:t>
      </w:r>
    </w:p>
    <w:p>
      <w:pPr>
        <w:spacing w:before="60" w:after="60" w:line="276" w:lineRule="auto"/>
        <w:ind w:left="360" w:hanging="240"/>
      </w:pPr>
      <w:r>
        <w:rPr>
          <w:b/>
          <w:color w:val="2563EB"/>
          <w:sz w:val="22"/>
        </w:rPr>
        <w:t xml:space="preserve">• </w:t>
      </w:r>
      <w:r>
        <w:rPr>
          <w:b/>
          <w:color w:val="0F172A"/>
          <w:sz w:val="22"/>
        </w:rPr>
        <w:t xml:space="preserve">Audit Trail: </w:t>
      </w:r>
      <w:r>
        <w:rPr>
          <w:color w:val="334155"/>
          <w:sz w:val="22"/>
        </w:rPr>
        <w:t xml:space="preserve">Full audit log in PostgreSQL recording action, user email, IP address, and timestamp.</w:t>
      </w:r>
    </w:p>
    <w:p>
      <w:pPr>
        <w:spacing w:before="60" w:after="60" w:line="276" w:lineRule="auto"/>
        <w:ind w:left="360" w:hanging="240"/>
      </w:pPr>
      <w:r>
        <w:rPr>
          <w:b/>
          <w:color w:val="2563EB"/>
          <w:sz w:val="22"/>
        </w:rPr>
        <w:t xml:space="preserve">• </w:t>
      </w:r>
      <w:r>
        <w:rPr>
          <w:b/>
          <w:color w:val="0F172A"/>
          <w:sz w:val="22"/>
        </w:rPr>
        <w:t xml:space="preserve">Build Diagnostics: </w:t>
      </w:r>
      <w:r>
        <w:rPr>
          <w:color w:val="334155"/>
          <w:sz w:val="22"/>
        </w:rPr>
        <w:t xml:space="preserve">Clean compilation with 0 errors via npx tsc --noEmit and production bundle generated via Vite and Esbuild.</w:t>
      </w:r>
    </w:p>
    <w:p>
      <w:pPr>
        <w:spacing w:before="0" w:after="200" w:line="276" w:lineRule="auto"/>
      </w:pPr>
      <w:r>
        <w:rPr>
          <w:color w:val="334155"/>
          <w:sz w:val="22"/>
          <w:szCs w:val="22"/>
        </w:rPr>
        <w:t xml:space="preserve"/>
      </w:r>
    </w:p>
    <w:tbl>
      <w:tblPr>
        <w:tblW w:w="5000" w:type="pct"/>
        <w:tblBorders>
          <w:top w:val="none"/>
          <w:left w:val="single" w:sz="24" w:space="0" w:color="2563EB"/>
          <w:bottom w:val="none"/>
          <w:right w:val="none"/>
        </w:tblBorders>
        <w:tblCellMar>
          <w:top w:w="160" w:type="dxa"/>
          <w:left w:w="240" w:type="dxa"/>
          <w:bottom w:w="160" w:type="dxa"/>
          <w:right w:w="200" w:type="dxa"/>
        </w:tblCellMar>
      </w:tblPr>
      <w:tr>
        <w:tc>
          <w:tcPr>
            <w:tcW w:w="5000" w:type="pct"/>
            <w:shd w:val="clear" w:color="auto" w:fill="F1F5F9"/>
          </w:tcPr>
          <w:p>
            <w:pPr>
              <w:spacing w:before="0" w:after="60" w:line="276" w:lineRule="auto"/>
            </w:pPr>
            <w:r>
              <w:rPr>
                <w:b/>
                <w:color w:val="0F172A"/>
                <w:sz w:val="22"/>
                <w:szCs w:val="22"/>
              </w:rPr>
              <w:t xml:space="preserve">Document Approval &amp; Baseline Verification</w:t>
            </w:r>
          </w:p>
          <w:p>
            <w:pPr>
              <w:spacing w:before="0" w:after="0" w:line="276" w:lineRule="auto"/>
            </w:pPr>
            <w:r>
              <w:rPr>
                <w:i/>
                <w:color w:val="475569"/>
                <w:sz w:val="20"/>
                <w:szCs w:val="20"/>
              </w:rPr>
              <w:t xml:space="preserve">This document represents the full official system documentation for the Karrents Security Assessment Workspace (v1.0.0).</w:t>
            </w:r>
          </w:p>
        </w:tc>
      </w:tr>
    </w:tbl>
    <w:sectPr>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4155"/>
      </w:rPr>
    </w:rPrDefault>
    <w:pPrDefault>
      <w:pPr>
        <w:spacing w:after="160" w:line="276" w:lineRule="auto"/>
      </w:pPr>
    </w:pPrDefault>
  </w:docDefaults>
  <w:style w:type="paragraph" w:styleId="Heading1">
    <w:name w:val="heading 1"/>
    <w:pPr>
      <w:keepNext/>
      <w:spacing w:before="360" w:after="180"/>
    </w:pPr>
    <w:rPr>
      <w:rFonts w:ascii="Calibri Light" w:hAnsi="Calibri Light"/>
      <w:b/>
      <w:color w:val="0F172A"/>
      <w:sz w:val="32"/>
    </w:rPr>
  </w:style>
  <w:style w:type="paragraph" w:styleId="Heading2">
    <w:name w:val="heading 2"/>
    <w:pPr>
      <w:keepNext/>
      <w:spacing w:before="280" w:after="140"/>
    </w:pPr>
    <w:rPr>
      <w:rFonts w:ascii="Calibri Light" w:hAnsi="Calibri Light"/>
      <w:b/>
      <w:color w:val="2563EB"/>
      <w:sz w:val="26"/>
    </w:rPr>
  </w:style>
  <w:style w:type="paragraph" w:styleId="Heading3">
    <w:name w:val="heading 3"/>
    <w:pPr>
      <w:keepNext/>
      <w:spacing w:before="200" w:after="100"/>
    </w:pPr>
    <w:rPr>
      <w:b/>
      <w:color w:val="475569"/>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