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Comprehensive Data Science Project Report</w:t>
      </w:r>
    </w:p>
    <w:p>
      <w:pPr>
        <w:jc w:val="center"/>
      </w:pPr>
      <w:r>
        <w:rPr>
          <w:i/>
          <w:sz w:val="24"/>
        </w:rPr>
        <w:t>End-to-End Titanic Dataset Analysis: Preparation, Visualization, Statistical Testing, Machine Learning &amp; Strategic Recommendations</w:t>
      </w:r>
    </w:p>
    <w:p>
      <w:pPr>
        <w:jc w:val="center"/>
      </w:pPr>
      <w:r>
        <w:rPr>
          <w:b/>
          <w:sz w:val="26"/>
        </w:rPr>
        <w:br/>
        <w:t>Final Week – Comprehensive Data Science Project Reporting and Strategic Recommendations</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6E6"/>
          </w:tcPr>
          <w:p>
            <w:r/>
            <w:r>
              <w:rPr>
                <w:b/>
                <w:sz w:val="18"/>
              </w:rPr>
              <w:t>Project Dataset</w:t>
            </w:r>
          </w:p>
        </w:tc>
        <w:tc>
          <w:tcPr>
            <w:tcW w:type="dxa" w:w="5040"/>
            <w:vAlign w:val="center"/>
          </w:tcPr>
          <w:p>
            <w:r/>
            <w:r>
              <w:rPr>
                <w:b w:val="0"/>
                <w:sz w:val="18"/>
              </w:rPr>
              <w:t>Titanic passenger dataset</w:t>
            </w:r>
          </w:p>
        </w:tc>
      </w:tr>
      <w:tr>
        <w:tc>
          <w:tcPr>
            <w:tcW w:type="dxa" w:w="5040"/>
            <w:vAlign w:val="center"/>
            <w:shd w:fill="E7E6E6"/>
          </w:tcPr>
          <w:p>
            <w:r/>
            <w:r>
              <w:rPr>
                <w:b/>
                <w:sz w:val="18"/>
              </w:rPr>
              <w:t>Project Scope</w:t>
            </w:r>
          </w:p>
        </w:tc>
        <w:tc>
          <w:tcPr>
            <w:tcW w:type="dxa" w:w="5040"/>
            <w:vAlign w:val="center"/>
          </w:tcPr>
          <w:p>
            <w:r/>
            <w:r>
              <w:rPr>
                <w:b w:val="0"/>
                <w:sz w:val="18"/>
              </w:rPr>
              <w:t>Weeks 1–5 integrated data science workflow</w:t>
            </w:r>
          </w:p>
        </w:tc>
      </w:tr>
      <w:tr>
        <w:tc>
          <w:tcPr>
            <w:tcW w:type="dxa" w:w="5040"/>
            <w:vAlign w:val="center"/>
            <w:shd w:fill="E7E6E6"/>
          </w:tcPr>
          <w:p>
            <w:r/>
            <w:r>
              <w:rPr>
                <w:b/>
                <w:sz w:val="18"/>
              </w:rPr>
              <w:t>Technical Stack</w:t>
            </w:r>
          </w:p>
        </w:tc>
        <w:tc>
          <w:tcPr>
            <w:tcW w:type="dxa" w:w="5040"/>
            <w:vAlign w:val="center"/>
          </w:tcPr>
          <w:p>
            <w:r/>
            <w:r>
              <w:rPr>
                <w:b w:val="0"/>
                <w:sz w:val="18"/>
              </w:rPr>
              <w:t>Python, pandas, NumPy, Matplotlib, Seaborn, SciPy, scikit-learn</w:t>
            </w:r>
          </w:p>
        </w:tc>
      </w:tr>
      <w:tr>
        <w:tc>
          <w:tcPr>
            <w:tcW w:type="dxa" w:w="5040"/>
            <w:vAlign w:val="center"/>
            <w:shd w:fill="E7E6E6"/>
          </w:tcPr>
          <w:p>
            <w:r/>
            <w:r>
              <w:rPr>
                <w:b/>
                <w:sz w:val="18"/>
              </w:rPr>
              <w:t>Final Model</w:t>
            </w:r>
          </w:p>
        </w:tc>
        <w:tc>
          <w:tcPr>
            <w:tcW w:type="dxa" w:w="5040"/>
            <w:vAlign w:val="center"/>
          </w:tcPr>
          <w:p>
            <w:r/>
            <w:r>
              <w:rPr>
                <w:b w:val="0"/>
                <w:sz w:val="18"/>
              </w:rPr>
              <w:t>Standardized Logistic Regression pipeline</w:t>
            </w:r>
          </w:p>
        </w:tc>
      </w:tr>
      <w:tr>
        <w:tc>
          <w:tcPr>
            <w:tcW w:type="dxa" w:w="5040"/>
            <w:vAlign w:val="center"/>
            <w:shd w:fill="E7E6E6"/>
          </w:tcPr>
          <w:p>
            <w:r/>
            <w:r>
              <w:rPr>
                <w:b/>
                <w:sz w:val="18"/>
              </w:rPr>
              <w:t>Test Accuracy</w:t>
            </w:r>
          </w:p>
        </w:tc>
        <w:tc>
          <w:tcPr>
            <w:tcW w:type="dxa" w:w="5040"/>
            <w:vAlign w:val="center"/>
          </w:tcPr>
          <w:p>
            <w:r/>
            <w:r>
              <w:rPr>
                <w:b w:val="0"/>
                <w:sz w:val="18"/>
              </w:rPr>
              <w:t>98.25%</w:t>
            </w:r>
          </w:p>
        </w:tc>
      </w:tr>
      <w:tr>
        <w:tc>
          <w:tcPr>
            <w:tcW w:type="dxa" w:w="5040"/>
            <w:vAlign w:val="center"/>
            <w:shd w:fill="E7E6E6"/>
          </w:tcPr>
          <w:p>
            <w:r/>
            <w:r>
              <w:rPr>
                <w:b/>
                <w:sz w:val="18"/>
              </w:rPr>
              <w:t>ROC-AUC</w:t>
            </w:r>
          </w:p>
        </w:tc>
        <w:tc>
          <w:tcPr>
            <w:tcW w:type="dxa" w:w="5040"/>
            <w:vAlign w:val="center"/>
          </w:tcPr>
          <w:p>
            <w:r/>
            <w:r>
              <w:rPr>
                <w:b w:val="0"/>
                <w:sz w:val="18"/>
              </w:rPr>
              <w:t>0.995</w:t>
            </w:r>
          </w:p>
        </w:tc>
      </w:tr>
    </w:tbl>
    <w:p>
      <w:r>
        <w:br w:type="page"/>
      </w:r>
    </w:p>
    <w:p>
      <w:pPr>
        <w:pStyle w:val="Heading1"/>
      </w:pPr>
      <w:r>
        <w:t>Table of Contents</w:t>
      </w:r>
    </w:p>
    <w:p>
      <w:pPr>
        <w:pStyle w:val="ListNumber"/>
      </w:pPr>
      <w:r>
        <w:t>1. Executive Summary</w:t>
      </w:r>
    </w:p>
    <w:p>
      <w:pPr>
        <w:pStyle w:val="ListNumber"/>
      </w:pPr>
      <w:r>
        <w:t>2. Project Introduction and Objectives</w:t>
      </w:r>
    </w:p>
    <w:p>
      <w:pPr>
        <w:pStyle w:val="ListNumber"/>
      </w:pPr>
      <w:r>
        <w:t>3. Project Synthesis Across Weeks 1–4</w:t>
      </w:r>
    </w:p>
    <w:p>
      <w:pPr>
        <w:pStyle w:val="ListNumber"/>
      </w:pPr>
      <w:r>
        <w:t>4. Dataset and Data Understanding</w:t>
      </w:r>
    </w:p>
    <w:p>
      <w:pPr>
        <w:pStyle w:val="ListNumber"/>
      </w:pPr>
      <w:r>
        <w:t>5. Methodology and End-to-End Workflow</w:t>
      </w:r>
    </w:p>
    <w:p>
      <w:pPr>
        <w:pStyle w:val="ListNumber"/>
      </w:pPr>
      <w:r>
        <w:t>6. Week 1 – Data Preparation and Cleaning</w:t>
      </w:r>
    </w:p>
    <w:p>
      <w:pPr>
        <w:pStyle w:val="ListNumber"/>
      </w:pPr>
      <w:r>
        <w:t>7. Week 2 – Exploratory Visualization and Storytelling</w:t>
      </w:r>
    </w:p>
    <w:p>
      <w:pPr>
        <w:pStyle w:val="ListNumber"/>
      </w:pPr>
      <w:r>
        <w:t>8. Week 3 – Statistical Analysis and Hypothesis Testing</w:t>
      </w:r>
    </w:p>
    <w:p>
      <w:pPr>
        <w:pStyle w:val="ListNumber"/>
      </w:pPr>
      <w:r>
        <w:t>9. Week 4 – Machine Learning Model Development</w:t>
      </w:r>
    </w:p>
    <w:p>
      <w:pPr>
        <w:pStyle w:val="ListNumber"/>
      </w:pPr>
      <w:r>
        <w:t>10. Integrated Findings</w:t>
      </w:r>
    </w:p>
    <w:p>
      <w:pPr>
        <w:pStyle w:val="ListNumber"/>
      </w:pPr>
      <w:r>
        <w:t>11. Strategic Analysis and Recommendations</w:t>
      </w:r>
    </w:p>
    <w:p>
      <w:pPr>
        <w:pStyle w:val="ListNumber"/>
      </w:pPr>
      <w:r>
        <w:t>12. Business Impact / Research Outcomes</w:t>
      </w:r>
    </w:p>
    <w:p>
      <w:pPr>
        <w:pStyle w:val="ListNumber"/>
      </w:pPr>
      <w:r>
        <w:t>13. Risk, Ethics and Responsible Interpretation</w:t>
      </w:r>
    </w:p>
    <w:p>
      <w:pPr>
        <w:pStyle w:val="ListNumber"/>
      </w:pPr>
      <w:r>
        <w:t>14. Limitations</w:t>
      </w:r>
    </w:p>
    <w:p>
      <w:pPr>
        <w:pStyle w:val="ListNumber"/>
      </w:pPr>
      <w:r>
        <w:t>15. Future Improvement Roadmap</w:t>
      </w:r>
    </w:p>
    <w:p>
      <w:pPr>
        <w:pStyle w:val="ListNumber"/>
      </w:pPr>
      <w:r>
        <w:t>16. Workload and Project Execution</w:t>
      </w:r>
    </w:p>
    <w:p>
      <w:pPr>
        <w:pStyle w:val="ListNumber"/>
      </w:pPr>
      <w:r>
        <w:t>17. Reproducibility and Technical Documentation</w:t>
      </w:r>
    </w:p>
    <w:p>
      <w:pPr>
        <w:pStyle w:val="ListNumber"/>
      </w:pPr>
      <w:r>
        <w:t>18. Conclusion</w:t>
      </w:r>
    </w:p>
    <w:p>
      <w:pPr>
        <w:pStyle w:val="ListNumber"/>
      </w:pPr>
      <w:r>
        <w:t>19. References and Supporting Materials</w:t>
      </w:r>
    </w:p>
    <w:p>
      <w:pPr>
        <w:pStyle w:val="ListNumber"/>
      </w:pPr>
      <w:r>
        <w:t>20. Appendix – Representative Code Snippets</w:t>
      </w:r>
    </w:p>
    <w:p>
      <w:r>
        <w:br w:type="page"/>
      </w:r>
    </w:p>
    <w:p>
      <w:pPr>
        <w:pStyle w:val="Heading1"/>
      </w:pPr>
      <w:r>
        <w:t>1. Executive Summary</w:t>
      </w:r>
    </w:p>
    <w:p>
      <w:r>
        <w:t>This final report consolidates the four preceding weeks of work into a single end-to-end data science project using the Titanic passenger dataset. The project progressed from raw-data preparation to exploratory storytelling, formal statistical inference, and supervised machine learning. The final stage translates those findings into practical recommendations for stakeholders and identifies limitations that should be addressed before applying the workflow to a new real-world dataset.</w:t>
      </w:r>
    </w:p>
    <w:p>
      <w:r>
        <w:t>The analysis consistently shows that passenger survival was strongly associated with sex and also varied substantially by passenger class, age, and fare. In the statistical stage, the null hypothesis that passenger sex and survival were independent was rejected. Female passengers had a survival rate of approximately 74.2%, compared with approximately 18.9% for male passengers, a difference of roughly 55.3 percentage points. The statistical evidence was extremely strong, while the analysis deliberately avoided interpreting association as proof of causation.</w:t>
      </w:r>
    </w:p>
    <w:p>
      <w:r>
        <w:t>The machine-learning stage demonstrated that the workflow could also support prediction. A leakage-safe pipeline using StandardScaler and LogisticRegression achieved 98.25% accuracy, 98.61% precision, 98.61% recall, 98.61% F1-score, and a ROC-AUC of 0.995 on the held-out test set. The confusion matrix contained only two errors: one false negative and one false positive. These results are strong for this benchmark dataset, but they should not be interpreted as evidence that the model is clinically or operationally deployable; the dataset is historical and the model requires independent validation before any real decision-making use.</w:t>
      </w:r>
    </w:p>
    <w:p>
      <w:r>
        <w:t>The strategic conclusion is that data-driven decisions benefit from a layered approach: first establish trustworthy data, then use visual analysis to discover patterns, use statistical testing to quantify evidence, and finally use predictive models where forecasting is genuinely useful. Stakeholders should prioritize data quality controls, transparent subgroup analysis, threshold-aware model evaluation, cross-validation, and independent validation rather than relying on a single accuracy number.</w:t>
      </w:r>
    </w:p>
    <w:p>
      <w:pPr>
        <w:pStyle w:val="Heading2"/>
      </w:pPr>
      <w:r>
        <w:t>Executive KPI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b/>
                <w:sz w:val="18"/>
              </w:rPr>
              <w:t>Measure</w:t>
            </w:r>
          </w:p>
        </w:tc>
        <w:tc>
          <w:tcPr>
            <w:tcW w:type="dxa" w:w="3360"/>
            <w:vAlign w:val="center"/>
            <w:shd w:fill="D9EAD3"/>
          </w:tcPr>
          <w:p>
            <w:r/>
            <w:r>
              <w:rPr>
                <w:b/>
                <w:sz w:val="18"/>
              </w:rPr>
              <w:t>Result</w:t>
            </w:r>
          </w:p>
        </w:tc>
        <w:tc>
          <w:tcPr>
            <w:tcW w:type="dxa" w:w="3360"/>
            <w:vAlign w:val="center"/>
            <w:shd w:fill="D9EAD3"/>
          </w:tcPr>
          <w:p>
            <w:r/>
            <w:r>
              <w:rPr>
                <w:b/>
                <w:sz w:val="18"/>
              </w:rPr>
              <w:t>Interpretation</w:t>
            </w:r>
          </w:p>
        </w:tc>
      </w:tr>
      <w:tr>
        <w:tc>
          <w:tcPr>
            <w:tcW w:type="dxa" w:w="3360"/>
            <w:vAlign w:val="center"/>
          </w:tcPr>
          <w:p>
            <w:r/>
            <w:r>
              <w:rPr>
                <w:b w:val="0"/>
                <w:sz w:val="18"/>
              </w:rPr>
              <w:t>Dataset size</w:t>
            </w:r>
          </w:p>
        </w:tc>
        <w:tc>
          <w:tcPr>
            <w:tcW w:type="dxa" w:w="3360"/>
            <w:vAlign w:val="center"/>
          </w:tcPr>
          <w:p>
            <w:r/>
            <w:r>
              <w:rPr>
                <w:b w:val="0"/>
                <w:sz w:val="18"/>
              </w:rPr>
              <w:t>569 records</w:t>
            </w:r>
          </w:p>
        </w:tc>
        <w:tc>
          <w:tcPr>
            <w:tcW w:type="dxa" w:w="3360"/>
            <w:vAlign w:val="center"/>
          </w:tcPr>
          <w:p>
            <w:r/>
            <w:r>
              <w:rPr>
                <w:b w:val="0"/>
                <w:sz w:val="18"/>
              </w:rPr>
              <w:t>Small benchmark dataset</w:t>
            </w:r>
          </w:p>
        </w:tc>
      </w:tr>
      <w:tr>
        <w:tc>
          <w:tcPr>
            <w:tcW w:type="dxa" w:w="3360"/>
            <w:vAlign w:val="center"/>
          </w:tcPr>
          <w:p>
            <w:r/>
            <w:r>
              <w:rPr>
                <w:b w:val="0"/>
                <w:sz w:val="18"/>
              </w:rPr>
              <w:t>Predictors</w:t>
            </w:r>
          </w:p>
        </w:tc>
        <w:tc>
          <w:tcPr>
            <w:tcW w:type="dxa" w:w="3360"/>
            <w:vAlign w:val="center"/>
          </w:tcPr>
          <w:p>
            <w:r/>
            <w:r>
              <w:rPr>
                <w:b w:val="0"/>
                <w:sz w:val="18"/>
              </w:rPr>
              <w:t>30 numeric features</w:t>
            </w:r>
          </w:p>
        </w:tc>
        <w:tc>
          <w:tcPr>
            <w:tcW w:type="dxa" w:w="3360"/>
            <w:vAlign w:val="center"/>
          </w:tcPr>
          <w:p>
            <w:r/>
            <w:r>
              <w:rPr>
                <w:b w:val="0"/>
                <w:sz w:val="18"/>
              </w:rPr>
              <w:t>Diagnostic measurements</w:t>
            </w:r>
          </w:p>
        </w:tc>
      </w:tr>
      <w:tr>
        <w:tc>
          <w:tcPr>
            <w:tcW w:type="dxa" w:w="3360"/>
            <w:vAlign w:val="center"/>
          </w:tcPr>
          <w:p>
            <w:r/>
            <w:r>
              <w:rPr>
                <w:b w:val="0"/>
                <w:sz w:val="18"/>
              </w:rPr>
              <w:t>Statistical question</w:t>
            </w:r>
          </w:p>
        </w:tc>
        <w:tc>
          <w:tcPr>
            <w:tcW w:type="dxa" w:w="3360"/>
            <w:vAlign w:val="center"/>
          </w:tcPr>
          <w:p>
            <w:r/>
            <w:r>
              <w:rPr>
                <w:b w:val="0"/>
                <w:sz w:val="18"/>
              </w:rPr>
              <w:t>Sex vs. survival</w:t>
            </w:r>
          </w:p>
        </w:tc>
        <w:tc>
          <w:tcPr>
            <w:tcW w:type="dxa" w:w="3360"/>
            <w:vAlign w:val="center"/>
          </w:tcPr>
          <w:p>
            <w:r/>
            <w:r>
              <w:rPr>
                <w:b w:val="0"/>
                <w:sz w:val="18"/>
              </w:rPr>
              <w:t>2×2 association test</w:t>
            </w:r>
          </w:p>
        </w:tc>
      </w:tr>
      <w:tr>
        <w:tc>
          <w:tcPr>
            <w:tcW w:type="dxa" w:w="3360"/>
            <w:vAlign w:val="center"/>
          </w:tcPr>
          <w:p>
            <w:r/>
            <w:r>
              <w:rPr>
                <w:b w:val="0"/>
                <w:sz w:val="18"/>
              </w:rPr>
              <w:t>Female survival</w:t>
            </w:r>
          </w:p>
        </w:tc>
        <w:tc>
          <w:tcPr>
            <w:tcW w:type="dxa" w:w="3360"/>
            <w:vAlign w:val="center"/>
          </w:tcPr>
          <w:p>
            <w:r/>
            <w:r>
              <w:rPr>
                <w:b w:val="0"/>
                <w:sz w:val="18"/>
              </w:rPr>
              <w:t>74.2%</w:t>
            </w:r>
          </w:p>
        </w:tc>
        <w:tc>
          <w:tcPr>
            <w:tcW w:type="dxa" w:w="3360"/>
            <w:vAlign w:val="center"/>
          </w:tcPr>
          <w:p>
            <w:r/>
            <w:r>
              <w:rPr>
                <w:b w:val="0"/>
                <w:sz w:val="18"/>
              </w:rPr>
              <w:t>Observed sample rate</w:t>
            </w:r>
          </w:p>
        </w:tc>
      </w:tr>
      <w:tr>
        <w:tc>
          <w:tcPr>
            <w:tcW w:type="dxa" w:w="3360"/>
            <w:vAlign w:val="center"/>
          </w:tcPr>
          <w:p>
            <w:r/>
            <w:r>
              <w:rPr>
                <w:b w:val="0"/>
                <w:sz w:val="18"/>
              </w:rPr>
              <w:t>Male survival</w:t>
            </w:r>
          </w:p>
        </w:tc>
        <w:tc>
          <w:tcPr>
            <w:tcW w:type="dxa" w:w="3360"/>
            <w:vAlign w:val="center"/>
          </w:tcPr>
          <w:p>
            <w:r/>
            <w:r>
              <w:rPr>
                <w:b w:val="0"/>
                <w:sz w:val="18"/>
              </w:rPr>
              <w:t>18.9%</w:t>
            </w:r>
          </w:p>
        </w:tc>
        <w:tc>
          <w:tcPr>
            <w:tcW w:type="dxa" w:w="3360"/>
            <w:vAlign w:val="center"/>
          </w:tcPr>
          <w:p>
            <w:r/>
            <w:r>
              <w:rPr>
                <w:b w:val="0"/>
                <w:sz w:val="18"/>
              </w:rPr>
              <w:t>Observed sample rate</w:t>
            </w:r>
          </w:p>
        </w:tc>
      </w:tr>
      <w:tr>
        <w:tc>
          <w:tcPr>
            <w:tcW w:type="dxa" w:w="3360"/>
            <w:vAlign w:val="center"/>
          </w:tcPr>
          <w:p>
            <w:r/>
            <w:r>
              <w:rPr>
                <w:b w:val="0"/>
                <w:sz w:val="18"/>
              </w:rPr>
              <w:t>Survival gap</w:t>
            </w:r>
          </w:p>
        </w:tc>
        <w:tc>
          <w:tcPr>
            <w:tcW w:type="dxa" w:w="3360"/>
            <w:vAlign w:val="center"/>
          </w:tcPr>
          <w:p>
            <w:r/>
            <w:r>
              <w:rPr>
                <w:b w:val="0"/>
                <w:sz w:val="18"/>
              </w:rPr>
              <w:t>55.3 pp</w:t>
            </w:r>
          </w:p>
        </w:tc>
        <w:tc>
          <w:tcPr>
            <w:tcW w:type="dxa" w:w="3360"/>
            <w:vAlign w:val="center"/>
          </w:tcPr>
          <w:p>
            <w:r/>
            <w:r>
              <w:rPr>
                <w:b w:val="0"/>
                <w:sz w:val="18"/>
              </w:rPr>
              <w:t>Female minus male</w:t>
            </w:r>
          </w:p>
        </w:tc>
      </w:tr>
      <w:tr>
        <w:tc>
          <w:tcPr>
            <w:tcW w:type="dxa" w:w="3360"/>
            <w:vAlign w:val="center"/>
          </w:tcPr>
          <w:p>
            <w:r/>
            <w:r>
              <w:rPr>
                <w:b w:val="0"/>
                <w:sz w:val="18"/>
              </w:rPr>
              <w:t>ML accuracy</w:t>
            </w:r>
          </w:p>
        </w:tc>
        <w:tc>
          <w:tcPr>
            <w:tcW w:type="dxa" w:w="3360"/>
            <w:vAlign w:val="center"/>
          </w:tcPr>
          <w:p>
            <w:r/>
            <w:r>
              <w:rPr>
                <w:b w:val="0"/>
                <w:sz w:val="18"/>
              </w:rPr>
              <w:t>98.25%</w:t>
            </w:r>
          </w:p>
        </w:tc>
        <w:tc>
          <w:tcPr>
            <w:tcW w:type="dxa" w:w="3360"/>
            <w:vAlign w:val="center"/>
          </w:tcPr>
          <w:p>
            <w:r/>
            <w:r>
              <w:rPr>
                <w:b w:val="0"/>
                <w:sz w:val="18"/>
              </w:rPr>
              <w:t>Held-out test set</w:t>
            </w:r>
          </w:p>
        </w:tc>
      </w:tr>
      <w:tr>
        <w:tc>
          <w:tcPr>
            <w:tcW w:type="dxa" w:w="3360"/>
            <w:vAlign w:val="center"/>
          </w:tcPr>
          <w:p>
            <w:r/>
            <w:r>
              <w:rPr>
                <w:b w:val="0"/>
                <w:sz w:val="18"/>
              </w:rPr>
              <w:t>ML recall</w:t>
            </w:r>
          </w:p>
        </w:tc>
        <w:tc>
          <w:tcPr>
            <w:tcW w:type="dxa" w:w="3360"/>
            <w:vAlign w:val="center"/>
          </w:tcPr>
          <w:p>
            <w:r/>
            <w:r>
              <w:rPr>
                <w:b w:val="0"/>
                <w:sz w:val="18"/>
              </w:rPr>
              <w:t>98.61%</w:t>
            </w:r>
          </w:p>
        </w:tc>
        <w:tc>
          <w:tcPr>
            <w:tcW w:type="dxa" w:w="3360"/>
            <w:vAlign w:val="center"/>
          </w:tcPr>
          <w:p>
            <w:r/>
            <w:r>
              <w:rPr>
                <w:b w:val="0"/>
                <w:sz w:val="18"/>
              </w:rPr>
              <w:t>Held-out test set</w:t>
            </w:r>
          </w:p>
        </w:tc>
      </w:tr>
      <w:tr>
        <w:tc>
          <w:tcPr>
            <w:tcW w:type="dxa" w:w="3360"/>
            <w:vAlign w:val="center"/>
          </w:tcPr>
          <w:p>
            <w:r/>
            <w:r>
              <w:rPr>
                <w:b w:val="0"/>
                <w:sz w:val="18"/>
              </w:rPr>
              <w:t>ROC-AUC</w:t>
            </w:r>
          </w:p>
        </w:tc>
        <w:tc>
          <w:tcPr>
            <w:tcW w:type="dxa" w:w="3360"/>
            <w:vAlign w:val="center"/>
          </w:tcPr>
          <w:p>
            <w:r/>
            <w:r>
              <w:rPr>
                <w:b w:val="0"/>
                <w:sz w:val="18"/>
              </w:rPr>
              <w:t>0.995</w:t>
            </w:r>
          </w:p>
        </w:tc>
        <w:tc>
          <w:tcPr>
            <w:tcW w:type="dxa" w:w="3360"/>
            <w:vAlign w:val="center"/>
          </w:tcPr>
          <w:p>
            <w:r/>
            <w:r>
              <w:rPr>
                <w:b w:val="0"/>
                <w:sz w:val="18"/>
              </w:rPr>
              <w:t>Held-out test set</w:t>
            </w:r>
          </w:p>
        </w:tc>
      </w:tr>
      <w:tr>
        <w:tc>
          <w:tcPr>
            <w:tcW w:type="dxa" w:w="3360"/>
            <w:vAlign w:val="center"/>
          </w:tcPr>
          <w:p>
            <w:r/>
            <w:r>
              <w:rPr>
                <w:b w:val="0"/>
                <w:sz w:val="18"/>
              </w:rPr>
              <w:t>Test errors</w:t>
            </w:r>
          </w:p>
        </w:tc>
        <w:tc>
          <w:tcPr>
            <w:tcW w:type="dxa" w:w="3360"/>
            <w:vAlign w:val="center"/>
          </w:tcPr>
          <w:p>
            <w:r/>
            <w:r>
              <w:rPr>
                <w:b w:val="0"/>
                <w:sz w:val="18"/>
              </w:rPr>
              <w:t>2 / 114</w:t>
            </w:r>
          </w:p>
        </w:tc>
        <w:tc>
          <w:tcPr>
            <w:tcW w:type="dxa" w:w="3360"/>
            <w:vAlign w:val="center"/>
          </w:tcPr>
          <w:p>
            <w:r/>
            <w:r>
              <w:rPr>
                <w:b w:val="0"/>
                <w:sz w:val="18"/>
              </w:rPr>
              <w:t>1 FN + 1 FP</w:t>
            </w:r>
          </w:p>
        </w:tc>
      </w:tr>
    </w:tbl>
    <w:p>
      <w:pPr>
        <w:pStyle w:val="Heading1"/>
      </w:pPr>
      <w:r>
        <w:t>2. Project Introduction and Objectives</w:t>
      </w:r>
    </w:p>
    <w:p>
      <w:r>
        <w:t>The purpose of the final-week project is not to perform an isolated analysis, but to demonstrate how separate data science techniques can be combined into a coherent decision-support workflow. The Titanic dataset provides a useful educational case because it contains demographic, travel, and outcome variables that support cleaning, visualization, inference, and prediction.</w:t>
      </w:r>
    </w:p>
    <w:p>
      <w:pPr>
        <w:pStyle w:val="Heading2"/>
      </w:pPr>
      <w:r>
        <w:t>2.1 Project Objectives</w:t>
      </w:r>
    </w:p>
    <w:p>
      <w:pPr>
        <w:pStyle w:val="ListBullet"/>
      </w:pPr>
      <w:r>
        <w:t>Acquire and understand a structured public dataset and establish a reproducible data-preparation process.</w:t>
      </w:r>
    </w:p>
    <w:p>
      <w:pPr>
        <w:pStyle w:val="ListBullet"/>
      </w:pPr>
      <w:r>
        <w:t>Identify missing values, duplicates, inconsistent entries, and potentially influential outliers.</w:t>
      </w:r>
    </w:p>
    <w:p>
      <w:pPr>
        <w:pStyle w:val="ListBullet"/>
      </w:pPr>
      <w:r>
        <w:t>Use visualizations to communicate survival patterns to technical and non-technical audiences.</w:t>
      </w:r>
    </w:p>
    <w:p>
      <w:pPr>
        <w:pStyle w:val="ListBullet"/>
      </w:pPr>
      <w:r>
        <w:t>Formulate and test a statistical hypothesis using appropriate significance tests and confidence intervals.</w:t>
      </w:r>
    </w:p>
    <w:p>
      <w:pPr>
        <w:pStyle w:val="ListBullet"/>
      </w:pPr>
      <w:r>
        <w:t>Develop and evaluate a supervised machine-learning model using a leakage-safe train/test workflow.</w:t>
      </w:r>
    </w:p>
    <w:p>
      <w:pPr>
        <w:pStyle w:val="ListBullet"/>
      </w:pPr>
      <w:r>
        <w:t>Synthesize evidence from descriptive, inferential, and predictive analysis.</w:t>
      </w:r>
    </w:p>
    <w:p>
      <w:pPr>
        <w:pStyle w:val="ListBullet"/>
      </w:pPr>
      <w:r>
        <w:t>Translate findings into actionable strategic recommendations and identify business or research implications.</w:t>
      </w:r>
    </w:p>
    <w:p>
      <w:pPr>
        <w:pStyle w:val="ListBullet"/>
      </w:pPr>
      <w:r>
        <w:t>Document limitations, responsible-use considerations, and a realistic improvement roadmap.</w:t>
      </w:r>
    </w:p>
    <w:p>
      <w:pPr>
        <w:pStyle w:val="Heading1"/>
      </w:pPr>
      <w:r>
        <w:t>3. Project Synthesis Across Weeks 1–4</w:t>
      </w:r>
    </w:p>
    <w:p>
      <w:r>
        <w:t>The project followed a deliberate progression. Each week answered a different class of question, and the outputs became inputs to the next stage.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Week</w:t>
            </w:r>
          </w:p>
        </w:tc>
        <w:tc>
          <w:tcPr>
            <w:tcW w:type="dxa" w:w="2520"/>
            <w:vAlign w:val="center"/>
            <w:shd w:fill="D9EAF7"/>
          </w:tcPr>
          <w:p>
            <w:r/>
            <w:r>
              <w:rPr>
                <w:b/>
                <w:sz w:val="18"/>
              </w:rPr>
              <w:t>Primary Question</w:t>
            </w:r>
          </w:p>
        </w:tc>
        <w:tc>
          <w:tcPr>
            <w:tcW w:type="dxa" w:w="2520"/>
            <w:vAlign w:val="center"/>
            <w:shd w:fill="D9EAF7"/>
          </w:tcPr>
          <w:p>
            <w:r/>
            <w:r>
              <w:rPr>
                <w:b/>
                <w:sz w:val="18"/>
              </w:rPr>
              <w:t>Main Methods</w:t>
            </w:r>
          </w:p>
        </w:tc>
        <w:tc>
          <w:tcPr>
            <w:tcW w:type="dxa" w:w="2520"/>
            <w:vAlign w:val="center"/>
            <w:shd w:fill="D9EAF7"/>
          </w:tcPr>
          <w:p>
            <w:r/>
            <w:r>
              <w:rPr>
                <w:b/>
                <w:sz w:val="18"/>
              </w:rPr>
              <w:t>Output</w:t>
            </w:r>
          </w:p>
        </w:tc>
      </w:tr>
      <w:tr>
        <w:tc>
          <w:tcPr>
            <w:tcW w:type="dxa" w:w="2520"/>
            <w:vAlign w:val="center"/>
          </w:tcPr>
          <w:p>
            <w:r/>
            <w:r>
              <w:rPr>
                <w:b w:val="0"/>
                <w:sz w:val="18"/>
              </w:rPr>
              <w:t>Week 1</w:t>
            </w:r>
          </w:p>
        </w:tc>
        <w:tc>
          <w:tcPr>
            <w:tcW w:type="dxa" w:w="2520"/>
            <w:vAlign w:val="center"/>
          </w:tcPr>
          <w:p>
            <w:r/>
            <w:r>
              <w:rPr>
                <w:b w:val="0"/>
                <w:sz w:val="18"/>
              </w:rPr>
              <w:t>Can the raw dataset be made analysis-ready?</w:t>
            </w:r>
          </w:p>
        </w:tc>
        <w:tc>
          <w:tcPr>
            <w:tcW w:type="dxa" w:w="2520"/>
            <w:vAlign w:val="center"/>
          </w:tcPr>
          <w:p>
            <w:r/>
            <w:r>
              <w:rPr>
                <w:b w:val="0"/>
                <w:sz w:val="18"/>
              </w:rPr>
              <w:t>Cleaning, imputation, encoding, scaling, outlier treatment</w:t>
            </w:r>
          </w:p>
        </w:tc>
        <w:tc>
          <w:tcPr>
            <w:tcW w:type="dxa" w:w="2520"/>
            <w:vAlign w:val="center"/>
          </w:tcPr>
          <w:p>
            <w:r/>
            <w:r>
              <w:rPr>
                <w:b w:val="0"/>
                <w:sz w:val="18"/>
              </w:rPr>
              <w:t>Prepared dataset + preprocessing workflow</w:t>
            </w:r>
          </w:p>
        </w:tc>
      </w:tr>
      <w:tr>
        <w:tc>
          <w:tcPr>
            <w:tcW w:type="dxa" w:w="2520"/>
            <w:vAlign w:val="center"/>
          </w:tcPr>
          <w:p>
            <w:r/>
            <w:r>
              <w:rPr>
                <w:b w:val="0"/>
                <w:sz w:val="18"/>
              </w:rPr>
              <w:t>Week 2</w:t>
            </w:r>
          </w:p>
        </w:tc>
        <w:tc>
          <w:tcPr>
            <w:tcW w:type="dxa" w:w="2520"/>
            <w:vAlign w:val="center"/>
          </w:tcPr>
          <w:p>
            <w:r/>
            <w:r>
              <w:rPr>
                <w:b w:val="0"/>
                <w:sz w:val="18"/>
              </w:rPr>
              <w:t>What patterns and relationships are visible?</w:t>
            </w:r>
          </w:p>
        </w:tc>
        <w:tc>
          <w:tcPr>
            <w:tcW w:type="dxa" w:w="2520"/>
            <w:vAlign w:val="center"/>
          </w:tcPr>
          <w:p>
            <w:r/>
            <w:r>
              <w:rPr>
                <w:b w:val="0"/>
                <w:sz w:val="18"/>
              </w:rPr>
              <w:t>Grouped charts, distributions, heatmaps, ECDF/scatter analysis</w:t>
            </w:r>
          </w:p>
        </w:tc>
        <w:tc>
          <w:tcPr>
            <w:tcW w:type="dxa" w:w="2520"/>
            <w:vAlign w:val="center"/>
          </w:tcPr>
          <w:p>
            <w:r/>
            <w:r>
              <w:rPr>
                <w:b w:val="0"/>
                <w:sz w:val="18"/>
              </w:rPr>
              <w:t>Five explanatory visualizations</w:t>
            </w:r>
          </w:p>
        </w:tc>
      </w:tr>
      <w:tr>
        <w:tc>
          <w:tcPr>
            <w:tcW w:type="dxa" w:w="2520"/>
            <w:vAlign w:val="center"/>
          </w:tcPr>
          <w:p>
            <w:r/>
            <w:r>
              <w:rPr>
                <w:b w:val="0"/>
                <w:sz w:val="18"/>
              </w:rPr>
              <w:t>Week 3</w:t>
            </w:r>
          </w:p>
        </w:tc>
        <w:tc>
          <w:tcPr>
            <w:tcW w:type="dxa" w:w="2520"/>
            <w:vAlign w:val="center"/>
          </w:tcPr>
          <w:p>
            <w:r/>
            <w:r>
              <w:rPr>
                <w:b w:val="0"/>
                <w:sz w:val="18"/>
              </w:rPr>
              <w:t>Are important observed differences statistically supported?</w:t>
            </w:r>
          </w:p>
        </w:tc>
        <w:tc>
          <w:tcPr>
            <w:tcW w:type="dxa" w:w="2520"/>
            <w:vAlign w:val="center"/>
          </w:tcPr>
          <w:p>
            <w:r/>
            <w:r>
              <w:rPr>
                <w:b w:val="0"/>
                <w:sz w:val="18"/>
              </w:rPr>
              <w:t>Chi-square, Fisher exact, z-test, Wilson CIs, effect size</w:t>
            </w:r>
          </w:p>
        </w:tc>
        <w:tc>
          <w:tcPr>
            <w:tcW w:type="dxa" w:w="2520"/>
            <w:vAlign w:val="center"/>
          </w:tcPr>
          <w:p>
            <w:r/>
            <w:r>
              <w:rPr>
                <w:b w:val="0"/>
                <w:sz w:val="18"/>
              </w:rPr>
              <w:t>Evidence for strong sex–survival association</w:t>
            </w:r>
          </w:p>
        </w:tc>
      </w:tr>
      <w:tr>
        <w:tc>
          <w:tcPr>
            <w:tcW w:type="dxa" w:w="2520"/>
            <w:vAlign w:val="center"/>
          </w:tcPr>
          <w:p>
            <w:r/>
            <w:r>
              <w:rPr>
                <w:b w:val="0"/>
                <w:sz w:val="18"/>
              </w:rPr>
              <w:t>Week 4</w:t>
            </w:r>
          </w:p>
        </w:tc>
        <w:tc>
          <w:tcPr>
            <w:tcW w:type="dxa" w:w="2520"/>
            <w:vAlign w:val="center"/>
          </w:tcPr>
          <w:p>
            <w:r/>
            <w:r>
              <w:rPr>
                <w:b w:val="0"/>
                <w:sz w:val="18"/>
              </w:rPr>
              <w:t>Can survival be predicted from structured features?</w:t>
            </w:r>
          </w:p>
        </w:tc>
        <w:tc>
          <w:tcPr>
            <w:tcW w:type="dxa" w:w="2520"/>
            <w:vAlign w:val="center"/>
          </w:tcPr>
          <w:p>
            <w:r/>
            <w:r>
              <w:rPr>
                <w:b w:val="0"/>
                <w:sz w:val="18"/>
              </w:rPr>
              <w:t>Pipeline, Logistic Regression, confusion matrix, ROC-AUC</w:t>
            </w:r>
          </w:p>
        </w:tc>
        <w:tc>
          <w:tcPr>
            <w:tcW w:type="dxa" w:w="2520"/>
            <w:vAlign w:val="center"/>
          </w:tcPr>
          <w:p>
            <w:r/>
            <w:r>
              <w:rPr>
                <w:b w:val="0"/>
                <w:sz w:val="18"/>
              </w:rPr>
              <w:t>High-performing predictive baseline</w:t>
            </w:r>
          </w:p>
        </w:tc>
      </w:tr>
    </w:tbl>
    <w:p>
      <w:pPr>
        <w:pStyle w:val="Heading2"/>
      </w:pPr>
      <w:r>
        <w:t>3.1 Integrated Analytical Logic</w:t>
      </w:r>
    </w:p>
    <w:p>
      <w:pPr>
        <w:pStyle w:val="ListNumber"/>
      </w:pPr>
      <w:r>
        <w:t>Trust the data before trusting the result.</w:t>
      </w:r>
    </w:p>
    <w:p>
      <w:pPr>
        <w:pStyle w:val="ListNumber"/>
      </w:pPr>
      <w:r>
        <w:t>Explore the data visually before making formal claims.</w:t>
      </w:r>
    </w:p>
    <w:p>
      <w:pPr>
        <w:pStyle w:val="ListNumber"/>
      </w:pPr>
      <w:r>
        <w:t>Use statistical inference to quantify whether a key observed relationship is unlikely to be random under the null hypothesis.</w:t>
      </w:r>
    </w:p>
    <w:p>
      <w:pPr>
        <w:pStyle w:val="ListNumber"/>
      </w:pPr>
      <w:r>
        <w:t>Use machine learning to assess predictive utility rather than treating association alone as prediction.</w:t>
      </w:r>
    </w:p>
    <w:p>
      <w:pPr>
        <w:pStyle w:val="ListNumber"/>
      </w:pPr>
      <w:r>
        <w:t>Translate the combined evidence into recommendations while explicitly separating evidence, assumptions, and limitations.</w:t>
      </w:r>
    </w:p>
    <w:p>
      <w:pPr>
        <w:pStyle w:val="Heading1"/>
      </w:pPr>
      <w:r>
        <w:t>4. Dataset and Data Understanding</w:t>
      </w:r>
    </w:p>
    <w:p>
      <w:r>
        <w:t>The project uses the Titanic passenger dataset for the descriptive, statistical, and storytelling stages. For the machine-learning demonstration, the Breast Cancer Wisconsin (Diagnostic) dataset distributed with scikit-learn was used as the Week 4 predictive benchmark. This separation is important: the Titanic analysis established the project's data-science workflow, while the Week 4 model provided a controlled binary-classification example with a well-defined held-out evaluation set.</w:t>
      </w:r>
    </w:p>
    <w:p>
      <w:pPr>
        <w:pStyle w:val="Heading2"/>
      </w:pPr>
      <w:r>
        <w:t>4.1 Titanic Dataset</w:t>
      </w:r>
    </w:p>
    <w:p>
      <w:pPr>
        <w:pStyle w:val="ListBullet"/>
      </w:pPr>
      <w:r>
        <w:t>Records: 891 passenger observations in the canonical Titanic dataset used for Weeks 1–3.</w:t>
      </w:r>
    </w:p>
    <w:p>
      <w:pPr>
        <w:pStyle w:val="ListBullet"/>
      </w:pPr>
      <w:r>
        <w:t>Key variables: passenger class, sex, age, fare, family-related variables, port of embarkation, and survival outcome.</w:t>
      </w:r>
    </w:p>
    <w:p>
      <w:pPr>
        <w:pStyle w:val="ListBullet"/>
      </w:pPr>
      <w:r>
        <w:t>Outcome variable: Survived, coded as 0 for did not survive and 1 for survived.</w:t>
      </w:r>
    </w:p>
    <w:p>
      <w:pPr>
        <w:pStyle w:val="ListBullet"/>
      </w:pPr>
      <w:r>
        <w:t>Main analytical question in Week 3: whether passenger sex and survival were independent.</w:t>
      </w:r>
    </w:p>
    <w:p>
      <w:pPr>
        <w:pStyle w:val="Heading2"/>
      </w:pPr>
      <w:r>
        <w:t>4.2 Week 4 Machine-Learning Dataset</w:t>
      </w:r>
    </w:p>
    <w:p>
      <w:pPr>
        <w:pStyle w:val="ListBullet"/>
      </w:pPr>
      <w:r>
        <w:t>Records: 569 observations.</w:t>
      </w:r>
    </w:p>
    <w:p>
      <w:pPr>
        <w:pStyle w:val="ListBullet"/>
      </w:pPr>
      <w:r>
        <w:t>Predictors: 30 numeric diagnostic measurements.</w:t>
      </w:r>
    </w:p>
    <w:p>
      <w:pPr>
        <w:pStyle w:val="ListBullet"/>
      </w:pPr>
      <w:r>
        <w:t>Target: binary class, with scikit-learn labels 0 = malignant and 1 = benign.</w:t>
      </w:r>
    </w:p>
    <w:p>
      <w:pPr>
        <w:pStyle w:val="ListBullet"/>
      </w:pPr>
      <w:r>
        <w:t>Evaluation split: 80% training and 20% held-out test data, stratified by target and using random_state=42.</w:t>
      </w:r>
    </w:p>
    <w:p>
      <w:r>
        <w:t>Using a separate benchmark for the predictive stage also demonstrates an important professional practice: predictive modeling should be evaluated on data that are explicitly separated from the training process, and conclusions should be tied to the population and task represented by that dataset.</w:t>
      </w:r>
    </w:p>
    <w:p>
      <w:pPr>
        <w:pStyle w:val="Heading1"/>
      </w:pPr>
      <w:r>
        <w:t>5. Methodology and End-to-End Workflow</w:t>
      </w:r>
    </w:p>
    <w:p>
      <w:r>
        <w:t>The complete workflow combines data engineering, exploratory analysis, statistical inference, predictive modeling, and strategic interpretation.</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Raw data</w:t>
              <w:br/>
              <w:t xml:space="preserve">   ↓</w:t>
              <w:br/>
              <w:t>Data audit → missing values / duplicates / data types / outliers</w:t>
              <w:br/>
              <w:t xml:space="preserve">   ↓</w:t>
              <w:br/>
              <w:t>Cleaning + transformation → imputation / encoding / scaling</w:t>
              <w:br/>
              <w:t xml:space="preserve">   ↓</w:t>
              <w:br/>
              <w:t>Exploratory analysis → distributions / subgroup comparisons / relationships</w:t>
              <w:br/>
              <w:t xml:space="preserve">   ↓</w:t>
              <w:br/>
              <w:t>Statistical testing → hypothesis / confidence intervals / effect size</w:t>
              <w:br/>
              <w:t xml:space="preserve">   ↓</w:t>
              <w:br/>
              <w:t>Predictive modeling → train/test split / pipeline / model fitting</w:t>
              <w:br/>
              <w:t xml:space="preserve">   ↓</w:t>
              <w:br/>
              <w:t>Evaluation → accuracy / precision / recall / F1 / ROC-AUC / confusion matrix</w:t>
              <w:br/>
              <w:t xml:space="preserve">   ↓</w:t>
              <w:br/>
              <w:t>Error analysis → false positives / false negatives / limitations</w:t>
              <w:br/>
              <w:t xml:space="preserve">   ↓</w:t>
              <w:br/>
              <w:t>Strategic recommendations → actions / impacts / risks / next steps</w:t>
            </w:r>
          </w:p>
        </w:tc>
      </w:tr>
    </w:tbl>
    <w:p>
      <w:pPr>
        <w:pStyle w:val="Heading2"/>
      </w:pPr>
      <w:r>
        <w:t>5.1 Reproducibility Principles</w:t>
      </w:r>
    </w:p>
    <w:p>
      <w:pPr>
        <w:pStyle w:val="ListBullet"/>
      </w:pPr>
      <w:r>
        <w:t>Fixed random seeds were used where randomness was involved.</w:t>
      </w:r>
    </w:p>
    <w:p>
      <w:pPr>
        <w:pStyle w:val="ListBullet"/>
      </w:pPr>
      <w:r>
        <w:t>Preprocessing for the machine-learning model was placed inside a scikit-learn Pipeline to reduce data leakage risk.</w:t>
      </w:r>
    </w:p>
    <w:p>
      <w:pPr>
        <w:pStyle w:val="ListBullet"/>
      </w:pPr>
      <w:r>
        <w:t>Evaluation was performed on a held-out test set not used for model fitting.</w:t>
      </w:r>
    </w:p>
    <w:p>
      <w:pPr>
        <w:pStyle w:val="ListBullet"/>
      </w:pPr>
      <w:r>
        <w:t>Figures and report sections are tied to named scripts and output folders in the project package.</w:t>
      </w:r>
    </w:p>
    <w:p>
      <w:pPr>
        <w:pStyle w:val="ListBullet"/>
      </w:pPr>
      <w:r>
        <w:t>Interpretation distinguishes descriptive patterns from statistical evidence and from predictive performance.</w:t>
      </w:r>
    </w:p>
    <w:p>
      <w:pPr>
        <w:pStyle w:val="Heading1"/>
      </w:pPr>
      <w:r>
        <w:t>6. Week 1 – Data Preparation and Cleaning</w:t>
      </w:r>
    </w:p>
    <w:p>
      <w:r>
        <w:t>Week 1 established the foundation of the project. Data cleaning focused on making the Titanic dataset consistent and suitable for downstream analysis. The process included checking for duplicate records, coercing numeric fields, standardizing categorical values, extracting useful structure from the cabin field, imputing missing values, handling extreme fare values, removing redundant columns, encoding categorical variables, and scaling numeric variables where appropriate.</w:t>
      </w:r>
    </w:p>
    <w:p>
      <w:pPr>
        <w:pStyle w:val="Heading2"/>
      </w:pPr>
      <w:r>
        <w:t>6.1 Key Cleaning Decisions</w:t>
      </w:r>
    </w:p>
    <w:p>
      <w:pPr>
        <w:pStyle w:val="ListBullet"/>
      </w:pPr>
      <w:r>
        <w:t>Age missing values were imputed using grouped medians based on passenger class and sex, preserving meaningful subgroup differences.</w:t>
      </w:r>
    </w:p>
    <w:p>
      <w:pPr>
        <w:pStyle w:val="ListBullet"/>
      </w:pPr>
      <w:r>
        <w:t>Embarked missing values were filled using the mode because the variable is categorical and has a small number of missing entries.</w:t>
      </w:r>
    </w:p>
    <w:p>
      <w:pPr>
        <w:pStyle w:val="ListBullet"/>
      </w:pPr>
      <w:r>
        <w:t>Fare extremes were treated using an IQR-based capping approach to reduce undue influence from unusually large values while retaining observations.</w:t>
      </w:r>
    </w:p>
    <w:p>
      <w:pPr>
        <w:pStyle w:val="ListBullet"/>
      </w:pPr>
      <w:r>
        <w:t>Sex was mapped to a numeric representation and categorical variables were one-hot encoded for modeling compatibility.</w:t>
      </w:r>
    </w:p>
    <w:p>
      <w:pPr>
        <w:pStyle w:val="ListBullet"/>
      </w:pPr>
      <w:r>
        <w:t>Redundant identifiers or fields that were not required for the intended analysis were removed.</w:t>
      </w:r>
    </w:p>
    <w:p>
      <w:pPr>
        <w:pStyle w:val="Heading2"/>
      </w:pPr>
      <w:r>
        <w:t>6.2 Why Data Cleaning Matters Strategically</w:t>
      </w:r>
    </w:p>
    <w:p>
      <w:r>
        <w:t>A stakeholder should not treat preprocessing as a cosmetic step. Missing-value handling, inconsistent categories, and outliers can change group comparisons and model behavior. A documented cleaning policy makes the analysis auditable and allows future analysts to reproduce or challenge individual choices.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missing_values_preview.png"/>
                    <pic:cNvPicPr/>
                  </pic:nvPicPr>
                  <pic:blipFill>
                    <a:blip r:embed="rId9"/>
                    <a:stretch>
                      <a:fillRect/>
                    </a:stretch>
                  </pic:blipFill>
                  <pic:spPr>
                    <a:xfrm>
                      <a:off x="0" y="0"/>
                      <a:ext cx="5303520" cy="3314700"/>
                    </a:xfrm>
                    <a:prstGeom prst="rect"/>
                  </pic:spPr>
                </pic:pic>
              </a:graphicData>
            </a:graphic>
          </wp:inline>
        </w:drawing>
      </w:r>
    </w:p>
    <w:p>
      <w:pPr>
        <w:jc w:val="center"/>
      </w:pPr>
      <w:r>
        <w:rPr>
          <w:i/>
          <w:sz w:val="18"/>
        </w:rPr>
        <w:t>Figure 1. Week 1 preview of missing-value patterns used to guide the cleaning strategy.</w:t>
      </w:r>
    </w:p>
    <w:p>
      <w:pPr>
        <w:pStyle w:val="Heading1"/>
      </w:pPr>
      <w:r>
        <w:t>7. Week 2 – Exploratory Visualization and Storytelling</w:t>
      </w:r>
    </w:p>
    <w:p>
      <w:r>
        <w:t>Week 2 transformed cleaned data into visual evidence. The emphasis was on choosing charts that answered specific questions rather than producing decorative graphics. The visual sequence examined survival by sex and class, age distributions, the interaction of age and class, fare-age relationships, and cumulative fare distributions.</w:t>
      </w:r>
    </w:p>
    <w:p>
      <w:pPr>
        <w:pStyle w:val="Heading2"/>
      </w:pPr>
      <w:r>
        <w:t>7.1 Major Visual Findings</w:t>
      </w:r>
    </w:p>
    <w:p>
      <w:pPr>
        <w:pStyle w:val="ListBullet"/>
      </w:pPr>
      <w:r>
        <w:t>Survival varied sharply by sex, with women showing substantially higher observed survival than men.</w:t>
      </w:r>
    </w:p>
    <w:p>
      <w:pPr>
        <w:pStyle w:val="ListBullet"/>
      </w:pPr>
      <w:r>
        <w:t>Passenger class was also associated with survival, and the sex pattern remained visible when class was considered.</w:t>
      </w:r>
    </w:p>
    <w:p>
      <w:pPr>
        <w:pStyle w:val="ListBullet"/>
      </w:pPr>
      <w:r>
        <w:t>Age distributions differed across survival outcomes, indicating that age was relevant but not sufficient on its own to explain the outcome.</w:t>
      </w:r>
    </w:p>
    <w:p>
      <w:pPr>
        <w:pStyle w:val="ListBullet"/>
      </w:pPr>
      <w:r>
        <w:t>Fare showed a strong relationship with passenger class and therefore acts partly as a proxy for socioeconomic/travel conditions rather than an isolated causal factor.</w:t>
      </w:r>
    </w:p>
    <w:p>
      <w:pPr>
        <w:pStyle w:val="ListBullet"/>
      </w:pPr>
      <w:r>
        <w:t>ECDF and distribution plots showed that survival groups occupied different portions of the fare distribution.</w:t>
      </w:r>
    </w:p>
    <w:p>
      <w:pPr>
        <w:jc w:val="center"/>
      </w:pPr>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01_survival_sex_class.png"/>
                    <pic:cNvPicPr/>
                  </pic:nvPicPr>
                  <pic:blipFill>
                    <a:blip r:embed="rId10"/>
                    <a:stretch>
                      <a:fillRect/>
                    </a:stretch>
                  </pic:blipFill>
                  <pic:spPr>
                    <a:xfrm>
                      <a:off x="0" y="0"/>
                      <a:ext cx="5577840" cy="3718560"/>
                    </a:xfrm>
                    <a:prstGeom prst="rect"/>
                  </pic:spPr>
                </pic:pic>
              </a:graphicData>
            </a:graphic>
          </wp:inline>
        </w:drawing>
      </w:r>
    </w:p>
    <w:p>
      <w:pPr>
        <w:jc w:val="center"/>
      </w:pPr>
      <w:r>
        <w:rPr>
          <w:i/>
          <w:sz w:val="18"/>
        </w:rPr>
        <w:t>Figure 2. Survival rate by sex and passenger class. The combination of subgroup variables reveals heterogeneity hidden by a single overall survival rate.</w:t>
      </w:r>
    </w:p>
    <w:p>
      <w:pPr>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02_age_violin.png"/>
                    <pic:cNvPicPr/>
                  </pic:nvPicPr>
                  <pic:blipFill>
                    <a:blip r:embed="rId11"/>
                    <a:stretch>
                      <a:fillRect/>
                    </a:stretch>
                  </pic:blipFill>
                  <pic:spPr>
                    <a:xfrm>
                      <a:off x="0" y="0"/>
                      <a:ext cx="5577840" cy="3718560"/>
                    </a:xfrm>
                    <a:prstGeom prst="rect"/>
                  </pic:spPr>
                </pic:pic>
              </a:graphicData>
            </a:graphic>
          </wp:inline>
        </w:drawing>
      </w:r>
    </w:p>
    <w:p>
      <w:pPr>
        <w:jc w:val="center"/>
      </w:pPr>
      <w:r>
        <w:rPr>
          <w:i/>
          <w:sz w:val="18"/>
        </w:rPr>
        <w:t>Figure 3. Age distribution by survival outcome. Distribution-based visualization highlights overlap and differences more effectively than a single average.</w:t>
      </w:r>
    </w:p>
    <w:p>
      <w:pPr>
        <w:jc w:val="center"/>
      </w:pPr>
      <w:r>
        <w:drawing>
          <wp:inline xmlns:a="http://schemas.openxmlformats.org/drawingml/2006/main" xmlns:pic="http://schemas.openxmlformats.org/drawingml/2006/picture">
            <wp:extent cx="5577840" cy="4880610"/>
            <wp:docPr id="4" name="Picture 4"/>
            <wp:cNvGraphicFramePr>
              <a:graphicFrameLocks noChangeAspect="1"/>
            </wp:cNvGraphicFramePr>
            <a:graphic>
              <a:graphicData uri="http://schemas.openxmlformats.org/drawingml/2006/picture">
                <pic:pic>
                  <pic:nvPicPr>
                    <pic:cNvPr id="0" name="03_age_class_heatmap.png"/>
                    <pic:cNvPicPr/>
                  </pic:nvPicPr>
                  <pic:blipFill>
                    <a:blip r:embed="rId12"/>
                    <a:stretch>
                      <a:fillRect/>
                    </a:stretch>
                  </pic:blipFill>
                  <pic:spPr>
                    <a:xfrm>
                      <a:off x="0" y="0"/>
                      <a:ext cx="5577840" cy="4880610"/>
                    </a:xfrm>
                    <a:prstGeom prst="rect"/>
                  </pic:spPr>
                </pic:pic>
              </a:graphicData>
            </a:graphic>
          </wp:inline>
        </w:drawing>
      </w:r>
    </w:p>
    <w:p>
      <w:pPr>
        <w:jc w:val="center"/>
      </w:pPr>
      <w:r>
        <w:rPr>
          <w:i/>
          <w:sz w:val="18"/>
        </w:rPr>
        <w:t>Figure 4. Age-by-class survival pattern. This view emphasizes interaction between passenger characteristics.</w:t>
      </w:r>
    </w:p>
    <w:p>
      <w:pPr>
        <w:jc w:val="center"/>
      </w:pPr>
      <w:r>
        <w:drawing>
          <wp:inline xmlns:a="http://schemas.openxmlformats.org/drawingml/2006/main" xmlns:pic="http://schemas.openxmlformats.org/drawingml/2006/picture">
            <wp:extent cx="5577840" cy="3313620"/>
            <wp:docPr id="5" name="Picture 5"/>
            <wp:cNvGraphicFramePr>
              <a:graphicFrameLocks noChangeAspect="1"/>
            </wp:cNvGraphicFramePr>
            <a:graphic>
              <a:graphicData uri="http://schemas.openxmlformats.org/drawingml/2006/picture">
                <pic:pic>
                  <pic:nvPicPr>
                    <pic:cNvPr id="0" name="04_fare_age_scatter.png"/>
                    <pic:cNvPicPr/>
                  </pic:nvPicPr>
                  <pic:blipFill>
                    <a:blip r:embed="rId13"/>
                    <a:stretch>
                      <a:fillRect/>
                    </a:stretch>
                  </pic:blipFill>
                  <pic:spPr>
                    <a:xfrm>
                      <a:off x="0" y="0"/>
                      <a:ext cx="5577840" cy="3313620"/>
                    </a:xfrm>
                    <a:prstGeom prst="rect"/>
                  </pic:spPr>
                </pic:pic>
              </a:graphicData>
            </a:graphic>
          </wp:inline>
        </w:drawing>
      </w:r>
    </w:p>
    <w:p>
      <w:pPr>
        <w:jc w:val="center"/>
      </w:pPr>
      <w:r>
        <w:rPr>
          <w:i/>
          <w:sz w:val="18"/>
        </w:rPr>
        <w:t>Figure 5. Fare versus age with survival outcome. The chart helps show how fare, age, and survival occupy different regions of the data.</w:t>
      </w:r>
    </w:p>
    <w:p>
      <w:pPr>
        <w:jc w:val="center"/>
      </w:pPr>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05_fare_ecdf.png"/>
                    <pic:cNvPicPr/>
                  </pic:nvPicPr>
                  <pic:blipFill>
                    <a:blip r:embed="rId14"/>
                    <a:stretch>
                      <a:fillRect/>
                    </a:stretch>
                  </pic:blipFill>
                  <pic:spPr>
                    <a:xfrm>
                      <a:off x="0" y="0"/>
                      <a:ext cx="5577840" cy="3718560"/>
                    </a:xfrm>
                    <a:prstGeom prst="rect"/>
                  </pic:spPr>
                </pic:pic>
              </a:graphicData>
            </a:graphic>
          </wp:inline>
        </w:drawing>
      </w:r>
    </w:p>
    <w:p>
      <w:pPr>
        <w:jc w:val="center"/>
      </w:pPr>
      <w:r>
        <w:rPr>
          <w:i/>
          <w:sz w:val="18"/>
        </w:rPr>
        <w:t>Figure 6. Empirical cumulative distribution of fare by survival outcome. ECDFs make distributional shifts visible without depending on histogram bin choices.</w:t>
      </w:r>
    </w:p>
    <w:p>
      <w:pPr>
        <w:pStyle w:val="Heading1"/>
      </w:pPr>
      <w:r>
        <w:t>8. Week 3 – Statistical Analysis and Hypothesis Testing</w:t>
      </w:r>
    </w:p>
    <w:p>
      <w:r>
        <w:t>Week 3 moved from visual evidence to formal inference. The research question was: 'Is passenger survival independent of passenger sex?' The null hypothesis stated that sex and survival were independent, while the alternative hypothesis stated that they were associated. The significance level was set at α = 0.05.</w:t>
      </w:r>
    </w:p>
    <w:p>
      <w:pPr>
        <w:pStyle w:val="Heading2"/>
      </w:pPr>
      <w:r>
        <w:t>8.1 Observed Counts and Rates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FFF2CC"/>
          </w:tcPr>
          <w:p>
            <w:r/>
            <w:r>
              <w:rPr>
                <w:b/>
                <w:sz w:val="18"/>
              </w:rPr>
              <w:t>Sex</w:t>
            </w:r>
          </w:p>
        </w:tc>
        <w:tc>
          <w:tcPr>
            <w:tcW w:type="dxa" w:w="2520"/>
            <w:vAlign w:val="center"/>
            <w:shd w:fill="FFF2CC"/>
          </w:tcPr>
          <w:p>
            <w:r/>
            <w:r>
              <w:rPr>
                <w:b/>
                <w:sz w:val="18"/>
              </w:rPr>
              <w:t>Survived</w:t>
            </w:r>
          </w:p>
        </w:tc>
        <w:tc>
          <w:tcPr>
            <w:tcW w:type="dxa" w:w="2520"/>
            <w:vAlign w:val="center"/>
            <w:shd w:fill="FFF2CC"/>
          </w:tcPr>
          <w:p>
            <w:r/>
            <w:r>
              <w:rPr>
                <w:b/>
                <w:sz w:val="18"/>
              </w:rPr>
              <w:t>Did not survive</w:t>
            </w:r>
          </w:p>
        </w:tc>
        <w:tc>
          <w:tcPr>
            <w:tcW w:type="dxa" w:w="2520"/>
            <w:vAlign w:val="center"/>
            <w:shd w:fill="FFF2CC"/>
          </w:tcPr>
          <w:p>
            <w:r/>
            <w:r>
              <w:rPr>
                <w:b/>
                <w:sz w:val="18"/>
              </w:rPr>
              <w:t>Survival rate</w:t>
            </w:r>
          </w:p>
        </w:tc>
      </w:tr>
      <w:tr>
        <w:tc>
          <w:tcPr>
            <w:tcW w:type="dxa" w:w="2520"/>
            <w:vAlign w:val="center"/>
          </w:tcPr>
          <w:p>
            <w:r/>
            <w:r>
              <w:rPr>
                <w:b w:val="0"/>
                <w:sz w:val="18"/>
              </w:rPr>
              <w:t>Female</w:t>
            </w:r>
          </w:p>
        </w:tc>
        <w:tc>
          <w:tcPr>
            <w:tcW w:type="dxa" w:w="2520"/>
            <w:vAlign w:val="center"/>
          </w:tcPr>
          <w:p>
            <w:r/>
            <w:r>
              <w:rPr>
                <w:b w:val="0"/>
                <w:sz w:val="18"/>
              </w:rPr>
              <w:t>233</w:t>
            </w:r>
          </w:p>
        </w:tc>
        <w:tc>
          <w:tcPr>
            <w:tcW w:type="dxa" w:w="2520"/>
            <w:vAlign w:val="center"/>
          </w:tcPr>
          <w:p>
            <w:r/>
            <w:r>
              <w:rPr>
                <w:b w:val="0"/>
                <w:sz w:val="18"/>
              </w:rPr>
              <w:t>81</w:t>
            </w:r>
          </w:p>
        </w:tc>
        <w:tc>
          <w:tcPr>
            <w:tcW w:type="dxa" w:w="2520"/>
            <w:vAlign w:val="center"/>
          </w:tcPr>
          <w:p>
            <w:r/>
            <w:r>
              <w:rPr>
                <w:b w:val="0"/>
                <w:sz w:val="18"/>
              </w:rPr>
              <w:t>74.2%</w:t>
            </w:r>
          </w:p>
        </w:tc>
      </w:tr>
      <w:tr>
        <w:tc>
          <w:tcPr>
            <w:tcW w:type="dxa" w:w="2520"/>
            <w:vAlign w:val="center"/>
          </w:tcPr>
          <w:p>
            <w:r/>
            <w:r>
              <w:rPr>
                <w:b w:val="0"/>
                <w:sz w:val="18"/>
              </w:rPr>
              <w:t>Male</w:t>
            </w:r>
          </w:p>
        </w:tc>
        <w:tc>
          <w:tcPr>
            <w:tcW w:type="dxa" w:w="2520"/>
            <w:vAlign w:val="center"/>
          </w:tcPr>
          <w:p>
            <w:r/>
            <w:r>
              <w:rPr>
                <w:b w:val="0"/>
                <w:sz w:val="18"/>
              </w:rPr>
              <w:t>109</w:t>
            </w:r>
          </w:p>
        </w:tc>
        <w:tc>
          <w:tcPr>
            <w:tcW w:type="dxa" w:w="2520"/>
            <w:vAlign w:val="center"/>
          </w:tcPr>
          <w:p>
            <w:r/>
            <w:r>
              <w:rPr>
                <w:b w:val="0"/>
                <w:sz w:val="18"/>
              </w:rPr>
              <w:t>468</w:t>
            </w:r>
          </w:p>
        </w:tc>
        <w:tc>
          <w:tcPr>
            <w:tcW w:type="dxa" w:w="2520"/>
            <w:vAlign w:val="center"/>
          </w:tcPr>
          <w:p>
            <w:r/>
            <w:r>
              <w:rPr>
                <w:b w:val="0"/>
                <w:sz w:val="18"/>
              </w:rPr>
              <w:t>18.9%</w:t>
            </w:r>
          </w:p>
        </w:tc>
      </w:tr>
    </w:tbl>
    <w:p>
      <w:r>
        <w:t>The observed difference in survival was approximately 55.3 percentage points. This is a large descriptive gap, and the inferential tests confirmed that the observed relationship is very unlikely to be explained by random sampling variation under the independence assumption.</w:t>
      </w:r>
    </w:p>
    <w:p>
      <w:pPr>
        <w:pStyle w:val="Heading2"/>
      </w:pPr>
      <w:r>
        <w:t>8.2 Statistical Tests</w:t>
      </w:r>
    </w:p>
    <w:p>
      <w:pPr>
        <w:pStyle w:val="ListBullet"/>
      </w:pPr>
      <w:r>
        <w:t>Pearson chi-square test without continuity correction was used for the 2×2 contingency table.</w:t>
      </w:r>
    </w:p>
    <w:p>
      <w:pPr>
        <w:pStyle w:val="ListBullet"/>
      </w:pPr>
      <w:r>
        <w:t>Fisher's exact test was used as an exact alternative for a 2×2 table.</w:t>
      </w:r>
    </w:p>
    <w:p>
      <w:pPr>
        <w:pStyle w:val="ListBullet"/>
      </w:pPr>
      <w:r>
        <w:t>Two-proportion z-test quantified the difference in survival proportions.</w:t>
      </w:r>
    </w:p>
    <w:p>
      <w:pPr>
        <w:pStyle w:val="ListBullet"/>
      </w:pPr>
      <w:r>
        <w:t>Wilson 95% confidence intervals were used for the individual survival rates.</w:t>
      </w:r>
    </w:p>
    <w:p>
      <w:pPr>
        <w:pStyle w:val="ListBullet"/>
      </w:pPr>
      <w:r>
        <w:t>An approximate 95% confidence interval was used for the difference in proportions.</w:t>
      </w:r>
    </w:p>
    <w:p>
      <w:pPr>
        <w:pStyle w:val="ListBullet"/>
      </w:pPr>
      <w:r>
        <w:t>Phi coefficient was used as an effect-size measure for the 2×2 association.</w:t>
      </w:r>
    </w:p>
    <w:p>
      <w:pPr>
        <w:jc w:val="center"/>
      </w:pPr>
      <w:r>
        <w:drawing>
          <wp:inline xmlns:a="http://schemas.openxmlformats.org/drawingml/2006/main" xmlns:pic="http://schemas.openxmlformats.org/drawingml/2006/picture">
            <wp:extent cx="5394960" cy="4046220"/>
            <wp:docPr id="7" name="Picture 7"/>
            <wp:cNvGraphicFramePr>
              <a:graphicFrameLocks noChangeAspect="1"/>
            </wp:cNvGraphicFramePr>
            <a:graphic>
              <a:graphicData uri="http://schemas.openxmlformats.org/drawingml/2006/picture">
                <pic:pic>
                  <pic:nvPicPr>
                    <pic:cNvPr id="0" name="01_rates_ci.png"/>
                    <pic:cNvPicPr/>
                  </pic:nvPicPr>
                  <pic:blipFill>
                    <a:blip r:embed="rId15"/>
                    <a:stretch>
                      <a:fillRect/>
                    </a:stretch>
                  </pic:blipFill>
                  <pic:spPr>
                    <a:xfrm>
                      <a:off x="0" y="0"/>
                      <a:ext cx="5394960" cy="4046220"/>
                    </a:xfrm>
                    <a:prstGeom prst="rect"/>
                  </pic:spPr>
                </pic:pic>
              </a:graphicData>
            </a:graphic>
          </wp:inline>
        </w:drawing>
      </w:r>
    </w:p>
    <w:p>
      <w:pPr>
        <w:jc w:val="center"/>
      </w:pPr>
      <w:r>
        <w:rPr>
          <w:i/>
          <w:sz w:val="18"/>
        </w:rPr>
        <w:t>Figure 7. Survival rates with 95% Wilson confidence intervals.</w:t>
      </w:r>
    </w:p>
    <w:p>
      <w:pPr>
        <w:jc w:val="center"/>
      </w:pPr>
      <w:r>
        <w:drawing>
          <wp:inline xmlns:a="http://schemas.openxmlformats.org/drawingml/2006/main" xmlns:pic="http://schemas.openxmlformats.org/drawingml/2006/picture">
            <wp:extent cx="5394960" cy="2697480"/>
            <wp:docPr id="8" name="Picture 8"/>
            <wp:cNvGraphicFramePr>
              <a:graphicFrameLocks noChangeAspect="1"/>
            </wp:cNvGraphicFramePr>
            <a:graphic>
              <a:graphicData uri="http://schemas.openxmlformats.org/drawingml/2006/picture">
                <pic:pic>
                  <pic:nvPicPr>
                    <pic:cNvPr id="0" name="04_difference_ci.png"/>
                    <pic:cNvPicPr/>
                  </pic:nvPicPr>
                  <pic:blipFill>
                    <a:blip r:embed="rId16"/>
                    <a:stretch>
                      <a:fillRect/>
                    </a:stretch>
                  </pic:blipFill>
                  <pic:spPr>
                    <a:xfrm>
                      <a:off x="0" y="0"/>
                      <a:ext cx="5394960" cy="2697480"/>
                    </a:xfrm>
                    <a:prstGeom prst="rect"/>
                  </pic:spPr>
                </pic:pic>
              </a:graphicData>
            </a:graphic>
          </wp:inline>
        </w:drawing>
      </w:r>
    </w:p>
    <w:p>
      <w:pPr>
        <w:jc w:val="center"/>
      </w:pPr>
      <w:r>
        <w:rPr>
          <w:i/>
          <w:sz w:val="18"/>
        </w:rPr>
        <w:t>Figure 8. Confidence interval for the female-minus-male survival-rate difference.</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5_phi.png"/>
                    <pic:cNvPicPr/>
                  </pic:nvPicPr>
                  <pic:blipFill>
                    <a:blip r:embed="rId17"/>
                    <a:stretch>
                      <a:fillRect/>
                    </a:stretch>
                  </pic:blipFill>
                  <pic:spPr>
                    <a:xfrm>
                      <a:off x="0" y="0"/>
                      <a:ext cx="5394960" cy="3371850"/>
                    </a:xfrm>
                    <a:prstGeom prst="rect"/>
                  </pic:spPr>
                </pic:pic>
              </a:graphicData>
            </a:graphic>
          </wp:inline>
        </w:drawing>
      </w:r>
    </w:p>
    <w:p>
      <w:pPr>
        <w:jc w:val="center"/>
      </w:pPr>
      <w:r>
        <w:rPr>
          <w:i/>
          <w:sz w:val="18"/>
        </w:rPr>
        <w:t>Figure 9. Phi effect size summarizing the strength of the sex-survival association.</w:t>
      </w:r>
    </w:p>
    <w:p>
      <w:pPr>
        <w:pStyle w:val="Heading2"/>
      </w:pPr>
      <w:r>
        <w:t>8.3 Interpretation</w:t>
      </w:r>
    </w:p>
    <w:p>
      <w:r>
        <w:t>Because the p-values were extremely small and far below α = 0.05, the null hypothesis of independence was rejected. The appropriate conclusion is that sex and survival were strongly associated in this sample. The result should not be interpreted as proof that sex itself caused survival differences. Historical context, passenger class, age, family structure, evacuation practices, and other factors may act as confounders or mediators.</w:t>
      </w:r>
    </w:p>
    <w:p>
      <w:pPr>
        <w:pStyle w:val="Heading1"/>
      </w:pPr>
      <w:r>
        <w:t>9. Week 4 – Machine Learning Model Development</w:t>
      </w:r>
    </w:p>
    <w:p>
      <w:r>
        <w:t>The predictive stage demonstrated how a structured modeling pipeline can turn measured features into a binary prediction. The selected model was Logistic Regression, preceded by StandardScaler, inside a scikit-learn Pipeline. This model was selected because it is interpretable, computationally efficient, well suited to binary classification, and provides probability-like scores that support ROC analysis.</w:t>
      </w:r>
    </w:p>
    <w:p>
      <w:pPr>
        <w:pStyle w:val="Heading2"/>
      </w:pPr>
      <w:r>
        <w:t>9.1 Training and Evaluation Design</w:t>
      </w:r>
    </w:p>
    <w:p>
      <w:pPr>
        <w:pStyle w:val="ListBullet"/>
      </w:pPr>
      <w:r>
        <w:t>An 80/20 stratified split created separate training and test sets.</w:t>
      </w:r>
    </w:p>
    <w:p>
      <w:pPr>
        <w:pStyle w:val="ListBullet"/>
      </w:pPr>
      <w:r>
        <w:t>Scaling was fitted only through the training pipeline and then applied consistently to held-out data.</w:t>
      </w:r>
    </w:p>
    <w:p>
      <w:pPr>
        <w:pStyle w:val="ListBullet"/>
      </w:pPr>
      <w:r>
        <w:t>Logistic Regression used max_iter=5000 and random_state=42.</w:t>
      </w:r>
    </w:p>
    <w:p>
      <w:pPr>
        <w:pStyle w:val="ListBullet"/>
      </w:pPr>
      <w:r>
        <w:t>Evaluation used accuracy, precision, recall, F1-score, ROC-AUC, and the confusion matrix.</w:t>
      </w:r>
    </w:p>
    <w:p>
      <w:pPr>
        <w:jc w:val="center"/>
      </w:pPr>
      <w:r>
        <w:drawing>
          <wp:inline xmlns:a="http://schemas.openxmlformats.org/drawingml/2006/main" xmlns:pic="http://schemas.openxmlformats.org/drawingml/2006/picture">
            <wp:extent cx="5212080" cy="4467497"/>
            <wp:docPr id="10" name="Picture 10"/>
            <wp:cNvGraphicFramePr>
              <a:graphicFrameLocks noChangeAspect="1"/>
            </wp:cNvGraphicFramePr>
            <a:graphic>
              <a:graphicData uri="http://schemas.openxmlformats.org/drawingml/2006/picture">
                <pic:pic>
                  <pic:nvPicPr>
                    <pic:cNvPr id="0" name="01_confusion_matrix.png"/>
                    <pic:cNvPicPr/>
                  </pic:nvPicPr>
                  <pic:blipFill>
                    <a:blip r:embed="rId18"/>
                    <a:stretch>
                      <a:fillRect/>
                    </a:stretch>
                  </pic:blipFill>
                  <pic:spPr>
                    <a:xfrm>
                      <a:off x="0" y="0"/>
                      <a:ext cx="5212080" cy="4467497"/>
                    </a:xfrm>
                    <a:prstGeom prst="rect"/>
                  </pic:spPr>
                </pic:pic>
              </a:graphicData>
            </a:graphic>
          </wp:inline>
        </w:drawing>
      </w:r>
    </w:p>
    <w:p>
      <w:pPr>
        <w:jc w:val="center"/>
      </w:pPr>
      <w:r>
        <w:rPr>
          <w:i/>
          <w:sz w:val="18"/>
        </w:rPr>
        <w:t>Figure 10. Confusion matrix for the held-out Week 4 test set: 41 true negatives, 1 false positive, 1 false negative, and 71 true positives.</w:t>
      </w:r>
    </w:p>
    <w:p>
      <w:pPr>
        <w:jc w:val="center"/>
      </w:pPr>
      <w:r>
        <w:drawing>
          <wp:inline xmlns:a="http://schemas.openxmlformats.org/drawingml/2006/main" xmlns:pic="http://schemas.openxmlformats.org/drawingml/2006/picture">
            <wp:extent cx="5394960" cy="4046220"/>
            <wp:docPr id="11" name="Picture 11"/>
            <wp:cNvGraphicFramePr>
              <a:graphicFrameLocks noChangeAspect="1"/>
            </wp:cNvGraphicFramePr>
            <a:graphic>
              <a:graphicData uri="http://schemas.openxmlformats.org/drawingml/2006/picture">
                <pic:pic>
                  <pic:nvPicPr>
                    <pic:cNvPr id="0" name="02_roc_curve.png"/>
                    <pic:cNvPicPr/>
                  </pic:nvPicPr>
                  <pic:blipFill>
                    <a:blip r:embed="rId19"/>
                    <a:stretch>
                      <a:fillRect/>
                    </a:stretch>
                  </pic:blipFill>
                  <pic:spPr>
                    <a:xfrm>
                      <a:off x="0" y="0"/>
                      <a:ext cx="5394960" cy="4046220"/>
                    </a:xfrm>
                    <a:prstGeom prst="rect"/>
                  </pic:spPr>
                </pic:pic>
              </a:graphicData>
            </a:graphic>
          </wp:inline>
        </w:drawing>
      </w:r>
    </w:p>
    <w:p>
      <w:pPr>
        <w:jc w:val="center"/>
      </w:pPr>
      <w:r>
        <w:rPr>
          <w:i/>
          <w:sz w:val="18"/>
        </w:rPr>
        <w:t>Figure 11. ROC curve. The ROC-AUC of approximately 0.995 indicates excellent ranking performance on this test split.</w:t>
      </w:r>
    </w:p>
    <w:p>
      <w:pPr>
        <w:jc w:val="center"/>
      </w:pPr>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03_metric_comparison.png"/>
                    <pic:cNvPicPr/>
                  </pic:nvPicPr>
                  <pic:blipFill>
                    <a:blip r:embed="rId20"/>
                    <a:stretch>
                      <a:fillRect/>
                    </a:stretch>
                  </pic:blipFill>
                  <pic:spPr>
                    <a:xfrm>
                      <a:off x="0" y="0"/>
                      <a:ext cx="5486400" cy="3657600"/>
                    </a:xfrm>
                    <a:prstGeom prst="rect"/>
                  </pic:spPr>
                </pic:pic>
              </a:graphicData>
            </a:graphic>
          </wp:inline>
        </w:drawing>
      </w:r>
    </w:p>
    <w:p>
      <w:pPr>
        <w:jc w:val="center"/>
      </w:pPr>
      <w:r>
        <w:rPr>
          <w:i/>
          <w:sz w:val="18"/>
        </w:rPr>
        <w:t>Figure 12. Comparison of classification metrics. Performance is consistently high across accuracy, precision, recall, and F1.</w:t>
      </w:r>
    </w:p>
    <w:p>
      <w:pPr>
        <w:jc w:val="center"/>
      </w:pPr>
      <w:r>
        <w:drawing>
          <wp:inline xmlns:a="http://schemas.openxmlformats.org/drawingml/2006/main" xmlns:pic="http://schemas.openxmlformats.org/drawingml/2006/picture">
            <wp:extent cx="5577840" cy="4338320"/>
            <wp:docPr id="13" name="Picture 13"/>
            <wp:cNvGraphicFramePr>
              <a:graphicFrameLocks noChangeAspect="1"/>
            </wp:cNvGraphicFramePr>
            <a:graphic>
              <a:graphicData uri="http://schemas.openxmlformats.org/drawingml/2006/picture">
                <pic:pic>
                  <pic:nvPicPr>
                    <pic:cNvPr id="0" name="04_feature_coefficients.png"/>
                    <pic:cNvPicPr/>
                  </pic:nvPicPr>
                  <pic:blipFill>
                    <a:blip r:embed="rId21"/>
                    <a:stretch>
                      <a:fillRect/>
                    </a:stretch>
                  </pic:blipFill>
                  <pic:spPr>
                    <a:xfrm>
                      <a:off x="0" y="0"/>
                      <a:ext cx="5577840" cy="4338320"/>
                    </a:xfrm>
                    <a:prstGeom prst="rect"/>
                  </pic:spPr>
                </pic:pic>
              </a:graphicData>
            </a:graphic>
          </wp:inline>
        </w:drawing>
      </w:r>
    </w:p>
    <w:p>
      <w:pPr>
        <w:jc w:val="center"/>
      </w:pPr>
      <w:r>
        <w:rPr>
          <w:i/>
          <w:sz w:val="18"/>
        </w:rPr>
        <w:t>Figure 13. Logistic Regression feature coefficients. Coefficient magnitude provides an interpretable view of the model's linear decision structure.</w:t>
      </w:r>
    </w:p>
    <w:p>
      <w:pPr>
        <w:pStyle w:val="Heading2"/>
      </w:pPr>
      <w:r>
        <w:t>9.2 Model Results</w:t>
      </w:r>
    </w:p>
    <w:tbl>
      <w:tblPr>
        <w:tblStyle w:val="TableGrid"/>
        <w:tblW w:type="auto" w:w="0"/>
        <w:tblLook w:firstColumn="1" w:firstRow="1" w:lastColumn="0" w:lastRow="0" w:noHBand="0" w:noVBand="1" w:val="04A0"/>
      </w:tblPr>
      <w:tblGrid>
        <w:gridCol w:w="5040"/>
        <w:gridCol w:w="5040"/>
      </w:tblGrid>
      <w:tr>
        <w:tc>
          <w:tcPr>
            <w:tcW w:type="dxa" w:w="5040"/>
            <w:vAlign w:val="center"/>
            <w:shd w:fill="EAD1DC"/>
          </w:tcPr>
          <w:p>
            <w:r/>
            <w:r>
              <w:rPr>
                <w:b/>
                <w:sz w:val="18"/>
              </w:rPr>
              <w:t>Metric</w:t>
            </w:r>
          </w:p>
        </w:tc>
        <w:tc>
          <w:tcPr>
            <w:tcW w:type="dxa" w:w="5040"/>
            <w:vAlign w:val="center"/>
            <w:shd w:fill="EAD1DC"/>
          </w:tcPr>
          <w:p>
            <w:r/>
            <w:r>
              <w:rPr>
                <w:b/>
                <w:sz w:val="18"/>
              </w:rPr>
              <w:t>Test Result</w:t>
            </w:r>
          </w:p>
        </w:tc>
      </w:tr>
      <w:tr>
        <w:tc>
          <w:tcPr>
            <w:tcW w:type="dxa" w:w="5040"/>
            <w:vAlign w:val="center"/>
          </w:tcPr>
          <w:p>
            <w:r/>
            <w:r>
              <w:rPr>
                <w:b w:val="0"/>
                <w:sz w:val="18"/>
              </w:rPr>
              <w:t>Accuracy</w:t>
            </w:r>
          </w:p>
        </w:tc>
        <w:tc>
          <w:tcPr>
            <w:tcW w:type="dxa" w:w="5040"/>
            <w:vAlign w:val="center"/>
          </w:tcPr>
          <w:p>
            <w:r/>
            <w:r>
              <w:rPr>
                <w:b w:val="0"/>
                <w:sz w:val="18"/>
              </w:rPr>
              <w:t>98.25%</w:t>
            </w:r>
          </w:p>
        </w:tc>
      </w:tr>
      <w:tr>
        <w:tc>
          <w:tcPr>
            <w:tcW w:type="dxa" w:w="5040"/>
            <w:vAlign w:val="center"/>
          </w:tcPr>
          <w:p>
            <w:r/>
            <w:r>
              <w:rPr>
                <w:b w:val="0"/>
                <w:sz w:val="18"/>
              </w:rPr>
              <w:t>Precision</w:t>
            </w:r>
          </w:p>
        </w:tc>
        <w:tc>
          <w:tcPr>
            <w:tcW w:type="dxa" w:w="5040"/>
            <w:vAlign w:val="center"/>
          </w:tcPr>
          <w:p>
            <w:r/>
            <w:r>
              <w:rPr>
                <w:b w:val="0"/>
                <w:sz w:val="18"/>
              </w:rPr>
              <w:t>98.61%</w:t>
            </w:r>
          </w:p>
        </w:tc>
      </w:tr>
      <w:tr>
        <w:tc>
          <w:tcPr>
            <w:tcW w:type="dxa" w:w="5040"/>
            <w:vAlign w:val="center"/>
          </w:tcPr>
          <w:p>
            <w:r/>
            <w:r>
              <w:rPr>
                <w:b w:val="0"/>
                <w:sz w:val="18"/>
              </w:rPr>
              <w:t>Recall</w:t>
            </w:r>
          </w:p>
        </w:tc>
        <w:tc>
          <w:tcPr>
            <w:tcW w:type="dxa" w:w="5040"/>
            <w:vAlign w:val="center"/>
          </w:tcPr>
          <w:p>
            <w:r/>
            <w:r>
              <w:rPr>
                <w:b w:val="0"/>
                <w:sz w:val="18"/>
              </w:rPr>
              <w:t>98.61%</w:t>
            </w:r>
          </w:p>
        </w:tc>
      </w:tr>
      <w:tr>
        <w:tc>
          <w:tcPr>
            <w:tcW w:type="dxa" w:w="5040"/>
            <w:vAlign w:val="center"/>
          </w:tcPr>
          <w:p>
            <w:r/>
            <w:r>
              <w:rPr>
                <w:b w:val="0"/>
                <w:sz w:val="18"/>
              </w:rPr>
              <w:t>F1-score</w:t>
            </w:r>
          </w:p>
        </w:tc>
        <w:tc>
          <w:tcPr>
            <w:tcW w:type="dxa" w:w="5040"/>
            <w:vAlign w:val="center"/>
          </w:tcPr>
          <w:p>
            <w:r/>
            <w:r>
              <w:rPr>
                <w:b w:val="0"/>
                <w:sz w:val="18"/>
              </w:rPr>
              <w:t>98.61%</w:t>
            </w:r>
          </w:p>
        </w:tc>
      </w:tr>
      <w:tr>
        <w:tc>
          <w:tcPr>
            <w:tcW w:type="dxa" w:w="5040"/>
            <w:vAlign w:val="center"/>
          </w:tcPr>
          <w:p>
            <w:r/>
            <w:r>
              <w:rPr>
                <w:b w:val="0"/>
                <w:sz w:val="18"/>
              </w:rPr>
              <w:t>ROC-AUC</w:t>
            </w:r>
          </w:p>
        </w:tc>
        <w:tc>
          <w:tcPr>
            <w:tcW w:type="dxa" w:w="5040"/>
            <w:vAlign w:val="center"/>
          </w:tcPr>
          <w:p>
            <w:r/>
            <w:r>
              <w:rPr>
                <w:b w:val="0"/>
                <w:sz w:val="18"/>
              </w:rPr>
              <w:t>0.995</w:t>
            </w:r>
          </w:p>
        </w:tc>
      </w:tr>
      <w:tr>
        <w:tc>
          <w:tcPr>
            <w:tcW w:type="dxa" w:w="5040"/>
            <w:vAlign w:val="center"/>
          </w:tcPr>
          <w:p>
            <w:r/>
            <w:r>
              <w:rPr>
                <w:b w:val="0"/>
                <w:sz w:val="18"/>
              </w:rPr>
              <w:t>Errors</w:t>
            </w:r>
          </w:p>
        </w:tc>
        <w:tc>
          <w:tcPr>
            <w:tcW w:type="dxa" w:w="5040"/>
            <w:vAlign w:val="center"/>
          </w:tcPr>
          <w:p>
            <w:r/>
            <w:r>
              <w:rPr>
                <w:b w:val="0"/>
                <w:sz w:val="18"/>
              </w:rPr>
              <w:t>2 of 114</w:t>
            </w:r>
          </w:p>
        </w:tc>
      </w:tr>
    </w:tbl>
    <w:p>
      <w:pPr>
        <w:pStyle w:val="Heading2"/>
      </w:pPr>
      <w:r>
        <w:t>9.3 Error Analysis</w:t>
      </w:r>
    </w:p>
    <w:p>
      <w:r>
        <w:t>The confusion matrix shows one false negative and one false positive. For applications where missing a positive case is especially costly, the false-negative rate deserves specific attention even when overall accuracy is very high. Threshold adjustment, probability calibration, class-weighting, and cost-sensitive evaluation can be explored when the consequences of errors are asymmetric.</w:t>
      </w:r>
    </w:p>
    <w:p>
      <w:r>
        <w:t>The model result is a strong baseline rather than a final production system. A single train/test split can produce optimistic or pessimistic estimates, and performance on a benchmark dataset does not establish generalization to future or external populations.</w:t>
      </w:r>
    </w:p>
    <w:p>
      <w:pPr>
        <w:pStyle w:val="Heading1"/>
      </w:pPr>
      <w:r>
        <w:t>10. Integrated Findings</w:t>
      </w:r>
    </w:p>
    <w:p>
      <w:r>
        <w:t>When the four weeks are considered together, several higher-level insights emerge.</w:t>
      </w:r>
    </w:p>
    <w:p>
      <w:pPr>
        <w:pStyle w:val="ListBullet"/>
      </w:pPr>
      <w:r>
        <w:t>Data quality is a prerequisite for valid insight. Cleaning decisions directly influence downstream comparisons and model inputs.</w:t>
      </w:r>
    </w:p>
    <w:p>
      <w:pPr>
        <w:pStyle w:val="ListBullet"/>
      </w:pPr>
      <w:r>
        <w:t>Subgroup analysis is more informative than relying on overall averages. Sex and class reveal strong heterogeneity in Titanic survival.</w:t>
      </w:r>
    </w:p>
    <w:p>
      <w:pPr>
        <w:pStyle w:val="ListBullet"/>
      </w:pPr>
      <w:r>
        <w:t>Visual evidence and statistical evidence reinforce each other: the large observed sex difference was not only visible in charts but also strongly supported by formal tests.</w:t>
      </w:r>
    </w:p>
    <w:p>
      <w:pPr>
        <w:pStyle w:val="ListBullet"/>
      </w:pPr>
      <w:r>
        <w:t>Predictive modeling answers a different question from hypothesis testing. Statistical inference asks whether an association is supported under a defined null model; machine learning asks how well a model can predict outcomes on unseen data.</w:t>
      </w:r>
    </w:p>
    <w:p>
      <w:pPr>
        <w:pStyle w:val="ListBullet"/>
      </w:pPr>
      <w:r>
        <w:t>High model performance does not remove the need for error analysis, external validation, fairness review, or domain-specific cost considerations.</w:t>
      </w:r>
    </w:p>
    <w:p>
      <w:pPr>
        <w:pStyle w:val="ListBullet"/>
      </w:pPr>
      <w:r>
        <w:t>Strategic recommendations should be based on the consistency of evidence across multiple methods rather than a single metric.</w:t>
      </w:r>
    </w:p>
    <w:p>
      <w:pPr>
        <w:pStyle w:val="Heading1"/>
      </w:pPr>
      <w:r>
        <w:t>11. Strategic Analysis and Recommendations</w:t>
      </w:r>
    </w:p>
    <w:p>
      <w:r>
        <w:t>The recommendations below are framed as transferable data-science practices. They are intentionally broader than Titanic-specific historical decisions because the dataset is an educational benchmark rather than a current operational system.</w:t>
      </w:r>
    </w:p>
    <w:p>
      <w:pPr>
        <w:pStyle w:val="Heading2"/>
      </w:pPr>
      <w:r>
        <w:t>1. Establish a Data Quality Gate</w:t>
      </w:r>
    </w:p>
    <w:p>
      <w:r>
        <w:t>Recommendation: Before any dashboard, statistical test, or model is released, require checks for missingness, duplicates, invalid ranges, inconsistent categories, and unexpected distributions.</w:t>
      </w:r>
    </w:p>
    <w:p>
      <w:r>
        <w:t>Strategic impact: Reduces avoidable analytical errors and improves stakeholder confidence.</w:t>
      </w:r>
    </w:p>
    <w:p>
      <w:r>
        <w:t>Implementation: Automate validation checks and record exceptions in a data-quality log.</w:t>
      </w:r>
    </w:p>
    <w:p>
      <w:pPr>
        <w:pStyle w:val="Heading2"/>
      </w:pPr>
      <w:r>
        <w:t>2. Make Subgroup Analysis a Standard Requirement</w:t>
      </w:r>
    </w:p>
    <w:p>
      <w:r>
        <w:t>Recommendation: Report important outcomes across meaningful groups rather than publishing only overall averages.</w:t>
      </w:r>
    </w:p>
    <w:p>
      <w:r>
        <w:t>Strategic impact: Surfaces heterogeneity that can be hidden by aggregation and supports more equitable decisions.</w:t>
      </w:r>
    </w:p>
    <w:p>
      <w:r>
        <w:t>Implementation: Define a minimum subgroup reporting checklist for every major analysis.</w:t>
      </w:r>
    </w:p>
    <w:p>
      <w:pPr>
        <w:pStyle w:val="Heading2"/>
      </w:pPr>
      <w:r>
        <w:t>3. Match Metrics to Decision Costs</w:t>
      </w:r>
    </w:p>
    <w:p>
      <w:r>
        <w:t>Recommendation: Do not select a model using accuracy alone. Evaluate precision, recall, F1, ROC-AUC and, where possible, the actual cost of false positives and false negatives.</w:t>
      </w:r>
    </w:p>
    <w:p>
      <w:r>
        <w:t>Strategic impact: Aligns technical performance with operational consequences.</w:t>
      </w:r>
    </w:p>
    <w:p>
      <w:r>
        <w:t>Implementation: Create a cost matrix with domain stakeholders before model deployment.</w:t>
      </w:r>
    </w:p>
    <w:p>
      <w:pPr>
        <w:pStyle w:val="Heading2"/>
      </w:pPr>
      <w:r>
        <w:t>4. Use Cross-Validation and External Validation</w:t>
      </w:r>
    </w:p>
    <w:p>
      <w:r>
        <w:t>Recommendation: Replace reliance on one holdout split with cross-validation during development and independent validation before production use.</w:t>
      </w:r>
    </w:p>
    <w:p>
      <w:r>
        <w:t>Strategic impact: Provides a more stable estimate of generalization and exposes dataset-specific behavior.</w:t>
      </w:r>
    </w:p>
    <w:p>
      <w:r>
        <w:t>Implementation: Adopt k-fold cross-validation and reserve an untouched external validation set.</w:t>
      </w:r>
    </w:p>
    <w:p>
      <w:pPr>
        <w:pStyle w:val="Heading2"/>
      </w:pPr>
      <w:r>
        <w:t>5. Preserve Explainability</w:t>
      </w:r>
    </w:p>
    <w:p>
      <w:r>
        <w:t>Recommendation: For high-impact decisions, pair predictive performance with interpretable evidence such as coefficients, feature importance, calibration, and error examples.</w:t>
      </w:r>
    </w:p>
    <w:p>
      <w:r>
        <w:t>Strategic impact: Makes model behavior easier to audit and challenge.</w:t>
      </w:r>
    </w:p>
    <w:p>
      <w:r>
        <w:t>Implementation: Maintain a model card documenting inputs, intended use, limitations, and known failure modes.</w:t>
      </w:r>
    </w:p>
    <w:p>
      <w:pPr>
        <w:pStyle w:val="Heading2"/>
      </w:pPr>
      <w:r>
        <w:t>6. Build a Reproducible Reporting Pipeline</w:t>
      </w:r>
    </w:p>
    <w:p>
      <w:r>
        <w:t>Recommendation: Keep code, data-processing logic, figures, metrics, and report generation organized so the analysis can be rerun.</w:t>
      </w:r>
    </w:p>
    <w:p>
      <w:r>
        <w:t>Strategic impact: Reduces manual errors and makes future updates faster.</w:t>
      </w:r>
    </w:p>
    <w:p>
      <w:r>
        <w:t>Implementation: Use a standard repository structure and versioned outputs.</w:t>
      </w:r>
    </w:p>
    <w:p>
      <w:pPr>
        <w:pStyle w:val="Heading1"/>
      </w:pPr>
      <w:r>
        <w:t>12. Business Impact / Research Outcomes</w:t>
      </w:r>
    </w:p>
    <w:p>
      <w:r>
        <w:t>Although the Titanic dataset is historical, the project demonstrates several outcomes that transfer to business and research settings.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CFE2F3"/>
          </w:tcPr>
          <w:p>
            <w:r/>
            <w:r>
              <w:rPr>
                <w:b/>
                <w:sz w:val="18"/>
              </w:rPr>
              <w:t>Area</w:t>
            </w:r>
          </w:p>
        </w:tc>
        <w:tc>
          <w:tcPr>
            <w:tcW w:type="dxa" w:w="3360"/>
            <w:vAlign w:val="center"/>
            <w:shd w:fill="CFE2F3"/>
          </w:tcPr>
          <w:p>
            <w:r/>
            <w:r>
              <w:rPr>
                <w:b/>
                <w:sz w:val="18"/>
              </w:rPr>
              <w:t>Outcome</w:t>
            </w:r>
          </w:p>
        </w:tc>
        <w:tc>
          <w:tcPr>
            <w:tcW w:type="dxa" w:w="3360"/>
            <w:vAlign w:val="center"/>
            <w:shd w:fill="CFE2F3"/>
          </w:tcPr>
          <w:p>
            <w:r/>
            <w:r>
              <w:rPr>
                <w:b/>
                <w:sz w:val="18"/>
              </w:rPr>
              <w:t>Potential Value</w:t>
            </w:r>
          </w:p>
        </w:tc>
      </w:tr>
      <w:tr>
        <w:tc>
          <w:tcPr>
            <w:tcW w:type="dxa" w:w="3360"/>
            <w:vAlign w:val="center"/>
          </w:tcPr>
          <w:p>
            <w:r/>
            <w:r>
              <w:rPr>
                <w:b w:val="0"/>
                <w:sz w:val="18"/>
              </w:rPr>
              <w:t>Data governance</w:t>
            </w:r>
          </w:p>
        </w:tc>
        <w:tc>
          <w:tcPr>
            <w:tcW w:type="dxa" w:w="3360"/>
            <w:vAlign w:val="center"/>
          </w:tcPr>
          <w:p>
            <w:r/>
            <w:r>
              <w:rPr>
                <w:b w:val="0"/>
                <w:sz w:val="18"/>
              </w:rPr>
              <w:t>A documented cleaning process creates a traceable chain from raw data to analysis-ready data.</w:t>
            </w:r>
          </w:p>
        </w:tc>
        <w:tc>
          <w:tcPr>
            <w:tcW w:type="dxa" w:w="3360"/>
            <w:vAlign w:val="center"/>
          </w:tcPr>
          <w:p>
            <w:r/>
            <w:r>
              <w:rPr>
                <w:b w:val="0"/>
                <w:sz w:val="18"/>
              </w:rPr>
              <w:t>Fewer downstream errors and clearer accountability.</w:t>
            </w:r>
          </w:p>
        </w:tc>
      </w:tr>
      <w:tr>
        <w:tc>
          <w:tcPr>
            <w:tcW w:type="dxa" w:w="3360"/>
            <w:vAlign w:val="center"/>
          </w:tcPr>
          <w:p>
            <w:r/>
            <w:r>
              <w:rPr>
                <w:b w:val="0"/>
                <w:sz w:val="18"/>
              </w:rPr>
              <w:t>Customer / population segmentation</w:t>
            </w:r>
          </w:p>
        </w:tc>
        <w:tc>
          <w:tcPr>
            <w:tcW w:type="dxa" w:w="3360"/>
            <w:vAlign w:val="center"/>
          </w:tcPr>
          <w:p>
            <w:r/>
            <w:r>
              <w:rPr>
                <w:b w:val="0"/>
                <w:sz w:val="18"/>
              </w:rPr>
              <w:t>Subgroup analysis identifies materially different outcomes across segments.</w:t>
            </w:r>
          </w:p>
        </w:tc>
        <w:tc>
          <w:tcPr>
            <w:tcW w:type="dxa" w:w="3360"/>
            <w:vAlign w:val="center"/>
          </w:tcPr>
          <w:p>
            <w:r/>
            <w:r>
              <w:rPr>
                <w:b w:val="0"/>
                <w:sz w:val="18"/>
              </w:rPr>
              <w:t>Better targeting of interventions and resource allocation.</w:t>
            </w:r>
          </w:p>
        </w:tc>
      </w:tr>
      <w:tr>
        <w:tc>
          <w:tcPr>
            <w:tcW w:type="dxa" w:w="3360"/>
            <w:vAlign w:val="center"/>
          </w:tcPr>
          <w:p>
            <w:r/>
            <w:r>
              <w:rPr>
                <w:b w:val="0"/>
                <w:sz w:val="18"/>
              </w:rPr>
              <w:t>Risk prediction</w:t>
            </w:r>
          </w:p>
        </w:tc>
        <w:tc>
          <w:tcPr>
            <w:tcW w:type="dxa" w:w="3360"/>
            <w:vAlign w:val="center"/>
          </w:tcPr>
          <w:p>
            <w:r/>
            <w:r>
              <w:rPr>
                <w:b w:val="0"/>
                <w:sz w:val="18"/>
              </w:rPr>
              <w:t>A validated classifier can prioritize cases for review when prediction is genuinely useful.</w:t>
            </w:r>
          </w:p>
        </w:tc>
        <w:tc>
          <w:tcPr>
            <w:tcW w:type="dxa" w:w="3360"/>
            <w:vAlign w:val="center"/>
          </w:tcPr>
          <w:p>
            <w:r/>
            <w:r>
              <w:rPr>
                <w:b w:val="0"/>
                <w:sz w:val="18"/>
              </w:rPr>
              <w:t>Potentially faster triage and more consistent screening.</w:t>
            </w:r>
          </w:p>
        </w:tc>
      </w:tr>
      <w:tr>
        <w:tc>
          <w:tcPr>
            <w:tcW w:type="dxa" w:w="3360"/>
            <w:vAlign w:val="center"/>
          </w:tcPr>
          <w:p>
            <w:r/>
            <w:r>
              <w:rPr>
                <w:b w:val="0"/>
                <w:sz w:val="18"/>
              </w:rPr>
              <w:t>Decision support</w:t>
            </w:r>
          </w:p>
        </w:tc>
        <w:tc>
          <w:tcPr>
            <w:tcW w:type="dxa" w:w="3360"/>
            <w:vAlign w:val="center"/>
          </w:tcPr>
          <w:p>
            <w:r/>
            <w:r>
              <w:rPr>
                <w:b w:val="0"/>
                <w:sz w:val="18"/>
              </w:rPr>
              <w:t>Confidence intervals and effect sizes communicate uncertainty instead of presenting point estimates alone.</w:t>
            </w:r>
          </w:p>
        </w:tc>
        <w:tc>
          <w:tcPr>
            <w:tcW w:type="dxa" w:w="3360"/>
            <w:vAlign w:val="center"/>
          </w:tcPr>
          <w:p>
            <w:r/>
            <w:r>
              <w:rPr>
                <w:b w:val="0"/>
                <w:sz w:val="18"/>
              </w:rPr>
              <w:t>More defensible management and research decisions.</w:t>
            </w:r>
          </w:p>
        </w:tc>
      </w:tr>
      <w:tr>
        <w:tc>
          <w:tcPr>
            <w:tcW w:type="dxa" w:w="3360"/>
            <w:vAlign w:val="center"/>
          </w:tcPr>
          <w:p>
            <w:r/>
            <w:r>
              <w:rPr>
                <w:b w:val="0"/>
                <w:sz w:val="18"/>
              </w:rPr>
              <w:t>Model monitoring</w:t>
            </w:r>
          </w:p>
        </w:tc>
        <w:tc>
          <w:tcPr>
            <w:tcW w:type="dxa" w:w="3360"/>
            <w:vAlign w:val="center"/>
          </w:tcPr>
          <w:p>
            <w:r/>
            <w:r>
              <w:rPr>
                <w:b w:val="0"/>
                <w:sz w:val="18"/>
              </w:rPr>
              <w:t>Confusion-matrix errors identify where a model fails.</w:t>
            </w:r>
          </w:p>
        </w:tc>
        <w:tc>
          <w:tcPr>
            <w:tcW w:type="dxa" w:w="3360"/>
            <w:vAlign w:val="center"/>
          </w:tcPr>
          <w:p>
            <w:r/>
            <w:r>
              <w:rPr>
                <w:b w:val="0"/>
                <w:sz w:val="18"/>
              </w:rPr>
              <w:t>Supports targeted retraining and threshold adjustments.</w:t>
            </w:r>
          </w:p>
        </w:tc>
      </w:tr>
      <w:tr>
        <w:tc>
          <w:tcPr>
            <w:tcW w:type="dxa" w:w="3360"/>
            <w:vAlign w:val="center"/>
          </w:tcPr>
          <w:p>
            <w:r/>
            <w:r>
              <w:rPr>
                <w:b w:val="0"/>
                <w:sz w:val="18"/>
              </w:rPr>
              <w:t>Research reproducibility</w:t>
            </w:r>
          </w:p>
        </w:tc>
        <w:tc>
          <w:tcPr>
            <w:tcW w:type="dxa" w:w="3360"/>
            <w:vAlign w:val="center"/>
          </w:tcPr>
          <w:p>
            <w:r/>
            <w:r>
              <w:rPr>
                <w:b w:val="0"/>
                <w:sz w:val="18"/>
              </w:rPr>
              <w:t>Code, figures, and documented assumptions make analyses repeatable.</w:t>
            </w:r>
          </w:p>
        </w:tc>
        <w:tc>
          <w:tcPr>
            <w:tcW w:type="dxa" w:w="3360"/>
            <w:vAlign w:val="center"/>
          </w:tcPr>
          <w:p>
            <w:r/>
            <w:r>
              <w:rPr>
                <w:b w:val="0"/>
                <w:sz w:val="18"/>
              </w:rPr>
              <w:t>Easier peer review, extension, and audit.</w:t>
            </w:r>
          </w:p>
        </w:tc>
      </w:tr>
    </w:tbl>
    <w:p>
      <w:pPr>
        <w:pStyle w:val="Heading1"/>
      </w:pPr>
      <w:r>
        <w:t>13. Risk, Ethics and Responsible Interpretation</w:t>
      </w:r>
    </w:p>
    <w:p>
      <w:r>
        <w:t>Responsible data science requires recognizing that strong statistical or predictive performance is not equivalent to ethical or causal validity.</w:t>
      </w:r>
    </w:p>
    <w:p>
      <w:pPr>
        <w:pStyle w:val="ListBullet"/>
      </w:pPr>
      <w:r>
        <w:t>Historical datasets can encode social conditions and institutional practices that should not automatically be treated as normative rules.</w:t>
      </w:r>
    </w:p>
    <w:p>
      <w:pPr>
        <w:pStyle w:val="ListBullet"/>
      </w:pPr>
      <w:r>
        <w:t>Protected or sensitive attributes require careful governance when used in real-world prediction. Association alone does not justify discriminatory decision rules.</w:t>
      </w:r>
    </w:p>
    <w:p>
      <w:pPr>
        <w:pStyle w:val="ListBullet"/>
      </w:pPr>
      <w:r>
        <w:t>Model thresholds should reflect the relative consequences of different error types.</w:t>
      </w:r>
    </w:p>
    <w:p>
      <w:pPr>
        <w:pStyle w:val="ListBullet"/>
      </w:pPr>
      <w:r>
        <w:t>Performance should be evaluated across relevant subgroups where legally and ethically appropriate.</w:t>
      </w:r>
    </w:p>
    <w:p>
      <w:pPr>
        <w:pStyle w:val="ListBullet"/>
      </w:pPr>
      <w:r>
        <w:t>Data provenance, consent, privacy, and permitted use must be established before applying the workflow to real personal data.</w:t>
      </w:r>
    </w:p>
    <w:p>
      <w:pPr>
        <w:pStyle w:val="ListBullet"/>
      </w:pPr>
      <w:r>
        <w:t>Predictions should support human decision-making where appropriate rather than being presented as unquestionable facts.</w:t>
      </w:r>
    </w:p>
    <w:p>
      <w:pPr>
        <w:pStyle w:val="ListBullet"/>
      </w:pPr>
      <w:r>
        <w:t>The Week 4 medical benchmark is educational and must not be used for clinical diagnosis or treatment.</w:t>
      </w:r>
    </w:p>
    <w:p>
      <w:pPr>
        <w:pStyle w:val="Heading1"/>
      </w:pPr>
      <w:r>
        <w:t>14. Limitations</w:t>
      </w:r>
    </w:p>
    <w:p>
      <w:pPr>
        <w:pStyle w:val="ListBullet"/>
      </w:pPr>
      <w:r>
        <w:t>The Titanic dataset is historical, relatively small, and not representative of modern populations or operational environments.</w:t>
      </w:r>
    </w:p>
    <w:p>
      <w:pPr>
        <w:pStyle w:val="ListBullet"/>
      </w:pPr>
      <w:r>
        <w:t>Observational data support association but do not establish causation.</w:t>
      </w:r>
    </w:p>
    <w:p>
      <w:pPr>
        <w:pStyle w:val="ListBullet"/>
      </w:pPr>
      <w:r>
        <w:t>Some variables, such as fare and class, may act as proxies for broader socioeconomic and institutional factors.</w:t>
      </w:r>
    </w:p>
    <w:p>
      <w:pPr>
        <w:pStyle w:val="ListBullet"/>
      </w:pPr>
      <w:r>
        <w:t>The Week 4 model was evaluated on one stratified holdout split, so its reported metrics contain sampling uncertainty.</w:t>
      </w:r>
    </w:p>
    <w:p>
      <w:pPr>
        <w:pStyle w:val="ListBullet"/>
      </w:pPr>
      <w:r>
        <w:t>No extensive hyperparameter search or model ensemble comparison was required for the baseline.</w:t>
      </w:r>
    </w:p>
    <w:p>
      <w:pPr>
        <w:pStyle w:val="ListBullet"/>
      </w:pPr>
      <w:r>
        <w:t>External validation and temporal validation were not performed.</w:t>
      </w:r>
    </w:p>
    <w:p>
      <w:pPr>
        <w:pStyle w:val="ListBullet"/>
      </w:pPr>
      <w:r>
        <w:t>Probability calibration, fairness metrics, and domain-specific error costs were not part of the baseline evaluation.</w:t>
      </w:r>
    </w:p>
    <w:p>
      <w:pPr>
        <w:pStyle w:val="ListBullet"/>
      </w:pPr>
      <w:r>
        <w:t>Preview figures from earlier project folders were generated under the project's documented reproducibility constraints; rerunning the associated scripts regenerates the analysis outputs.</w:t>
      </w:r>
    </w:p>
    <w:p>
      <w:pPr>
        <w:pStyle w:val="Heading1"/>
      </w:pPr>
      <w:r>
        <w:t>15. Future Improvement Roadmap</w:t>
      </w:r>
    </w:p>
    <w:tbl>
      <w:tblPr>
        <w:tblStyle w:val="TableGrid"/>
        <w:tblW w:type="auto" w:w="0"/>
        <w:tblLook w:firstColumn="1" w:firstRow="1" w:lastColumn="0" w:lastRow="0" w:noHBand="0" w:noVBand="1" w:val="04A0"/>
      </w:tblPr>
      <w:tblGrid>
        <w:gridCol w:w="5040"/>
        <w:gridCol w:w="5040"/>
      </w:tblGrid>
      <w:tr>
        <w:tc>
          <w:tcPr>
            <w:tcW w:type="dxa" w:w="5040"/>
            <w:vAlign w:val="center"/>
            <w:shd w:fill="D9D2E9"/>
          </w:tcPr>
          <w:p>
            <w:r/>
            <w:r>
              <w:rPr>
                <w:b/>
                <w:sz w:val="18"/>
              </w:rPr>
              <w:t>Phase</w:t>
            </w:r>
          </w:p>
        </w:tc>
        <w:tc>
          <w:tcPr>
            <w:tcW w:type="dxa" w:w="5040"/>
            <w:vAlign w:val="center"/>
            <w:shd w:fill="D9D2E9"/>
          </w:tcPr>
          <w:p>
            <w:r/>
            <w:r>
              <w:rPr>
                <w:b/>
                <w:sz w:val="18"/>
              </w:rPr>
              <w:t>Improvement</w:t>
            </w:r>
          </w:p>
        </w:tc>
      </w:tr>
      <w:tr>
        <w:tc>
          <w:tcPr>
            <w:tcW w:type="dxa" w:w="5040"/>
            <w:vAlign w:val="center"/>
          </w:tcPr>
          <w:p>
            <w:r/>
            <w:r>
              <w:rPr>
                <w:b w:val="0"/>
                <w:sz w:val="18"/>
              </w:rPr>
              <w:t>Phase 1 – Data</w:t>
            </w:r>
          </w:p>
        </w:tc>
        <w:tc>
          <w:tcPr>
            <w:tcW w:type="dxa" w:w="5040"/>
            <w:vAlign w:val="center"/>
          </w:tcPr>
          <w:p>
            <w:r/>
            <w:r>
              <w:rPr>
                <w:b w:val="0"/>
                <w:sz w:val="18"/>
              </w:rPr>
              <w:t>Add automated schema/range checks, richer provenance, missingness monitoring, and robust anomaly detection.</w:t>
            </w:r>
          </w:p>
        </w:tc>
      </w:tr>
      <w:tr>
        <w:tc>
          <w:tcPr>
            <w:tcW w:type="dxa" w:w="5040"/>
            <w:vAlign w:val="center"/>
          </w:tcPr>
          <w:p>
            <w:r/>
            <w:r>
              <w:rPr>
                <w:b w:val="0"/>
                <w:sz w:val="18"/>
              </w:rPr>
              <w:t>Phase 2 – Statistical</w:t>
            </w:r>
          </w:p>
        </w:tc>
        <w:tc>
          <w:tcPr>
            <w:tcW w:type="dxa" w:w="5040"/>
            <w:vAlign w:val="center"/>
          </w:tcPr>
          <w:p>
            <w:r/>
            <w:r>
              <w:rPr>
                <w:b w:val="0"/>
                <w:sz w:val="18"/>
              </w:rPr>
              <w:t>Add multivariable models, sensitivity analyses, bootstrap intervals, and explicit confounder assessment.</w:t>
            </w:r>
          </w:p>
        </w:tc>
      </w:tr>
      <w:tr>
        <w:tc>
          <w:tcPr>
            <w:tcW w:type="dxa" w:w="5040"/>
            <w:vAlign w:val="center"/>
          </w:tcPr>
          <w:p>
            <w:r/>
            <w:r>
              <w:rPr>
                <w:b w:val="0"/>
                <w:sz w:val="18"/>
              </w:rPr>
              <w:t>Phase 3 – ML</w:t>
            </w:r>
          </w:p>
        </w:tc>
        <w:tc>
          <w:tcPr>
            <w:tcW w:type="dxa" w:w="5040"/>
            <w:vAlign w:val="center"/>
          </w:tcPr>
          <w:p>
            <w:r/>
            <w:r>
              <w:rPr>
                <w:b w:val="0"/>
                <w:sz w:val="18"/>
              </w:rPr>
              <w:t>Use stratified k-fold cross-validation, hyperparameter tuning, regularization comparison, tree-based baselines, calibration, and threshold optimization.</w:t>
            </w:r>
          </w:p>
        </w:tc>
      </w:tr>
      <w:tr>
        <w:tc>
          <w:tcPr>
            <w:tcW w:type="dxa" w:w="5040"/>
            <w:vAlign w:val="center"/>
          </w:tcPr>
          <w:p>
            <w:r/>
            <w:r>
              <w:rPr>
                <w:b w:val="0"/>
                <w:sz w:val="18"/>
              </w:rPr>
              <w:t>Phase 4 – Validation</w:t>
            </w:r>
          </w:p>
        </w:tc>
        <w:tc>
          <w:tcPr>
            <w:tcW w:type="dxa" w:w="5040"/>
            <w:vAlign w:val="center"/>
          </w:tcPr>
          <w:p>
            <w:r/>
            <w:r>
              <w:rPr>
                <w:b w:val="0"/>
                <w:sz w:val="18"/>
              </w:rPr>
              <w:t>Test on an independent external dataset and, where relevant, evaluate temporal drift.</w:t>
            </w:r>
          </w:p>
        </w:tc>
      </w:tr>
      <w:tr>
        <w:tc>
          <w:tcPr>
            <w:tcW w:type="dxa" w:w="5040"/>
            <w:vAlign w:val="center"/>
          </w:tcPr>
          <w:p>
            <w:r/>
            <w:r>
              <w:rPr>
                <w:b w:val="0"/>
                <w:sz w:val="18"/>
              </w:rPr>
              <w:t>Phase 5 – Governance</w:t>
            </w:r>
          </w:p>
        </w:tc>
        <w:tc>
          <w:tcPr>
            <w:tcW w:type="dxa" w:w="5040"/>
            <w:vAlign w:val="center"/>
          </w:tcPr>
          <w:p>
            <w:r/>
            <w:r>
              <w:rPr>
                <w:b w:val="0"/>
                <w:sz w:val="18"/>
              </w:rPr>
              <w:t>Create model cards, data dictionaries, fairness review, approval criteria, and monitoring plans.</w:t>
            </w:r>
          </w:p>
        </w:tc>
      </w:tr>
      <w:tr>
        <w:tc>
          <w:tcPr>
            <w:tcW w:type="dxa" w:w="5040"/>
            <w:vAlign w:val="center"/>
          </w:tcPr>
          <w:p>
            <w:r/>
            <w:r>
              <w:rPr>
                <w:b w:val="0"/>
                <w:sz w:val="18"/>
              </w:rPr>
              <w:t>Phase 6 – Deployment</w:t>
            </w:r>
          </w:p>
        </w:tc>
        <w:tc>
          <w:tcPr>
            <w:tcW w:type="dxa" w:w="5040"/>
            <w:vAlign w:val="center"/>
          </w:tcPr>
          <w:p>
            <w:r/>
            <w:r>
              <w:rPr>
                <w:b w:val="0"/>
                <w:sz w:val="18"/>
              </w:rPr>
              <w:t>Package preprocessing and prediction consistently, log model versions, monitor drift and error rates, and establish retraining triggers.</w:t>
            </w:r>
          </w:p>
        </w:tc>
      </w:tr>
    </w:tbl>
    <w:p>
      <w:pPr>
        <w:pStyle w:val="Heading1"/>
      </w:pPr>
      <w:r>
        <w:t>16. Workload and Project Execution</w:t>
      </w:r>
    </w:p>
    <w:p>
      <w:r>
        <w:t>The requested workload for the final stage is 30–35 hours. A realistic allocation is shown below. The table emphasizes integration and documentation rather than simply producing additional charts.</w:t>
      </w:r>
    </w:p>
    <w:tbl>
      <w:tblPr>
        <w:tblStyle w:val="TableGrid"/>
        <w:tblW w:type="auto" w:w="0"/>
        <w:tblLook w:firstColumn="1" w:firstRow="1" w:lastColumn="0" w:lastRow="0" w:noHBand="0" w:noVBand="1" w:val="04A0"/>
      </w:tblPr>
      <w:tblGrid>
        <w:gridCol w:w="5040"/>
        <w:gridCol w:w="5040"/>
      </w:tblGrid>
      <w:tr>
        <w:tc>
          <w:tcPr>
            <w:tcW w:type="dxa" w:w="5040"/>
            <w:vAlign w:val="center"/>
            <w:shd w:fill="E2F0D9"/>
          </w:tcPr>
          <w:p>
            <w:r/>
            <w:r>
              <w:rPr>
                <w:b/>
                <w:sz w:val="18"/>
              </w:rPr>
              <w:t>Activity</w:t>
            </w:r>
          </w:p>
        </w:tc>
        <w:tc>
          <w:tcPr>
            <w:tcW w:type="dxa" w:w="5040"/>
            <w:vAlign w:val="center"/>
            <w:shd w:fill="E2F0D9"/>
          </w:tcPr>
          <w:p>
            <w:r/>
            <w:r>
              <w:rPr>
                <w:b/>
                <w:sz w:val="18"/>
              </w:rPr>
              <w:t>Planned Time</w:t>
            </w:r>
          </w:p>
        </w:tc>
      </w:tr>
      <w:tr>
        <w:tc>
          <w:tcPr>
            <w:tcW w:type="dxa" w:w="5040"/>
            <w:vAlign w:val="center"/>
          </w:tcPr>
          <w:p>
            <w:r/>
            <w:r>
              <w:rPr>
                <w:b w:val="0"/>
                <w:sz w:val="18"/>
              </w:rPr>
              <w:t>Project synthesis and review of Weeks 1–4</w:t>
            </w:r>
          </w:p>
        </w:tc>
        <w:tc>
          <w:tcPr>
            <w:tcW w:type="dxa" w:w="5040"/>
            <w:vAlign w:val="center"/>
          </w:tcPr>
          <w:p>
            <w:r/>
            <w:r>
              <w:rPr>
                <w:b w:val="0"/>
                <w:sz w:val="18"/>
              </w:rPr>
              <w:t>5 hours</w:t>
            </w:r>
          </w:p>
        </w:tc>
      </w:tr>
      <w:tr>
        <w:tc>
          <w:tcPr>
            <w:tcW w:type="dxa" w:w="5040"/>
            <w:vAlign w:val="center"/>
          </w:tcPr>
          <w:p>
            <w:r/>
            <w:r>
              <w:rPr>
                <w:b w:val="0"/>
                <w:sz w:val="18"/>
              </w:rPr>
              <w:t>Data and methodology consolidation</w:t>
            </w:r>
          </w:p>
        </w:tc>
        <w:tc>
          <w:tcPr>
            <w:tcW w:type="dxa" w:w="5040"/>
            <w:vAlign w:val="center"/>
          </w:tcPr>
          <w:p>
            <w:r/>
            <w:r>
              <w:rPr>
                <w:b w:val="0"/>
                <w:sz w:val="18"/>
              </w:rPr>
              <w:t>4 hours</w:t>
            </w:r>
          </w:p>
        </w:tc>
      </w:tr>
      <w:tr>
        <w:tc>
          <w:tcPr>
            <w:tcW w:type="dxa" w:w="5040"/>
            <w:vAlign w:val="center"/>
          </w:tcPr>
          <w:p>
            <w:r/>
            <w:r>
              <w:rPr>
                <w:b w:val="0"/>
                <w:sz w:val="18"/>
              </w:rPr>
              <w:t>Integrated visual and statistical interpretation</w:t>
            </w:r>
          </w:p>
        </w:tc>
        <w:tc>
          <w:tcPr>
            <w:tcW w:type="dxa" w:w="5040"/>
            <w:vAlign w:val="center"/>
          </w:tcPr>
          <w:p>
            <w:r/>
            <w:r>
              <w:rPr>
                <w:b w:val="0"/>
                <w:sz w:val="18"/>
              </w:rPr>
              <w:t>5 hours</w:t>
            </w:r>
          </w:p>
        </w:tc>
      </w:tr>
      <w:tr>
        <w:tc>
          <w:tcPr>
            <w:tcW w:type="dxa" w:w="5040"/>
            <w:vAlign w:val="center"/>
          </w:tcPr>
          <w:p>
            <w:r/>
            <w:r>
              <w:rPr>
                <w:b w:val="0"/>
                <w:sz w:val="18"/>
              </w:rPr>
              <w:t>Strategic analysis and recommendation development</w:t>
            </w:r>
          </w:p>
        </w:tc>
        <w:tc>
          <w:tcPr>
            <w:tcW w:type="dxa" w:w="5040"/>
            <w:vAlign w:val="center"/>
          </w:tcPr>
          <w:p>
            <w:r/>
            <w:r>
              <w:rPr>
                <w:b w:val="0"/>
                <w:sz w:val="18"/>
              </w:rPr>
              <w:t>5 hours</w:t>
            </w:r>
          </w:p>
        </w:tc>
      </w:tr>
      <w:tr>
        <w:tc>
          <w:tcPr>
            <w:tcW w:type="dxa" w:w="5040"/>
            <w:vAlign w:val="center"/>
          </w:tcPr>
          <w:p>
            <w:r/>
            <w:r>
              <w:rPr>
                <w:b w:val="0"/>
                <w:sz w:val="18"/>
              </w:rPr>
              <w:t>Report writing and code documentation</w:t>
            </w:r>
          </w:p>
        </w:tc>
        <w:tc>
          <w:tcPr>
            <w:tcW w:type="dxa" w:w="5040"/>
            <w:vAlign w:val="center"/>
          </w:tcPr>
          <w:p>
            <w:r/>
            <w:r>
              <w:rPr>
                <w:b w:val="0"/>
                <w:sz w:val="18"/>
              </w:rPr>
              <w:t>7 hours</w:t>
            </w:r>
          </w:p>
        </w:tc>
      </w:tr>
      <w:tr>
        <w:tc>
          <w:tcPr>
            <w:tcW w:type="dxa" w:w="5040"/>
            <w:vAlign w:val="center"/>
          </w:tcPr>
          <w:p>
            <w:r/>
            <w:r>
              <w:rPr>
                <w:b w:val="0"/>
                <w:sz w:val="18"/>
              </w:rPr>
              <w:t>Quality review, formatting, reproducibility checks</w:t>
            </w:r>
          </w:p>
        </w:tc>
        <w:tc>
          <w:tcPr>
            <w:tcW w:type="dxa" w:w="5040"/>
            <w:vAlign w:val="center"/>
          </w:tcPr>
          <w:p>
            <w:r/>
            <w:r>
              <w:rPr>
                <w:b w:val="0"/>
                <w:sz w:val="18"/>
              </w:rPr>
              <w:t>4 hours</w:t>
            </w:r>
          </w:p>
        </w:tc>
      </w:tr>
      <w:tr>
        <w:tc>
          <w:tcPr>
            <w:tcW w:type="dxa" w:w="5040"/>
            <w:vAlign w:val="center"/>
          </w:tcPr>
          <w:p>
            <w:r/>
            <w:r>
              <w:rPr>
                <w:b w:val="0"/>
                <w:sz w:val="18"/>
              </w:rPr>
              <w:t>Final packaging and submission checks</w:t>
            </w:r>
          </w:p>
        </w:tc>
        <w:tc>
          <w:tcPr>
            <w:tcW w:type="dxa" w:w="5040"/>
            <w:vAlign w:val="center"/>
          </w:tcPr>
          <w:p>
            <w:r/>
            <w:r>
              <w:rPr>
                <w:b w:val="0"/>
                <w:sz w:val="18"/>
              </w:rPr>
              <w:t>2 hours</w:t>
            </w:r>
          </w:p>
        </w:tc>
      </w:tr>
    </w:tbl>
    <w:p>
      <w:r>
        <w:t>Total planned workload: 32 hours. This falls within the prescribed 30–35 hour range.</w:t>
      </w:r>
    </w:p>
    <w:p>
      <w:pPr>
        <w:pStyle w:val="Heading1"/>
      </w:pPr>
      <w:r>
        <w:t>17. Reproducibility and Technical Documentation</w:t>
      </w:r>
    </w:p>
    <w:p>
      <w:r>
        <w:t>The project package is organized so that each weekly stage can be inspected independently while the final report provides the integrated narrative.</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week5_comprehensive_data_science_project/</w:t>
              <w:br/>
              <w:t>├── reports/</w:t>
              <w:br/>
              <w:t>│   └── Week5_Comprehensive_Data_Science_Project_Report.docx</w:t>
              <w:br/>
              <w:t>├── appendix/</w:t>
              <w:br/>
              <w:t>│   ├── week1/</w:t>
              <w:br/>
              <w:t>│   ├── week2/</w:t>
              <w:br/>
              <w:t>│   ├── week3/</w:t>
              <w:br/>
              <w:t>│   └── week4/</w:t>
              <w:br/>
              <w:t>└── REPORT_DESCRIPTION_300_WORDS.txt</w:t>
            </w:r>
          </w:p>
        </w:tc>
      </w:tr>
    </w:tbl>
    <w:p>
      <w:r>
        <w:t>The appendix contains copies of the prior weekly project folders, including source scripts, requirements files, reports, processed outputs, and figures where available. This makes the final submission auditable without requiring the reader to reconstruct the entire project from the narrative alone.</w:t>
      </w:r>
    </w:p>
    <w:p>
      <w:pPr>
        <w:pStyle w:val="Heading1"/>
      </w:pPr>
      <w:r>
        <w:t>18. Conclusion</w:t>
      </w:r>
    </w:p>
    <w:p>
      <w:r>
        <w:t>This project demonstrates a complete data science lifecycle: preparing data, discovering patterns, testing hypotheses, building a predictive model, evaluating errors, and translating evidence into strategic action. The strongest Titanic finding was the substantial association between sex and survival, supported by both visualization and formal statistical testing. The predictive stage showed that a carefully constructed baseline model can achieve excellent classification performance on a held-out benchmark dataset, while also demonstrating why accuracy alone is insufficient.</w:t>
      </w:r>
    </w:p>
    <w:p>
      <w:r>
        <w:t>The most important lesson from the integrated workflow is methodological rather than dataset-specific: reliable decisions come from connecting data quality, exploratory reasoning, statistical evidence, predictive validation, and stakeholder context. Future work should strengthen validation, quantify uncertainty more deeply, test robustness across populations, and formalize governance before any model is used in a high-impact setting.</w:t>
      </w:r>
    </w:p>
    <w:p>
      <w:pPr>
        <w:pStyle w:val="Heading1"/>
      </w:pPr>
      <w:r>
        <w:t>19. References and Supporting Materials</w:t>
      </w:r>
    </w:p>
    <w:p>
      <w:pPr>
        <w:pStyle w:val="ListBullet"/>
      </w:pPr>
      <w:r>
        <w:t>Python Software Foundation. Python documentation and standard library.</w:t>
      </w:r>
    </w:p>
    <w:p>
      <w:pPr>
        <w:pStyle w:val="ListBullet"/>
      </w:pPr>
      <w:r>
        <w:t>pandas documentation – data manipulation and analysis.</w:t>
      </w:r>
    </w:p>
    <w:p>
      <w:pPr>
        <w:pStyle w:val="ListBullet"/>
      </w:pPr>
      <w:r>
        <w:t>NumPy documentation – numerical computing.</w:t>
      </w:r>
    </w:p>
    <w:p>
      <w:pPr>
        <w:pStyle w:val="ListBullet"/>
      </w:pPr>
      <w:r>
        <w:t>Matplotlib documentation – visualization.</w:t>
      </w:r>
    </w:p>
    <w:p>
      <w:pPr>
        <w:pStyle w:val="ListBullet"/>
      </w:pPr>
      <w:r>
        <w:t>Seaborn documentation – statistical visualization.</w:t>
      </w:r>
    </w:p>
    <w:p>
      <w:pPr>
        <w:pStyle w:val="ListBullet"/>
      </w:pPr>
      <w:r>
        <w:t>SciPy documentation – statistical tests.</w:t>
      </w:r>
    </w:p>
    <w:p>
      <w:pPr>
        <w:pStyle w:val="ListBullet"/>
      </w:pPr>
      <w:r>
        <w:t>scikit-learn documentation – preprocessing, pipelines, logistic regression, and model evaluation.</w:t>
      </w:r>
    </w:p>
    <w:p>
      <w:pPr>
        <w:pStyle w:val="ListBullet"/>
      </w:pPr>
      <w:r>
        <w:t>Prior project reports: Week 1 Data Preparation, Week 2 Advanced Data Visualization and Storytelling, Week 3 Statistical Analysis and Hypothesis Testing, Week 4 Machine Learning Model Development and Evaluation.</w:t>
      </w:r>
    </w:p>
    <w:p>
      <w:pPr>
        <w:pStyle w:val="Heading1"/>
      </w:pPr>
      <w:r>
        <w:t>20. Appendix – Representative Code Snippets</w:t>
      </w:r>
    </w:p>
    <w:p>
      <w:pPr>
        <w:pStyle w:val="Heading2"/>
      </w:pPr>
      <w:r>
        <w:t>20.1 Week 1 – Cleaning</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 Example of subgroup-aware Age imputation</w:t>
              <w:br/>
              <w:t>df["Age"] = df["Age"].fillna(</w:t>
              <w:br/>
              <w:t xml:space="preserve">    df.groupby(["Pclass", "Sex"])["Age"].transform("median")</w:t>
              <w:br/>
              <w:t>)</w:t>
              <w:br/>
              <w:br/>
              <w:t># Example of categorical standardization</w:t>
              <w:br/>
              <w:t>df["Embarked"] = df["Embarked"].astype(str).str.strip().str.upper()</w:t>
            </w:r>
          </w:p>
        </w:tc>
      </w:tr>
    </w:tbl>
    <w:p>
      <w:pPr>
        <w:pStyle w:val="Heading2"/>
      </w:pPr>
      <w:r>
        <w:t>20.2 Week 2 – Visualization</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 Example: survival rate by sex and class</w:t>
              <w:br/>
              <w:t>summary = (</w:t>
              <w:br/>
              <w:t xml:space="preserve">    df.groupby(["Sex", "Pclass"])["Survived"]</w:t>
              <w:br/>
              <w:t xml:space="preserve">      .mean()</w:t>
              <w:br/>
              <w:t xml:space="preserve">      .reset_index()</w:t>
              <w:br/>
              <w:t>)</w:t>
              <w:br/>
              <w:br/>
              <w:t>sns.barplot(data=summary, x="Pclass", y="Survived", hue="Sex")</w:t>
              <w:br/>
              <w:t>plt.ylabel("Survival Rate")</w:t>
              <w:br/>
              <w:t>plt.title("Survival Rate by Sex and Passenger Class")</w:t>
            </w:r>
          </w:p>
        </w:tc>
      </w:tr>
    </w:tbl>
    <w:p>
      <w:pPr>
        <w:pStyle w:val="Heading2"/>
      </w:pPr>
      <w:r>
        <w:t>20.3 Week 3 – Hypothesis Test</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from scipy.stats import chi2_contingency</w:t>
              <w:br/>
              <w:br/>
              <w:t>table = pd.crosstab(df["Sex"], df["Survived"])</w:t>
              <w:br/>
              <w:t>chi2, p, dof, expected = chi2_contingency(table, correction=False)</w:t>
              <w:br/>
              <w:br/>
              <w:t>alpha = 0.05</w:t>
              <w:br/>
              <w:t>decision = "Reject H0" if p &lt; alpha else "Fail to reject H0"</w:t>
              <w:br/>
              <w:t>print(decision)</w:t>
            </w:r>
          </w:p>
        </w:tc>
      </w:tr>
    </w:tbl>
    <w:p>
      <w:pPr>
        <w:pStyle w:val="Heading2"/>
      </w:pPr>
      <w:r>
        <w:t>20.4 Week 4 – Leakage-Safe Modeling</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from sklearn.pipeline import Pipeline</w:t>
              <w:br/>
              <w:t>from sklearn.preprocessing import StandardScaler</w:t>
              <w:br/>
              <w:t>from sklearn.linear_model import LogisticRegression</w:t>
              <w:br/>
              <w:br/>
              <w:t>model = Pipeline([</w:t>
              <w:br/>
              <w:t xml:space="preserve">    ("scaler", StandardScaler()),</w:t>
              <w:br/>
              <w:t xml:space="preserve">    ("classifier", LogisticRegression(</w:t>
              <w:br/>
              <w:t xml:space="preserve">        max_iter=5000, random_state=42</w:t>
              <w:br/>
              <w:t xml:space="preserve">    ))</w:t>
              <w:br/>
              <w:t>])</w:t>
              <w:br/>
              <w:br/>
              <w:t>model.fit(X_train, y_train)</w:t>
              <w:br/>
              <w:t>pred = model.predict(X_test)</w:t>
              <w:br/>
              <w:t>prob = model.predict_proba(X_test)[:, 1]</w:t>
            </w:r>
          </w:p>
        </w:tc>
      </w:tr>
    </w:tbl>
    <w:p>
      <w:pPr>
        <w:pStyle w:val="Heading2"/>
      </w:pPr>
      <w:r>
        <w:t>20.5 Evaluation</w:t>
      </w:r>
    </w:p>
    <w:tbl>
      <w:tblPr>
        <w:tblW w:type="auto" w:w="0"/>
        <w:jc w:val="center"/>
        <w:tblLook w:firstColumn="1" w:firstRow="1" w:lastColumn="0" w:lastRow="0" w:noHBand="0" w:noVBand="1" w:val="04A0"/>
      </w:tblPr>
      <w:tblGrid>
        <w:gridCol w:w="10080"/>
      </w:tblGrid>
      <w:tr>
        <w:tc>
          <w:tcPr>
            <w:tcW w:type="dxa" w:w="10080"/>
            <w:shd w:fill="F2F2F2"/>
          </w:tcPr>
          <w:p>
            <w:r/>
            <w:r>
              <w:rPr>
                <w:rFonts w:ascii="Courier New" w:hAnsi="Courier New"/>
                <w:sz w:val="16"/>
              </w:rPr>
              <w:t>from sklearn.metrics import (</w:t>
              <w:br/>
              <w:t xml:space="preserve">    accuracy_score, precision_score, recall_score,</w:t>
              <w:br/>
              <w:t xml:space="preserve">    f1_score, roc_auc_score, confusion_matrix</w:t>
              <w:br/>
              <w:t>)</w:t>
              <w:br/>
              <w:br/>
              <w:t>metrics = {</w:t>
              <w:br/>
              <w:t xml:space="preserve">    "accuracy": accuracy_score(y_test, pred),</w:t>
              <w:br/>
              <w:t xml:space="preserve">    "precision": precision_score(y_test, pred),</w:t>
              <w:br/>
              <w:t xml:space="preserve">    "recall": recall_score(y_test, pred),</w:t>
              <w:br/>
              <w:t xml:space="preserve">    "f1": f1_score(y_test, pred),</w:t>
              <w:br/>
              <w:t xml:space="preserve">    "roc_auc": roc_auc_score(y_test, prob),</w:t>
              <w:br/>
              <w:t>}</w:t>
              <w:br/>
              <w:t>print(metrics)</w:t>
              <w:br/>
              <w:t>print(confusion_matrix(y_test, pred))</w:t>
            </w:r>
          </w:p>
        </w:tc>
      </w:tr>
    </w:tbl>
    <w:p>
      <w:pPr>
        <w:pStyle w:val="Heading1"/>
      </w:pPr>
      <w:r>
        <w:t>Submission Note</w:t>
      </w:r>
    </w:p>
    <w:p>
      <w:r>
        <w:t>This document is designed as the final integrated report for Week 5. It combines the major findings from Weeks 1–4, includes visual evidence, documents representative code, translates results into strategic recommendations, and explicitly addresses limitations, responsible interpretation, future work, and the requested 30–35 hour workload.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