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Five Star Business Finance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EMI Bounce Prediction Model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Code and Data Documentation</w:t>
      </w:r>
    </w:p>
    <w:p>
      <w:pPr>
        <w:pBdr>
          <w:bottom w:val="single" w:color="1F4E79" w:sz="6" w:space="1"/>
        </w:pBdr>
        <w:jc w:val="center"/>
      </w:pP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for: Five Star Business Finance Limited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Bureau Data Source: CRIF (Base Plus PR with Score)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As-of Date: September 2025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provides a comprehensive technical walkthrough of the EMI Bounce Prediction modelling pipeline built for Five Star Business Finance Limited. The objective of this project is to predict whether a loan’s EMI (Equated Monthly Installment) will bounce in a given month, enabling proactive collections strategy and portfolio risk management.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pipeline ingests three primary data sources: Five Star’s internal loan and customer data, payment/bounce transaction records, and CRIF bureau credit data. These are processed through a series of six sequential steps — from raw data consolidation through feature engineering to final model training — producing seven XGBoost-based scorecard models that cover different data availability scenarios.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key architectural decision is the dual-model strategy: loans with sufficient payment history are scored using behavioural (bounce) features combined with bureau data, while new loans without payment history (the cold-start problem) are scored using bureau-only features. This ensures every active loan in the portfolio receives a risk score regardless of its lifecycle stage.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Overview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Objective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Build a monthly EMI bounce prediction model at the loan level. For each loan and each calendar month, the model outputs a probability that the loan’s next scheduled EMI payment will bounce (i.e., the borrower will fail to pay within 7 days of the communicated installment date).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Target Variable Definition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binary target variable (target_bounce) is defined as follows: a value of 1 indicates the borrower did not make a successful payment within T+7 days of the communicated installment date for that month, and a value of 0 indicates payment was received within the T+7 window. The Paid_till_T_plus_7 flag from the corrected bounce data is used as the basis for this definition.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Observation Window and Grain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modelling dataset is constructed at the loan-month grain: one row per loan per calendar month for the year 2025. Bureau features are computed with an as-of date of September 2025. Bounce history features are computed using rolling windows (30, 60, 90, 180, and 270 days) looking backward from each as-of month.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Train / Test / OOT Split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 is split temporally to ensure realistic evaluation. Months January through October 2025 form the train/test pool, which is further split 80/20 for training and testing. Months November and December 2025 are held out as Out-of-Time (OOT) validation, simulating future unseen months.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Pipeline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end-to-end pipeline consists of six sequential steps, each producing an intermediate or final artefact. The table below summarises each step, its inputs, outputs, and purpose.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20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 / 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Creation
(02_Master_Data_Creation)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five_star_customer_details_masked.csv
FS_loan_details_masked.csv
payment_bounce_data.parquet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master_payment_level.parquet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Merges customer, loan, and payment bounce data into a single master dataset at payment level grain.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 Bounce Data
(Manual correction by Mausmi)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bounce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payment_bounce_data_masked_corrected.csv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 bounce flags and loan identifiers from the data team.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Master Data Creation
(08_Bureau_Master_Data_Creation)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CRIF Bureau Files:
Account.csv, Summary.csv, IOI.csv, Inquiry.csv, Demog.csv
(Set 1 + Set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bureau_master_account_level.parquet
bureau_master_account_level.csv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Unifies 5 CRIF bureau data files across 2 sets into a single bureau master at the account (trade-line) level.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 Creation
(10_master_loan_12_target_variables)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payment_bounce_data_masked_corrected.csv
mapper_df.csv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model_df_12_target_payment_level.parquet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rolling bounce features (30/60/90/180/270 day windows) and binary target variable for each loan-month.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Feature Engineering
(10_master_loan_12_target_variables)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bureau_master_account_level.parquet
model_df_12_target_payment_level.parquet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model_df_final.parquet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Engineers bureau-based features (DPD history, loan mix, inquiry counts) and merges with bounce features.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 and Scoring
(10_master_loan_12_target_variables)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model_df_final.parquet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model .pkl files
7 feature_cols .pkl files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Trains XGBoost scorecard models for three strategies: bounce+bureau, bureau-only, and bounce-only.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 Sources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Five Star Internal Data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Customer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five_star_customer_details_masked.csv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 customer demographics and KYC data linked to loan applications.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ID, customer identifiers, demographic attributes</w:t>
            </w:r>
          </w:p>
        </w:tc>
      </w:tr>
    </w:tbl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Loan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FS_loan_details_masked.csv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Loan-level attributes including origination date, loan amount, tenure, and product type.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 loan ID, loan number, origination date, loan amount</w:t>
            </w:r>
          </w:p>
        </w:tc>
      </w:tr>
    </w:tbl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Payment / Bounce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payment_bounce_data_masked_corrected.csv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 EMI payment transaction records with bounce flags. Each row represents one loan-month payment event.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 loan ID, communicated installment date, transaction date, bounce_flag, Paid_till_T_plus_7, year, month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CRIF Bureau Data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Bureau data is sourced from CRIF (Base Plus PR with Score product) and is delivered in two sets of five pipe-delimited CSV files. The as-of date for the bureau pull is September 2025. The data covers all applicant types: Primary (O01), Co-Applicant (O02), and Guarantor (O03).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Bureau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00"/>
        <w:gridCol w:w="2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LOS-APP-ID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scores (PERFORM-CNS-SCORE) and portfolio summary metrics per applicant.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LOS-APP-ID, PERFORM-CNS-SCORE, SCORE-DESCRIPTION, total accounts, overdue counts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trade line per applicant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bureau trade line (loan) data from other lenders. Contains DPD history strings, balances, and account status.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LOS-APP-ID, ACCT-TYPE, ACCOUNT-STATUS, DPD history, DISBURSED-AMT, CURRENT-BALANCE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IOI.csv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inquiry per applicant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of credit inquiries made by other lenders for the applicant.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LOS-APP-ID, INQUIRY-DATE, CREDIT-GRANTOR, PURPOSE, AMOUNT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Inquiry.csv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LOS-APP-ID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 information from the bureau inquiry record (DOB, gender, state).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LOS-APP-ID, DOB, GENDER, STATE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demographic element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 demographic element records (addresses, phone numbers, IDs). Only ELEMENT-TYPE counts are used (no PII values).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LOS-APP-ID, ELEMENT-TYPE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Mapper Data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mapper_df.csv provides the linkage between Five Star’s internal loan_number and the masked_loan_id used in the payment data, along with loan_origination_date. This mapper is essential for joining bureau data (keyed on loan_number via LOS-APP-ID) with the bounce/target data (keyed on masked_loan_id).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Notebook Descriptions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Notebook 02: Master Data Creation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notebook merges the three core Five Star internal datasets — customer details, loan details, and payment bounce records — into a unified master dataset at the payment level. The output (master_payment_level.parquet) forms the backbone of all downstream processing. It also produces the mapper_df.csv file used to link loan_number with masked_loan_id.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Notebook 08: Bureau Master Data Creation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the most data-intensive notebook, processing approximately 25 GB of raw CRIF bureau files. It loads, cleans, and joins all five bureau file types across both sets into a single bureau master at the LOS-APP-ID by trade-line grain.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Key processing steps include: loading pipe-delimited files with BOM encoding handling; converting Indian comma-format numbers (e.g., 3,00,000 to 300000); chunked processing for the large Account files (500K rows per chunk); parsing DPD history strings to extract maximum DPD values over various time windows; aggregating IOI inquiry data with recency calculations relative to the September 2025 as-of date; extracting demographic features (age, gender) from the Inquiry file; and pivoting Demog element-type counts without exposing PII values.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final master join uses Account data as the base (trade-line level), with left joins to IOI aggregates, Inquiry demographics, and Demog pivots at the LOS-APP-ID level. The output is saved as both Parquet and CSV.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Notebook 10: Target Variables, Feature Engineering, and Modelling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the core modelling notebook, covering target variable creation, feature engineering, model training, and evaluation. It is divided into several logical sections.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Variable Construction: </w:t>
      </w:r>
      <w:r>
        <w:rPr>
          <w:rFonts w:ascii="Arial" w:cs="Arial" w:eastAsia="Arial" w:hAnsi="Arial"/>
          <w:sz w:val="22"/>
          <w:szCs w:val="22"/>
        </w:rPr>
        <w:t xml:space="preserve">For each loan and each month in 2025, the notebook computes the target_bounce flag based on whether payment was made within T+7 days of the communicated installment date. Leakage checks confirm that the communicated installment date falls on the 5th of each month, and that the T+7 window does not spill into the next month (max day + 7 = 12, which is safely within the same month).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Bounce History Features: </w:t>
      </w:r>
      <w:r>
        <w:rPr>
          <w:rFonts w:ascii="Arial" w:cs="Arial" w:eastAsia="Arial" w:hAnsi="Arial"/>
          <w:sz w:val="22"/>
          <w:szCs w:val="22"/>
        </w:rPr>
        <w:t xml:space="preserve">Rolling window features are computed for each loan at each as-of month: bounces_last_30d, bounces_last_60d, bounces_last_90d, bounces_last_180d, and bounces_last_270d. These count the number of bounced EMIs in the respective lookback windows. A leakage check confirms that no current-month data leaks into the historical window.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Bureau Feature Engineering: </w:t>
      </w:r>
      <w:r>
        <w:rPr>
          <w:rFonts w:ascii="Arial" w:cs="Arial" w:eastAsia="Arial" w:hAnsi="Arial"/>
          <w:sz w:val="22"/>
          <w:szCs w:val="22"/>
        </w:rPr>
        <w:t xml:space="preserve">Bureau features are engineered from the bureau master data, filtered to Primary Applicant (O01) records. Features are computed across multiple dimensions: DPD history (ever had 1–30, 30–90, 90+ DPD in 12m/24m windows), broken down by loan type (all, secured, unsecured); percentage of account-months with various DPD levels; loan mix counts (secured vs unsecured, active vs closed); and inquiry-based features (count and recency of credit inquiries).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Cold-Start Discovery: </w:t>
      </w:r>
      <w:r>
        <w:rPr>
          <w:rFonts w:ascii="Arial" w:cs="Arial" w:eastAsia="Arial" w:hAnsi="Arial"/>
          <w:sz w:val="22"/>
          <w:szCs w:val="22"/>
        </w:rPr>
        <w:t xml:space="preserve">A critical finding during development was that the bounce-only model achieves near-random performance (AUC ~0.52) on loans with no prior payment history. This is because all rolling bounce features are zero for new loans, making the model unable to differentiate risk. This motivated the dual-model architecture where bureau-only features serve as the fallback for cold-start loans.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Feature Dictionary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Bounce History Features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Bounce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bounces_last_30d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bounced EMIs in the 30 days preceding the as-of date.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bounces_last_60d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bounced EMIs in the 60 days preceding the as-of date.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bounces_last_90d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bounced EMIs in the 90 days preceding the as-of date.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bounces_last_180d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bounced EMIs in the 180 days preceding the as-of date.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bounces_last_270d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bounced EMIs in the 270 days preceding the as-of date.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Bureau DPD Features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DPD Features (computed for all, secured, and unsecured loan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Pattern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ever_{dpd_range}_{window}_{type}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(0/1)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the applicant ever had a DPD in the specified range (1_30, 30_90, 90_above) within the time window (12m, 24m) across the loan type (all, secured, unsecured).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percent_{dpd_range}_{window}_{type}_Agg_month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(0–1)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account-months with DPD in the specified range within the time window across the loan type.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Bureau Loan Mix Features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Loan Mix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Pattern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collateral_loan_count_{window}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secured/collateral-backed loans within the time window (12m, 24m).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unsecured_loan_count_{window}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unsecured loans within the time window.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active_loan_count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currently active bureau trade lines.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closed_loan_count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closed bureau trade lines.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Bureau Inquiry Features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Inquiry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inq_count_6m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credit inquiries by other lenders in the last 6 months.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inq_count_12m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credit inquiries by other lenders in the last 12 months.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inq_total_amount_6m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inquired in the last 6 months.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inq_avg_amount_12m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inquiry amount in the last 12 months.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Trained Models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Seven XGBoost classifier models were trained, each targeting different data availability scenarios. All models are serialised as pickle (.pkl) files along with their corresponding feature column lists.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model_bounce_bureau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 history + Bureau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model for loans with payment history and bureau 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model_bureau_only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features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for new loans with no payment history (cold-start)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Bureau-based 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model_bounce_only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 history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using only past bounce behavior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Behavior-based 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model_bureau_primary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(Primary applicant)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features from primary applicant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applicant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model_bureau_coapp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(Co-applicant)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features from co-applicant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Co-applicant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model_bureau_combined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(Primary + Co-applicant)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bureau features from all applicants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risk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model_combined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features combined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feature set across all sources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model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Model Configuration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models use XGBoost (XGBClassifier) with the following base configuration: 100 estimators, maximum depth of 4, learning rate of 0.1, and scale_pos_weight calibrated to the class imbalance ratio in the training data.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Recommended Deployment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recommended routing logic for production scoring is as follows: for loans with 90 or more days of payment history, use model_bounce_bureau (or model_combined for the most comprehensive scoring); for loans with fewer than 90 days of history or new originations, use model_bureau_only (or model_bureau_combined for multi-applicant scoring). The has_history flag (derived from whether bounces_last_270d is greater than zero) can be used for this routing.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Deliverables and Folder Structure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Folder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Data/five_star_customer_details_masked.csv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 customer details (input)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Data/FS_loan_details_masked.csv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 loan details (input)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Data/payment_bounce_data_masked_corrected.csv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 bounce transaction data (input)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Data/CRIF_Glossary_baseplus_PR.xlsx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CRIF bureau field glossary reference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Data/bureau_data1/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CRIF bureau files (Set 1 and Set 2)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Data/bureau_master_account_level.parquet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bureau master data (intermediate output)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Data/mapper_df.csv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number to masked ID mapping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Data/mapping_identifier.csv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identifier mappings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Data/model_df_12_target_payment_level.parquet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 and bounce features dataset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Data/model_df_final.parquet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modelling dataset with all features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Data/models/model_*.pkl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Trained XGBoost model files (7 models)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Data/models/feature_cols_*.pkl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column lists for each model (7 files)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Notebooks/08_Bureau_Master_Data_Creation.ipynb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data processing notebook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Notebooks/10_master_loan_12_target_variables.ipynb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creation, feature engineering, and modelling notebook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Key Design Decisions and Notes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Grain: </w:t>
      </w:r>
      <w:r>
        <w:rPr>
          <w:rFonts w:ascii="Arial" w:cs="Arial" w:eastAsia="Arial" w:hAnsi="Arial"/>
          <w:sz w:val="22"/>
          <w:szCs w:val="22"/>
        </w:rPr>
        <w:t xml:space="preserve">The bureau master is at the LOS-APP-ID by trade-line level to preserve account-level detail. The modelling dataset aggregates this to loan-month level for prediction.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As-of Date: </w:t>
      </w:r>
      <w:r>
        <w:rPr>
          <w:rFonts w:ascii="Arial" w:cs="Arial" w:eastAsia="Arial" w:hAnsi="Arial"/>
          <w:sz w:val="22"/>
          <w:szCs w:val="22"/>
        </w:rPr>
        <w:t xml:space="preserve">Bureau features use a single as-of date of September 2025 for the entire portfolio. This is a point-in-time snapshot; for production, bureau data should be refreshed periodically.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Applicant Type Filtering: </w:t>
      </w:r>
      <w:r>
        <w:rPr>
          <w:rFonts w:ascii="Arial" w:cs="Arial" w:eastAsia="Arial" w:hAnsi="Arial"/>
          <w:sz w:val="22"/>
          <w:szCs w:val="22"/>
        </w:rPr>
        <w:t xml:space="preserve">Primary modelling uses O01 (Primary Applicant) bureau data only. Separate models are trained for co-applicant and combined applicant views.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Masking: </w:t>
      </w:r>
      <w:r>
        <w:rPr>
          <w:rFonts w:ascii="Arial" w:cs="Arial" w:eastAsia="Arial" w:hAnsi="Arial"/>
          <w:sz w:val="22"/>
          <w:szCs w:val="22"/>
        </w:rPr>
        <w:t xml:space="preserve">All customer and loan identifiers in the delivered data are masked for privacy. The mapper_df.csv links internal loan_numbers to masked_loan_ids.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Cold-Start Handling: </w:t>
      </w:r>
      <w:r>
        <w:rPr>
          <w:rFonts w:ascii="Arial" w:cs="Arial" w:eastAsia="Arial" w:hAnsi="Arial"/>
          <w:sz w:val="22"/>
          <w:szCs w:val="22"/>
        </w:rPr>
        <w:t xml:space="preserve">Loans without payment history receive a score of approximately 0.124 (the population average bounce rate) from the bounce model, effectively making it a coin flip. These loans must be routed to the bureau-only model for meaningful risk differentiation.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Indian Number Format: </w:t>
      </w:r>
      <w:r>
        <w:rPr>
          <w:rFonts w:ascii="Arial" w:cs="Arial" w:eastAsia="Arial" w:hAnsi="Arial"/>
          <w:sz w:val="22"/>
          <w:szCs w:val="22"/>
        </w:rPr>
        <w:t xml:space="preserve">CRIF bureau data uses Indian comma notation (e.g., 3,00,000 = 300,000). Custom parsing handles this throughout the pipeline.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Chunked Processing: </w:t>
      </w:r>
      <w:r>
        <w:rPr>
          <w:rFonts w:ascii="Arial" w:cs="Arial" w:eastAsia="Arial" w:hAnsi="Arial"/>
          <w:sz w:val="22"/>
          <w:szCs w:val="22"/>
        </w:rPr>
        <w:t xml:space="preserve">The Account.csv files (up to 7.7 GB per set) are processed in 500,000-row chunks to manage memory constraints.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Five Star — EMI Bounce Prediction Model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2026-03-25T09:40:55.298Z</dcterms:created>
  <dcterms:modified xsi:type="dcterms:W3CDTF">2026-03-25T09:40:55.299Z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