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44"/>
          <w:szCs w:val="44"/>
        </w:rPr>
        <w:t xml:space="preserve">TestZede</w:t>
      </w:r>
    </w:p>
    <w:p>
      <w:pPr>
        <w:spacing w:after="80"/>
        <w:jc w:val="center"/>
      </w:pPr>
      <w:r>
        <w:rPr>
          <w:b/>
          <w:bCs/>
          <w:sz w:val="32"/>
          <w:szCs w:val="32"/>
        </w:rPr>
        <w:t xml:space="preserve">Kullanım, Teslim ve Destek Sözleşmesi</w:t>
      </w:r>
    </w:p>
    <w:p>
      <w:pPr>
        <w:spacing w:after="280"/>
        <w:jc w:val="center"/>
      </w:pPr>
      <w:r>
        <w:rPr>
          <w:i/>
          <w:iCs/>
          <w:sz w:val="24"/>
          <w:szCs w:val="24"/>
        </w:rPr>
        <w:t xml:space="preserve">Reinforcement Learning ile Otomatik Test Case Hazırlama Yazılımı</w:t>
      </w:r>
    </w:p>
    <w:p>
      <w:pPr>
        <w:spacing w:after="100" w:before="0"/>
        <w:jc w:val="both"/>
      </w:pPr>
      <w:r>
        <w:t xml:space="preserve">İşbu sözleşme, aşağıda bilgileri yer alan taraflar arasında, TestZede yazılımının geliştirilmesi, teslimi, kullanımı ve desteği konusunda aşağıdaki şartlarla akdedilmiştir.</w:t>
      </w:r>
    </w:p>
    <w:p>
      <w:pPr>
        <w:spacing w:after="200" w:before="0"/>
      </w:pPr>
      <w:r>
        <w:rPr>
          <w:b/>
          <w:bCs/>
        </w:rPr>
        <w:t xml:space="preserve">Sözleşme Tarihi:</w:t>
      </w:r>
      <w:r>
        <w:t xml:space="preserve"> 19/10/2026   </w:t>
      </w:r>
      <w:r>
        <w:rPr>
          <w:b/>
          <w:bCs/>
        </w:rPr>
        <w:t xml:space="preserve">Sözleşme Sürümü:</w:t>
      </w:r>
      <w:r>
        <w:t xml:space="preserve"> 1.0</w:t>
      </w:r>
    </w:p>
    <w:p>
      <w:pPr>
        <w:pStyle w:val="Heading1"/>
      </w:pPr>
      <w:r>
        <w:t xml:space="preserve">1. TARAFLAR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rPr>
        <w:tc>
          <w:tcPr>
            <w:tcW w:type="dxa" w:w="19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top"/>
          </w:tcPr>
          <w:p>
            <w:pPr>
              <w:spacing w:after="0" w:before="0"/>
            </w:pPr>
          </w:p>
        </w:tc>
        <w:tc>
          <w:tcPr>
            <w:tcW w:type="dxa" w:w="3563"/>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MÜŞTERİ</w:t>
            </w:r>
          </w:p>
        </w:tc>
        <w:tc>
          <w:tcPr>
            <w:tcW w:type="dxa" w:w="3563"/>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EKİP</w:t>
            </w:r>
          </w:p>
        </w:tc>
      </w:tr>
      <w:tr>
        <w:trPr>
          <w:cantSplit/>
        </w:trPr>
        <w:tc>
          <w:tcPr>
            <w:tcW w:type="dxa" w:w="19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Adı / Unvanı</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TestZede Proje Ekibi</w:t>
            </w:r>
          </w:p>
        </w:tc>
      </w:tr>
      <w:tr>
        <w:trPr>
          <w:cantSplit/>
        </w:trPr>
        <w:tc>
          <w:tcPr>
            <w:tcW w:type="dxa" w:w="19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Yetkili(ler)</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Burak Arıkan, Emre Alma, Enes Öztürk</w:t>
            </w:r>
          </w:p>
        </w:tc>
      </w:tr>
      <w:tr>
        <w:trPr>
          <w:cantSplit/>
        </w:trPr>
        <w:tc>
          <w:tcPr>
            <w:tcW w:type="dxa" w:w="19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Adres</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r>
      <w:tr>
        <w:trPr>
          <w:cantSplit/>
        </w:trPr>
        <w:tc>
          <w:tcPr>
            <w:tcW w:type="dxa" w:w="19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E-posta</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r>
      <w:tr>
        <w:trPr>
          <w:cantSplit/>
        </w:trPr>
        <w:tc>
          <w:tcPr>
            <w:tcW w:type="dxa" w:w="19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Telefon</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c>
          <w:tcPr>
            <w:tcW w:type="dxa" w:w="356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t>
            </w:r>
          </w:p>
        </w:tc>
      </w:tr>
    </w:tbl>
    <w:p>
      <w:pPr>
        <w:spacing w:after="100" w:before="120"/>
      </w:pPr>
      <w:r>
        <w:t xml:space="preserve">Bu sözleşmede taraflar sırasıyla “MÜŞTERİ” ve “EKİP” olarak anılacaktır.</w:t>
      </w:r>
    </w:p>
    <w:p>
      <w:pPr>
        <w:pStyle w:val="Heading1"/>
      </w:pPr>
      <w:r>
        <w:t xml:space="preserve">2. TANIMLAR</w:t>
      </w:r>
    </w:p>
    <w:p>
      <w:pPr>
        <w:spacing w:after="100" w:before="0"/>
        <w:jc w:val="both"/>
      </w:pPr>
      <w:r>
        <w:rPr>
          <w:b/>
          <w:bCs/>
        </w:rPr>
        <w:t xml:space="preserve">2.1. TestZede:</w:t>
      </w:r>
      <w:r>
        <w:t xml:space="preserve"> EKİP tarafından geliştirilen; Python kaynak kodu için çağrı grafiği, kod metrikleri, coverage ve mutasyon analizi yapan ve pekiştirmeli öğrenme (RL) ile otomatik unit test üreten masaüstü yazılımın adıdır. Sistemi oluşturan modül ve fonksiyonların listesi ve kapsamları EK-D dokümanında yer almaktadır. Test üretiminde büyük dil modeli (LLM) kullanılmaz; tüm test girdileri RL ajanının seçtiği stratejilerle üretilir.</w:t>
      </w:r>
    </w:p>
    <w:p>
      <w:pPr>
        <w:spacing w:after="100" w:before="0"/>
        <w:jc w:val="both"/>
      </w:pPr>
      <w:r>
        <w:rPr>
          <w:b/>
          <w:bCs/>
        </w:rPr>
        <w:t xml:space="preserve">2.2. Pekiştirmeli Öğrenme (RL):</w:t>
      </w:r>
      <w:r>
        <w:t xml:space="preserve"> TestZede’nin test girdilerini, ödül fonksiyonuna göre seçtiği girdi üretim stratejileriyle öğrenen Q-learning ajanıdır.</w:t>
      </w:r>
    </w:p>
    <w:p>
      <w:pPr>
        <w:spacing w:after="100" w:before="0"/>
        <w:jc w:val="both"/>
      </w:pPr>
      <w:r>
        <w:rPr>
          <w:b/>
          <w:bCs/>
        </w:rPr>
        <w:t xml:space="preserve">2.3. Kullanıcı Hikâyeleri:</w:t>
      </w:r>
      <w:r>
        <w:t xml:space="preserve"> Sözleşme kapsamında teslim edilecek işlevlerdir (US-1 … US-6). EK-D’de listelenmiştir.</w:t>
      </w:r>
    </w:p>
    <w:p>
      <w:pPr>
        <w:spacing w:after="100" w:before="0"/>
        <w:jc w:val="both"/>
      </w:pPr>
      <w:r>
        <w:rPr>
          <w:b/>
          <w:bCs/>
        </w:rPr>
        <w:t xml:space="preserve">2.4. Veri Setleri:</w:t>
      </w:r>
      <w:r>
        <w:t xml:space="preserve"> HumanEval, TestGenEval, TestGenEvalLite ve 67_Python_Code_Small veri setleridir.</w:t>
      </w:r>
    </w:p>
    <w:p>
      <w:pPr>
        <w:spacing w:after="100" w:before="0"/>
        <w:jc w:val="both"/>
      </w:pPr>
      <w:r>
        <w:rPr>
          <w:b/>
          <w:bCs/>
        </w:rPr>
        <w:t xml:space="preserve">2.5. Kurulum:</w:t>
      </w:r>
      <w:r>
        <w:t xml:space="preserve"> TestZede’nin ve bağımlılıklarının MÜŞTERİ’nin bilgisayarında çalışır hale getirilmesi işlemidir.</w:t>
      </w:r>
    </w:p>
    <w:p>
      <w:pPr>
        <w:spacing w:after="100" w:before="0"/>
        <w:jc w:val="both"/>
      </w:pPr>
      <w:r>
        <w:rPr>
          <w:b/>
          <w:bCs/>
        </w:rPr>
        <w:t xml:space="preserve">2.6. Veri Hazırlama:</w:t>
      </w:r>
      <w:r>
        <w:t xml:space="preserve"> Veri setlerinin indirilmesi, bütünlüğünün doğrulanması ve veri sızıntısına (data leakage) yol açmayacak şekilde geliştirme, ana deney ve dış test kümelerine ayrılması işlemidir.</w:t>
      </w:r>
    </w:p>
    <w:p>
      <w:pPr>
        <w:spacing w:after="100" w:before="0"/>
        <w:jc w:val="both"/>
      </w:pPr>
      <w:r>
        <w:rPr>
          <w:b/>
          <w:bCs/>
        </w:rPr>
        <w:t xml:space="preserve">2.7. Eğitim:</w:t>
      </w:r>
      <w:r>
        <w:t xml:space="preserve"> MÜŞTERİ’nin TestZede’yi hatasız ve etkin kullanabilmesi için çalışma biçiminin gösterilmesi ve kullanım dokümanlarının verilmesidir.</w:t>
      </w:r>
    </w:p>
    <w:p>
      <w:pPr>
        <w:spacing w:after="100" w:before="0"/>
        <w:jc w:val="both"/>
      </w:pPr>
      <w:r>
        <w:rPr>
          <w:b/>
          <w:bCs/>
        </w:rPr>
        <w:t xml:space="preserve">2.8. Kabul Testi:</w:t>
      </w:r>
      <w:r>
        <w:t xml:space="preserve"> MÜŞTERİ’nin EK-D’deki işlev ve ekranları çalıştırarak yaptığı doğrulama çalışmasıdır. Senaryolar STD (Software Test Documentation) dokümanında yer alır.</w:t>
      </w:r>
    </w:p>
    <w:p>
      <w:pPr>
        <w:pStyle w:val="Heading1"/>
      </w:pPr>
      <w:r>
        <w:t xml:space="preserve">3. KURULUM</w:t>
      </w:r>
    </w:p>
    <w:p>
      <w:pPr>
        <w:spacing w:after="100" w:before="0"/>
        <w:jc w:val="both"/>
      </w:pPr>
      <w:r>
        <w:rPr>
          <w:b/>
          <w:bCs/>
        </w:rPr>
        <w:t xml:space="preserve">3.1. TestZede’nin Teslimi:</w:t>
      </w:r>
      <w:r>
        <w:t xml:space="preserve"> EKİP, EK-D’de yer alan tüm işlevleri içeren TestZede’yi kaynak kodu ve sürüm etiketiyle (GitHub release) MÜŞTERİ’ye teslim etmekle mükelleftir.</w:t>
      </w:r>
    </w:p>
    <w:p>
      <w:pPr>
        <w:spacing w:after="100" w:before="0"/>
        <w:jc w:val="both"/>
      </w:pPr>
      <w:r>
        <w:rPr>
          <w:b/>
          <w:bCs/>
        </w:rPr>
        <w:t xml:space="preserve">3.2. Sistem İhtiyaçları:</w:t>
      </w:r>
      <w:r>
        <w:t xml:space="preserve"> TestZede’nin çalışması için gerekli donanım, işletim sistemi ve ek yazılımlar EK-A ve EK-B’de belirlenmiştir. EKİP’in önerdiği bu bileşenlerle TestZede, Windows ve macOS üzerinde aynı şekilde çalışacaktır.</w:t>
      </w:r>
    </w:p>
    <w:p>
      <w:pPr>
        <w:spacing w:after="100" w:before="0"/>
        <w:jc w:val="both"/>
      </w:pPr>
      <w:r>
        <w:rPr>
          <w:b/>
          <w:bCs/>
        </w:rPr>
        <w:t xml:space="preserve">3.3. Sistem Hazırlığı:</w:t>
      </w:r>
      <w:r>
        <w:t xml:space="preserve"> TestZede’nin çalışması için gerekli yapılanmanın (Python, Git, ağ erişimi) sağlanması MÜŞTERİ’ye aittir. EKİP bu sırada MÜŞTERİ’ye danışmanlık yapacaktır.</w:t>
      </w:r>
    </w:p>
    <w:p>
      <w:pPr>
        <w:spacing w:after="100" w:before="0"/>
        <w:jc w:val="both"/>
      </w:pPr>
      <w:r>
        <w:rPr>
          <w:b/>
          <w:bCs/>
        </w:rPr>
        <w:t xml:space="preserve">3.4. TestZede’nin Kurulumu:</w:t>
      </w:r>
      <w:r>
        <w:t xml:space="preserve"> Gerekli yapılanmanın sağlanmasından sonra TestZede, depodaki README dosyasında belirtilen adımlarla (sanal ortam oluşturma, bağımlılıkların kurulması) kurulur. Kurulum süresi 1 (bir) iş günüdür.</w:t>
      </w:r>
    </w:p>
    <w:p>
      <w:pPr>
        <w:spacing w:after="100" w:before="0"/>
        <w:jc w:val="both"/>
      </w:pPr>
      <w:r>
        <w:rPr>
          <w:b/>
          <w:bCs/>
        </w:rPr>
        <w:t xml:space="preserve">3.5. Kurulum ve Sonrasında Karşılaşılabilecek Sorunlar ve Çözümü:</w:t>
      </w:r>
      <w:r>
        <w:t xml:space="preserve"> TestZede’nin işlevselliği çalıştığı bilgisayarın ve ağın yapılanmasına bağlıdır. Bu yapılanmada oluşabilecek aksaklıklar sistemin işleyişinde sorun yaşanmasına neden olabilir.</w:t>
      </w:r>
    </w:p>
    <w:p>
      <w:pPr>
        <w:spacing w:after="100" w:before="0"/>
        <w:ind w:left="270"/>
      </w:pPr>
      <w:r>
        <w:rPr>
          <w:b/>
          <w:bCs/>
        </w:rPr>
        <w:t xml:space="preserve">3.5.1. Karşılaşılabilecek Sorunlar:</w:t>
      </w:r>
    </w:p>
    <w:p>
      <w:pPr>
        <w:spacing w:after="100" w:before="0"/>
        <w:ind w:left="540"/>
        <w:jc w:val="both"/>
      </w:pPr>
      <w:r>
        <w:rPr>
          <w:b/>
          <w:bCs/>
        </w:rPr>
        <w:t xml:space="preserve">3.5.1.1.</w:t>
      </w:r>
      <w:r>
        <w:t xml:space="preserve"> TestZede’nin çalıştığı bilgisayarda yaşanabilecek disk, bellek, işlemci vb. donanım arızaları.</w:t>
      </w:r>
    </w:p>
    <w:p>
      <w:pPr>
        <w:spacing w:after="100" w:before="0"/>
        <w:ind w:left="540"/>
        <w:jc w:val="both"/>
      </w:pPr>
      <w:r>
        <w:rPr>
          <w:b/>
          <w:bCs/>
        </w:rPr>
        <w:t xml:space="preserve">3.5.1.2.</w:t>
      </w:r>
      <w:r>
        <w:t xml:space="preserve"> İşletim sistemi ve Python sürümünden kaynaklanan uyumsuzluklar (örneğin desteklenmeyen bir Python sürümü).</w:t>
      </w:r>
    </w:p>
    <w:p>
      <w:pPr>
        <w:spacing w:after="100" w:before="0"/>
        <w:ind w:left="540"/>
        <w:jc w:val="both"/>
      </w:pPr>
      <w:r>
        <w:rPr>
          <w:b/>
          <w:bCs/>
        </w:rPr>
        <w:t xml:space="preserve">3.5.1.3.</w:t>
      </w:r>
      <w:r>
        <w:t xml:space="preserve"> Ağ erişiminde yaşanabilecek kopmalar ve bunun sonucunda veri setlerinin indirilememesi.</w:t>
      </w:r>
    </w:p>
    <w:p>
      <w:pPr>
        <w:spacing w:after="100" w:before="0"/>
        <w:ind w:left="540"/>
        <w:jc w:val="both"/>
      </w:pPr>
      <w:r>
        <w:rPr>
          <w:b/>
          <w:bCs/>
        </w:rPr>
        <w:t xml:space="preserve">3.5.1.4.</w:t>
      </w:r>
      <w:r>
        <w:t xml:space="preserve"> TestZede’nin kod yapısındaki yazılımcı, işleyiş ve mantık hataları veya öngörülemeyen boşluklar.</w:t>
      </w:r>
    </w:p>
    <w:p>
      <w:pPr>
        <w:spacing w:after="100" w:before="0"/>
        <w:ind w:left="270"/>
      </w:pPr>
      <w:r>
        <w:rPr>
          <w:b/>
          <w:bCs/>
        </w:rPr>
        <w:t xml:space="preserve">3.5.2. Sorunların Çözümü:</w:t>
      </w:r>
    </w:p>
    <w:p>
      <w:pPr>
        <w:spacing w:after="100" w:before="0"/>
        <w:ind w:left="540"/>
        <w:jc w:val="both"/>
      </w:pPr>
      <w:r>
        <w:rPr>
          <w:b/>
          <w:bCs/>
        </w:rPr>
        <w:t xml:space="preserve">3.5.2.1.</w:t>
      </w:r>
      <w:r>
        <w:t xml:space="preserve"> TestZede’nin kod yapısı ile ilgili sorunların giderilmesinden EKİP, TestZede’nin çalıştığı sistemsel yapının işlevselliğinden MÜŞTERİ birinci derecede sorumludur.</w:t>
      </w:r>
    </w:p>
    <w:p>
      <w:pPr>
        <w:spacing w:after="100" w:before="0"/>
        <w:ind w:left="540"/>
        <w:jc w:val="both"/>
      </w:pPr>
      <w:r>
        <w:rPr>
          <w:b/>
          <w:bCs/>
        </w:rPr>
        <w:t xml:space="preserve">3.5.2.2.</w:t>
      </w:r>
      <w:r>
        <w:t xml:space="preserve"> EKİP, TestZede’nin çalıştığı sistemin işlevselliğinin sağlanması ve sürdürülmesi konusunda MÜŞTERİ’ye danışmanlık yapacaktır.</w:t>
      </w:r>
    </w:p>
    <w:p>
      <w:pPr>
        <w:spacing w:after="100" w:before="0"/>
        <w:ind w:left="540"/>
        <w:jc w:val="both"/>
      </w:pPr>
      <w:r>
        <w:rPr>
          <w:b/>
          <w:bCs/>
        </w:rPr>
        <w:t xml:space="preserve">3.5.2.3.</w:t>
      </w:r>
      <w:r>
        <w:t xml:space="preserve"> EKİP, kurulum sırasında ve sonrasında MÜŞTERİ’nin sisteminde gördüğü eksikleri, hatalı işleyişleri ve riskleri MÜŞTERİ’ye yazılı olarak bildirecektir.</w:t>
      </w:r>
    </w:p>
    <w:p>
      <w:pPr>
        <w:spacing w:after="100" w:before="0"/>
        <w:ind w:left="270"/>
      </w:pPr>
      <w:r>
        <w:rPr>
          <w:b/>
          <w:bCs/>
        </w:rPr>
        <w:t xml:space="preserve">3.5.3. Çözümsüzlük Durumu:</w:t>
      </w:r>
    </w:p>
    <w:p>
      <w:pPr>
        <w:spacing w:after="100" w:before="0"/>
        <w:ind w:left="540"/>
        <w:jc w:val="both"/>
      </w:pPr>
      <w:r>
        <w:rPr>
          <w:b/>
          <w:bCs/>
        </w:rPr>
        <w:t xml:space="preserve">3.5.3.1.</w:t>
      </w:r>
      <w:r>
        <w:t xml:space="preserve"> MÜŞTERİ, EKİP’e aktif görev verdiği halde bir sorunda çözüm elde edemezse, EKİP sorunsuz çalıştığı belgelenmiş en son sürüm etiketini (release) MÜŞTERİ’ye yeniden teslim eder.</w:t>
      </w:r>
    </w:p>
    <w:p>
      <w:pPr>
        <w:pStyle w:val="Heading1"/>
      </w:pPr>
      <w:r>
        <w:t xml:space="preserve">4. VERİ SETLERİ</w:t>
      </w:r>
    </w:p>
    <w:p>
      <w:pPr>
        <w:spacing w:after="100" w:before="0"/>
        <w:jc w:val="both"/>
      </w:pPr>
      <w:r>
        <w:rPr>
          <w:b/>
          <w:bCs/>
        </w:rPr>
        <w:t xml:space="preserve">4.1. Veri Setlerinin Temini:</w:t>
      </w:r>
      <w:r>
        <w:t xml:space="preserve"> HumanEval, TestGenEval ve TestGenEvalLite, “testzede download” komutuyla Hugging Face üzerinden sabit bir sürümden indirilir ve SHA-256 özetiyle doğrulanır; bozuk ya da değişmiş dosya reddedilir. 67_Python_Code_Small, MÜŞTERİ (ders sorumlusu) tarafından EKİP’e verilir ve “data/raw/small67/” klasörüne konur.</w:t>
      </w:r>
    </w:p>
    <w:p>
      <w:pPr>
        <w:spacing w:after="100" w:before="0"/>
        <w:jc w:val="both"/>
      </w:pPr>
      <w:r>
        <w:rPr>
          <w:b/>
          <w:bCs/>
        </w:rPr>
        <w:t xml:space="preserve">4.2. Veri Doğruluğu:</w:t>
      </w:r>
      <w:r>
        <w:t xml:space="preserve"> Veri setlerinin içeriğinin doğruluğundan kaynaklarının sahipleri ve MÜŞTERİ; indirme, ayırma ve işleme işleminin doğru gerçekleştirilmesinden EKİP sorumludur. İşlenemeyen örnekler (örneğin sözdizimi hatalı olanlar) sessizce atılmaz, nedenleriyle birlikte raporlanır.</w:t>
      </w:r>
    </w:p>
    <w:p>
      <w:pPr>
        <w:spacing w:after="100" w:before="0"/>
        <w:jc w:val="both"/>
      </w:pPr>
      <w:r>
        <w:rPr>
          <w:b/>
          <w:bCs/>
        </w:rPr>
        <w:t xml:space="preserve">4.3. Veri Sızıntısının (Data Leakage) Önlenmesi:</w:t>
      </w:r>
      <w:r>
        <w:t xml:space="preserve"> Ödül fonksiyonunun ve RL’nin geliştirilmesi için TestGenEvalLite; ana deney için TestGenEval’den TestGenEvalLite örneklerinin çıkarılmasıyla kalan küme; bağımsız dış test için HumanEval ve 67_Python_Code_Small kullanılır. Ayrım örnek kimliği (instance_id) üzerinden yapılır; geliştirme kümesiyle birebir aynı kaynaklı birimler ana deneyden çıkarılır. Ayarlar dondurulduktan sonra ana deney ve dış test kümelerinde değiştirilmez. Her rapor, kullanılan ayrım dosyasının SHA-256 özetini taşır.</w:t>
      </w:r>
    </w:p>
    <w:p>
      <w:pPr>
        <w:spacing w:after="100" w:before="0"/>
        <w:jc w:val="both"/>
      </w:pPr>
      <w:r>
        <w:rPr>
          <w:b/>
          <w:bCs/>
        </w:rPr>
        <w:t xml:space="preserve">4.4. Veri Seti Lisansları:</w:t>
      </w:r>
      <w:r>
        <w:t xml:space="preserve"> HumanEval MIT lisanslıdır. TestGenEval ve TestGenEvalLite’ın kaynak sayfasında lisans belirtilmemiştir; bu veri setleri yalnızca ders kapsamında kullanılır, depoya eklenmez ve üçüncü kişilere dağıtılmaz.</w:t>
      </w:r>
    </w:p>
    <w:p>
      <w:pPr>
        <w:pStyle w:val="Heading1"/>
      </w:pPr>
      <w:r>
        <w:t xml:space="preserve">5. EĞİTİM</w:t>
      </w:r>
    </w:p>
    <w:p>
      <w:pPr>
        <w:spacing w:after="100" w:before="0"/>
        <w:jc w:val="both"/>
      </w:pPr>
      <w:r>
        <w:rPr>
          <w:b/>
          <w:bCs/>
        </w:rPr>
        <w:t xml:space="preserve">5.1. Kullanım Dokümanları:</w:t>
      </w:r>
      <w:r>
        <w:t xml:space="preserve"> Depodaki README dosyası ve STD dokümanı kullanım dokümanı niteliğindedir.</w:t>
      </w:r>
    </w:p>
    <w:p>
      <w:pPr>
        <w:spacing w:after="100" w:before="0"/>
        <w:jc w:val="both"/>
      </w:pPr>
      <w:r>
        <w:rPr>
          <w:b/>
          <w:bCs/>
        </w:rPr>
        <w:t xml:space="preserve">5.2. Kullanım Gösterimi:</w:t>
      </w:r>
      <w:r>
        <w:t xml:space="preserve"> EKİP, teslimden sonra MÜŞTERİ’ye en az bir oturumda uygulamanın tüm ekranlarını gösterecektir. Destek süresi içinde MÜŞTERİ yeni bir gösterime ihtiyaç duyarsa EKİP bunu ücretsiz yapmayı kabul ve taahhüt eder.</w:t>
      </w:r>
    </w:p>
    <w:p>
      <w:pPr>
        <w:spacing w:after="100" w:before="0"/>
        <w:jc w:val="both"/>
      </w:pPr>
      <w:r>
        <w:rPr>
          <w:b/>
          <w:bCs/>
        </w:rPr>
        <w:t xml:space="preserve">5.3. Eğitim Yeri:</w:t>
      </w:r>
      <w:r>
        <w:t xml:space="preserve"> Eğitim yeri MÜŞTERİ tarafından belirlenecek ve sağlanacaktır.</w:t>
      </w:r>
    </w:p>
    <w:p>
      <w:pPr>
        <w:spacing w:after="100" w:before="0"/>
        <w:jc w:val="both"/>
      </w:pPr>
      <w:r>
        <w:rPr>
          <w:b/>
          <w:bCs/>
        </w:rPr>
        <w:t xml:space="preserve">5.4. Eğitim Materyalleri:</w:t>
      </w:r>
      <w:r>
        <w:t xml:space="preserve"> Eğitim için hazırlanan dokümanlar (README.md, ARCHITECTURE.md ve docs klasörü) depoda yer alır.</w:t>
      </w:r>
    </w:p>
    <w:p>
      <w:pPr>
        <w:pStyle w:val="Heading1"/>
      </w:pPr>
      <w:r>
        <w:t xml:space="preserve">6. TESLİMAT</w:t>
      </w:r>
    </w:p>
    <w:p>
      <w:pPr>
        <w:spacing w:after="100" w:before="0"/>
        <w:jc w:val="both"/>
      </w:pPr>
      <w:r>
        <w:rPr>
          <w:b/>
          <w:bCs/>
        </w:rPr>
        <w:t xml:space="preserve">6.1. Ürün Teslimi:</w:t>
      </w:r>
      <w:r>
        <w:t xml:space="preserve"> EKİP, TestZede’nin tüm kullanıcı hikâyelerini içeren sürümünün tamamlandığını MÜŞTERİ’ye sözleşme tarihine müteakip 1 (bir) gün içinde yazılı olarak bildirecektir.</w:t>
      </w:r>
    </w:p>
    <w:p>
      <w:pPr>
        <w:spacing w:after="100" w:before="0"/>
        <w:jc w:val="both"/>
      </w:pPr>
      <w:r>
        <w:rPr>
          <w:b/>
          <w:bCs/>
        </w:rPr>
        <w:t xml:space="preserve">6.2.1. Ürün Testi:</w:t>
      </w:r>
      <w:r>
        <w:t xml:space="preserve"> Teslim bildirimi üzerine MÜŞTERİ, EK-D’de belirtilen tüm fonksiyon ve ekranları çalıştırıp test edecek ve onaylayacaktır. Testler STD dokümanındaki senaryolara göre yapılır.</w:t>
      </w:r>
    </w:p>
    <w:p>
      <w:pPr>
        <w:spacing w:after="100" w:before="0"/>
        <w:jc w:val="both"/>
      </w:pPr>
      <w:r>
        <w:rPr>
          <w:b/>
          <w:bCs/>
        </w:rPr>
        <w:t xml:space="preserve">6.2.2. Ürün Kabulü:</w:t>
      </w:r>
      <w:r>
        <w:t xml:space="preserve"> MÜŞTERİ’nin; Madde 3’te belirtilen kurulumun, Madde 4’te belirtilen veri hazırlığının, Madde 5’te belirtilen kullanım gösteriminin tamamlandığını ve Madde 6.2.1’de belirtilen şekliyle ekranların test işlemini onaylamasıyla ürün kabulü yapılır.</w:t>
      </w:r>
    </w:p>
    <w:p>
      <w:pPr>
        <w:spacing w:after="100" w:before="0"/>
        <w:jc w:val="both"/>
      </w:pPr>
      <w:r>
        <w:rPr>
          <w:b/>
          <w:bCs/>
        </w:rPr>
        <w:t xml:space="preserve">6.2.3. Kabul Testinde Bulunan Hatalar:</w:t>
      </w:r>
      <w:r>
        <w:t xml:space="preserve"> Kabul testi sırasında bulunan her hata için 3 (üç) puan, programı çökerten hatalar için 10 (on) puan alınan toplam puandan düşülür.</w:t>
      </w:r>
    </w:p>
    <w:p>
      <w:pPr>
        <w:spacing w:after="100" w:before="0"/>
        <w:jc w:val="both"/>
      </w:pPr>
      <w:r>
        <w:rPr>
          <w:b/>
          <w:bCs/>
        </w:rPr>
        <w:t xml:space="preserve">6.3. Kabul Süresi:</w:t>
      </w:r>
      <w:r>
        <w:t xml:space="preserve"> MÜŞTERİ, ürün teslimini yazılı bildirdikten sonraki 5 (beş) iş günü içinde testleri tamamlar. Kabul testi 26 Ekim 2026 tarihinde yapılır.</w:t>
      </w:r>
    </w:p>
    <w:p>
      <w:pPr>
        <w:pStyle w:val="Heading1"/>
      </w:pPr>
      <w:r>
        <w:t xml:space="preserve">7. DESTEK ve GÜVENLİK</w:t>
      </w:r>
    </w:p>
    <w:p>
      <w:pPr>
        <w:spacing w:after="100" w:before="0"/>
        <w:jc w:val="both"/>
      </w:pPr>
      <w:r>
        <w:rPr>
          <w:b/>
          <w:bCs/>
        </w:rPr>
        <w:t xml:space="preserve">7.1. Destek Süresi:</w:t>
      </w:r>
      <w:r>
        <w:t xml:space="preserve"> EKİP, TestZede’yi MÜŞTERİ’nin kabul onayından sonraki 3 (üç) ay süre ile ücretsiz destekleyecektir.</w:t>
      </w:r>
    </w:p>
    <w:p>
      <w:pPr>
        <w:spacing w:after="100" w:before="0"/>
        <w:jc w:val="both"/>
      </w:pPr>
      <w:r>
        <w:rPr>
          <w:b/>
          <w:bCs/>
        </w:rPr>
        <w:t xml:space="preserve">7.2. Destek Kapsamı:</w:t>
      </w:r>
      <w:r>
        <w:t xml:space="preserve"> Destek süresi içinde bildirilen yazılım hatalarının ve hatalı işleyişlerin en kısa süre zarfında düzeltilmesini kapsar.</w:t>
      </w:r>
    </w:p>
    <w:p>
      <w:pPr>
        <w:spacing w:after="100" w:before="0"/>
        <w:jc w:val="both"/>
      </w:pPr>
      <w:r>
        <w:rPr>
          <w:b/>
          <w:bCs/>
        </w:rPr>
        <w:t xml:space="preserve">7.3. Destek Şekli ve Zamanlama:</w:t>
      </w:r>
      <w:r>
        <w:t xml:space="preserve"> MÜŞTERİ hataları depo üzerinden (GitHub Issues) ya da e-posta ile bildirir. EKİP, bildirimi takip eden 2 (iki) iş günü içinde ilk müdahaleyi gerçekleştirecektir.</w:t>
      </w:r>
    </w:p>
    <w:p>
      <w:pPr>
        <w:spacing w:after="100" w:before="0"/>
        <w:jc w:val="both"/>
      </w:pPr>
      <w:r>
        <w:rPr>
          <w:b/>
          <w:bCs/>
        </w:rPr>
        <w:t xml:space="preserve">7.4. Güvenlik:</w:t>
      </w:r>
      <w:r>
        <w:t xml:space="preserve"> TestZede, test edilen kodu ana uygulamadan ayrı bir alt süreçte ve süre sınırıyla çalıştırır; sonsuz döngüye giren ya da çöken kod yalnızca ilgili testi hatalı ya da zaman aşımı olarak işaretler, uygulamayı düşürmez. Kullanıcı girdisinden kaynaklanan hatalar uygulamada anlaşılır bir mesaj olarak gösterilir. Bu alt süreç bir güvenlik izolasyonu (sandbox) değildir: dosya sistemi ve ağ erişimini kısıtlamaz. Bu nedenle MÜŞTERİ, güvenmediği kodu TestZede ile çalıştırmamakla yükümlüdür. Güvenlik yapılanması EK-C’de tanımlanmıştır.</w:t>
      </w:r>
    </w:p>
    <w:p>
      <w:pPr>
        <w:pStyle w:val="Heading1"/>
      </w:pPr>
      <w:r>
        <w:t xml:space="preserve">8. LİSANSLAMA</w:t>
      </w:r>
    </w:p>
    <w:p>
      <w:pPr>
        <w:spacing w:after="100" w:before="0"/>
        <w:jc w:val="both"/>
      </w:pPr>
      <w:r>
        <w:rPr>
          <w:b/>
          <w:bCs/>
        </w:rPr>
        <w:t xml:space="preserve">8.1.</w:t>
      </w:r>
      <w:r>
        <w:t xml:space="preserve"> EKİP, TestZede’nin geliştiricisidir ve fikri ve mülki haklarının sahibidir.</w:t>
      </w:r>
    </w:p>
    <w:p>
      <w:pPr>
        <w:spacing w:after="100" w:before="0"/>
        <w:jc w:val="both"/>
      </w:pPr>
      <w:r>
        <w:rPr>
          <w:b/>
          <w:bCs/>
        </w:rPr>
        <w:t xml:space="preserve">8.2.</w:t>
      </w:r>
      <w:r>
        <w:t xml:space="preserve"> MÜŞTERİ, sözleşme kapsamında TestZede’yi ders ve değerlendirme amacıyla kullanma hakkına sahiptir.</w:t>
      </w:r>
    </w:p>
    <w:p>
      <w:pPr>
        <w:spacing w:after="100" w:before="0"/>
        <w:jc w:val="both"/>
      </w:pPr>
      <w:r>
        <w:rPr>
          <w:b/>
          <w:bCs/>
        </w:rPr>
        <w:t xml:space="preserve">8.3.</w:t>
      </w:r>
      <w:r>
        <w:t xml:space="preserve"> MÜŞTERİ, EKİP’in yazılı onayı olmadan TestZede’yi değiştirerek dağıtamaz.</w:t>
      </w:r>
    </w:p>
    <w:p>
      <w:pPr>
        <w:spacing w:after="100" w:before="0"/>
        <w:jc w:val="both"/>
      </w:pPr>
      <w:r>
        <w:rPr>
          <w:b/>
          <w:bCs/>
        </w:rPr>
        <w:t xml:space="preserve">8.4.</w:t>
      </w:r>
      <w:r>
        <w:t xml:space="preserve"> TestZede kullanım hakları üçüncü şahıslara kullandırılamaz, kiralanamaz ve devredilemez.</w:t>
      </w:r>
    </w:p>
    <w:p>
      <w:pPr>
        <w:spacing w:after="100" w:before="0"/>
        <w:jc w:val="both"/>
      </w:pPr>
      <w:r>
        <w:rPr>
          <w:b/>
          <w:bCs/>
        </w:rPr>
        <w:t xml:space="preserve">8.5.</w:t>
      </w:r>
      <w:r>
        <w:t xml:space="preserve"> TestZede’nin kullandığı açık kaynak kütüphaneler (PySide6, matplotlib, networkx, scikit-learn vb.) kendi lisanslarına tabidir.</w:t>
      </w:r>
    </w:p>
    <w:p>
      <w:pPr>
        <w:pStyle w:val="Heading1"/>
      </w:pPr>
      <w:r>
        <w:t xml:space="preserve">9. GİZLİLİK</w:t>
      </w:r>
    </w:p>
    <w:p>
      <w:pPr>
        <w:spacing w:after="100" w:before="0"/>
        <w:jc w:val="both"/>
      </w:pPr>
      <w:r>
        <w:rPr>
          <w:b/>
          <w:bCs/>
        </w:rPr>
        <w:t xml:space="preserve">9.1.</w:t>
      </w:r>
      <w:r>
        <w:t xml:space="preserve"> Taraflar sözleşmenin devamı süresince, birbirleriyle ilgili öğrenecekleri bilgileri GİZLİ bilgi olarak kabul etmişlerdir. Gizli bilgiler, gerekçesi ne olursa olsun üçüncü kişilere açıklanamaz.</w:t>
      </w:r>
    </w:p>
    <w:p>
      <w:pPr>
        <w:spacing w:after="100" w:before="0"/>
        <w:jc w:val="both"/>
      </w:pPr>
      <w:r>
        <w:rPr>
          <w:b/>
          <w:bCs/>
        </w:rPr>
        <w:t xml:space="preserve">9.2.</w:t>
      </w:r>
      <w:r>
        <w:t xml:space="preserve"> Taraflar sözleşmenin devamı süresince ve sonrasında diğer tarafın yazılı onayı olmadıkça aşağıdaki gizli bilgileri gerekçesi ne olursa olsun üçüncü kişilere açıklayamaz, doğrudan ya da dolaylı bilgi aktaramaz:</w:t>
      </w:r>
    </w:p>
    <w:p>
      <w:pPr>
        <w:spacing w:after="100" w:before="0"/>
        <w:ind w:left="540"/>
        <w:jc w:val="both"/>
      </w:pPr>
      <w:r>
        <w:rPr>
          <w:b/>
          <w:bCs/>
        </w:rPr>
        <w:t xml:space="preserve">9.2.1.</w:t>
      </w:r>
      <w:r>
        <w:t xml:space="preserve"> EKİP’e ait ve alenileşmemiş tasarımlar, teknikler, iş akışları, yöntemler ve yazılımın kaynak kodları ile ilgili sırlar.</w:t>
      </w:r>
    </w:p>
    <w:p>
      <w:pPr>
        <w:spacing w:after="100" w:before="0"/>
        <w:ind w:left="540"/>
        <w:jc w:val="both"/>
      </w:pPr>
      <w:r>
        <w:rPr>
          <w:b/>
          <w:bCs/>
        </w:rPr>
        <w:t xml:space="preserve">9.2.2.</w:t>
      </w:r>
      <w:r>
        <w:t xml:space="preserve"> MÜŞTERİ’nin EKİP’e verdiği veri setleri (67_Python_Code_Small) ve MÜŞTERİ’ye ait diğer bilgiler.</w:t>
      </w:r>
    </w:p>
    <w:p>
      <w:pPr>
        <w:spacing w:after="100" w:before="0"/>
        <w:jc w:val="both"/>
      </w:pPr>
      <w:r>
        <w:rPr>
          <w:b/>
          <w:bCs/>
        </w:rPr>
        <w:t xml:space="preserve">9.3.</w:t>
      </w:r>
      <w:r>
        <w:t xml:space="preserve"> Taraflar sözleşmenin herhangi bir sebepten sona ermesi hallerinde dahi 3 (üç) yıl süre ile gizlilik hükmüne uymakla yükümlüdür.</w:t>
      </w:r>
    </w:p>
    <w:p>
      <w:pPr>
        <w:pStyle w:val="Heading1"/>
      </w:pPr>
      <w:r>
        <w:t xml:space="preserve">10. SÖZLEŞME BEDELİ VE ÖDEME</w:t>
      </w:r>
    </w:p>
    <w:p>
      <w:pPr>
        <w:spacing w:after="100" w:before="0"/>
        <w:jc w:val="both"/>
      </w:pPr>
      <w:r>
        <w:rPr>
          <w:b/>
          <w:bCs/>
        </w:rPr>
        <w:t xml:space="preserve">10.1.</w:t>
      </w:r>
      <w:r>
        <w:t xml:space="preserve"> Bu sözleşme bir ders projesi kapsamında hazırlanmıştır; taraflar arasında parasal bir bedel ve ödeme yoktur.</w:t>
      </w:r>
    </w:p>
    <w:p>
      <w:pPr>
        <w:spacing w:after="100" w:before="0"/>
        <w:jc w:val="both"/>
      </w:pPr>
      <w:r>
        <w:rPr>
          <w:b/>
          <w:bCs/>
        </w:rPr>
        <w:t xml:space="preserve">10.2.</w:t>
      </w:r>
      <w:r>
        <w:t xml:space="preserve"> Kurulum, kullanım gösterimi ve destek hizmetleri bedelsiz verilir.</w:t>
      </w:r>
    </w:p>
    <w:p>
      <w:pPr>
        <w:pStyle w:val="Heading1"/>
      </w:pPr>
      <w:r>
        <w:t xml:space="preserve">11. SÖZLEŞMENİN SONA ERMESİ</w:t>
      </w:r>
    </w:p>
    <w:p>
      <w:pPr>
        <w:spacing w:after="100" w:before="0"/>
        <w:jc w:val="both"/>
      </w:pPr>
      <w:r>
        <w:t xml:space="preserve">Bu sözleşmenin devam ettiği süre zarfında EKİP’in herhangi bir sebeple yazılım geliştirme ve destekleme faaliyetlerine devam edememesi durumunda, TestZede’ye ait tüm kaynak kodlarını ve kodla ilgili dokümantasyonu MÜŞTERİ’ye hiçbir ücret talep etmeden devretmeyi kabul ve taahhüt eder.</w:t>
      </w:r>
    </w:p>
    <w:p>
      <w:pPr>
        <w:pStyle w:val="Heading1"/>
      </w:pPr>
      <w:r>
        <w:t xml:space="preserve">12. TEBLİGAT</w:t>
      </w:r>
    </w:p>
    <w:p>
      <w:pPr>
        <w:spacing w:after="100" w:before="0"/>
        <w:jc w:val="both"/>
      </w:pPr>
      <w:r>
        <w:t xml:space="preserve">İşbu sözleşmenin uygulanması süresince tarafların bildirim ve tebligat için kullanacakları isim ve adresler sözleşmenin 1. maddesinde yer alan taraflar kısmında tanımlanmıştır. Tanımlanan adreslere tebligat ve teslimler, yetkili imza karşılığında elden, taahhütlü posta ile ya da elektronik posta ile yapılacaktır. Taraflar bu isim ve adreslerde vaki olacak değişiklikleri diğer tarafa yazılı olarak bildirmedikleri takdirde, eski adreslerine yapılacak tebligatların geçerli, usulüne uygun ve kendilerine yapılmış sayılacağını kabul, beyan ve taahhüt eder.</w:t>
      </w:r>
    </w:p>
    <w:p>
      <w:pPr>
        <w:pStyle w:val="Heading1"/>
      </w:pPr>
      <w:r>
        <w:t xml:space="preserve">13. UYUŞMAZLIKLARIN ÇÖZÜMÜ</w:t>
      </w:r>
    </w:p>
    <w:p>
      <w:pPr>
        <w:spacing w:after="100" w:before="0"/>
        <w:jc w:val="both"/>
      </w:pPr>
      <w:r>
        <w:t xml:space="preserve">İşbu sözleşme ve uygulanması sebebiyle ortaya çıkabilecek her türlü uyuşmazlığı taraflar öncelikle kendi aralarında ve sulhen halletme yoluna gideceklerdir. Uyuşmazlığın kendi aralarında giderilmesinin mümkün olmadığı durumlarda, ilgili ders sorumlusunun belirleyeceği bir heyete başvuracaklardır.</w:t>
      </w:r>
    </w:p>
    <w:p>
      <w:pPr>
        <w:spacing w:after="200" w:before="360"/>
        <w:jc w:val="center"/>
      </w:pP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600" w:before="0"/>
              <w:jc w:val="center"/>
            </w:pPr>
            <w:r>
              <w:rPr>
                <w:b/>
                <w:bCs/>
              </w:rPr>
              <w:t xml:space="preserve">MÜŞTERİ</w:t>
            </w:r>
          </w:p>
          <w:p>
            <w:pPr>
              <w:spacing w:after="0" w:before="0"/>
              <w:jc w:val="center"/>
            </w:pPr>
            <w:r>
              <w:t xml:space="preserve">……………………………………</w:t>
            </w:r>
          </w:p>
          <w:p>
            <w:pPr>
              <w:spacing w:after="0" w:before="0"/>
              <w:jc w:val="center"/>
            </w:pPr>
            <w:r>
              <w:rPr>
                <w:color w:val="595959"/>
                <w:sz w:val="18"/>
                <w:szCs w:val="18"/>
              </w:rPr>
              <w:t xml:space="preserve">(Ad Soyad / İmza)</w:t>
            </w:r>
          </w:p>
        </w:tc>
        <w:tc>
          <w:tcPr>
            <w:tcW w:type="dxa" w:w="4513"/>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600" w:before="0"/>
              <w:jc w:val="center"/>
            </w:pPr>
            <w:r>
              <w:rPr>
                <w:b/>
                <w:bCs/>
              </w:rPr>
              <w:t xml:space="preserve">EKİP</w:t>
            </w:r>
          </w:p>
          <w:p>
            <w:pPr>
              <w:spacing w:after="0" w:before="0"/>
              <w:jc w:val="center"/>
            </w:pPr>
            <w:r>
              <w:t xml:space="preserve">……………………………………</w:t>
            </w:r>
          </w:p>
          <w:p>
            <w:pPr>
              <w:spacing w:after="0" w:before="0"/>
              <w:jc w:val="center"/>
            </w:pPr>
            <w:r>
              <w:rPr>
                <w:color w:val="595959"/>
                <w:sz w:val="18"/>
                <w:szCs w:val="18"/>
              </w:rPr>
              <w:t xml:space="preserve">(Ad Soyad / İmza)</w:t>
            </w:r>
          </w:p>
          <w:p>
            <w:pPr>
              <w:spacing w:after="0" w:before="120"/>
              <w:jc w:val="center"/>
            </w:pPr>
            <w:r>
              <w:rPr>
                <w:sz w:val="20"/>
                <w:szCs w:val="20"/>
              </w:rPr>
              <w:t xml:space="preserve">Burak Arıkan, Emre Alma, Enes Öztürk</w:t>
            </w:r>
          </w:p>
        </w:tc>
      </w:tr>
    </w:tbl>
    <w:p>
      <w:pPr>
        <w:pStyle w:val="Heading1"/>
        <w:pageBreakBefore/>
      </w:pPr>
      <w:r>
        <w:t xml:space="preserve">EK-A: Donanım Gereksinimleri</w:t>
      </w:r>
    </w:p>
    <w:p>
      <w:pPr>
        <w:spacing w:after="100" w:before="0"/>
        <w:jc w:val="both"/>
      </w:pPr>
      <w:r>
        <w:t xml:space="preserve">Aşağıdaki değerler önerilen yapılandırmadır; daha düşük donanımda çalışır ancak toplu test ve mutasyon analizi daha uzun sürer.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Bileşen</w:t>
            </w:r>
          </w:p>
        </w:tc>
        <w:tc>
          <w:tcPr>
            <w:tcW w:type="dxa" w:w="6426"/>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Gereksinim</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İşlemci</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64 bit, çok çekirdekli (mutantlar paralel çalıştırılır).</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Bellek</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8 GB RAM (önerilen).</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Disk</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5 GB boş alan (sanal ortam, bağımlılıklar ve veri setleri dahil).</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Ekran</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1280 × 800 ve üzeri çözünürlük (uygulama penceresi 1200 × 780 açılır).</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Ağ</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Veri setlerini indirmek için internet erişimi (yalnızca ilk kurulumda).</w:t>
            </w:r>
          </w:p>
        </w:tc>
      </w:tr>
    </w:tbl>
    <w:p>
      <w:pPr>
        <w:pStyle w:val="Heading1"/>
        <w:pageBreakBefore/>
      </w:pPr>
      <w:r>
        <w:t xml:space="preserve">EK-B: Yazılım Gereksinimleri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Bileşen</w:t>
            </w:r>
          </w:p>
        </w:tc>
        <w:tc>
          <w:tcPr>
            <w:tcW w:type="dxa" w:w="6426"/>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Gereksinim</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İşletim sistemi</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Windows 10 ve üzeri ya da macOS. Her iki platformda da CI ile test edilir.</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Python</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3.11 (proje yalnızca 3.11 sürümünü destekler).</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Git</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Kaynak kodun alınması için.</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Docker</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Gerekmez.</w:t>
            </w:r>
          </w:p>
        </w:tc>
      </w:tr>
    </w:tbl>
    <w:p>
      <w:pPr>
        <w:keepNext/>
        <w:spacing w:after="100" w:before="160"/>
      </w:pPr>
      <w:r>
        <w:rPr>
          <w:b/>
          <w:bCs/>
        </w:rPr>
        <w:t xml:space="preserve">Kütüphane bağımlılıkları</w:t>
      </w:r>
      <w:r>
        <w:t xml:space="preserve"> (pyproject.toml):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Kütüphane</w:t>
            </w:r>
          </w:p>
        </w:tc>
        <w:tc>
          <w:tcPr>
            <w:tcW w:type="dxa" w:w="6426"/>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Kullanım amacı</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PySide6, qt-material</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Masaüstü arayüz ve Material Design teması.</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networkx, matplotlib</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Çağrı grafiği ve çizimi.</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radon</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Kod metrikleri (LOC, Halstead, McCabe, sürdürülebilirlik indeksi).</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coverage, pytest</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Üretilen ve yüklenen testlerin çalıştırılması, coverage ölçümü.</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gymnasium, numpy</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Pekiştirmeli öğrenme ortamı ve sayısal işlemler.</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pandas, jinja2, openpyxl</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CSV, HTML ve XLSX raporları.</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pyarrow</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Veri setlerinin (parquet) okunması.</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pyyaml</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Yapılandırma dosyalarının (configs/*.yaml) okunması.</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scikit-learn</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Tahmin modülü (opsiyonel).</w:t>
            </w:r>
          </w:p>
        </w:tc>
      </w:tr>
      <w:tr>
        <w:trPr>
          <w:cantSplit/>
        </w:trPr>
        <w:tc>
          <w:tcPr>
            <w:tcW w:type="dxa" w:w="26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pytest-cov, pytest-qt, ruff, pre-commit</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Geliştirme: coverage, arayüz testi, biçim ve stil denetimi.</w:t>
            </w:r>
          </w:p>
        </w:tc>
      </w:tr>
    </w:tbl>
    <w:p>
      <w:pPr>
        <w:pStyle w:val="Heading1"/>
        <w:pageBreakBefore/>
      </w:pPr>
      <w:r>
        <w:t xml:space="preserve">EK-C: Güvenlik Yapılanması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Bileşen</w:t>
            </w:r>
          </w:p>
        </w:tc>
        <w:tc>
          <w:tcPr>
            <w:tcW w:type="dxa" w:w="6426"/>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Gereksinim</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Kod izolasyonu</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Test edilen kod ve üretilen testler ana uygulamadan ayrı bir alt süreçte (subprocess), yalıtılmış Python modunda ve süre sınırıyla çalıştırılır. Süreç dışarıdan shell ile başlatılmaz.</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Hata dayanıklılığı</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Sonsuz döngü, istisna ya da çöken test yalnızca ilgili testi hatalı/zaman aşımı işaretler. Yakalanmamış her istisna kayda alınır ve kullanıcıya mesaj kutusunda gösterilir; uygulama kapanmaz.</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Girdi doğrulama</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Kaynak ve test kodu yüklenirken sözdizimi denetlenir; hata satır numarasıyla gösterilir ve önceki geçerli kod korunur. Dosya okuma hataları (bulunamadı, UTF-8 değil, izin yok) anlaşılır mesajla bildirilir.</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Veri bütünlüğü</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Veri setleri sabit sürümden indirilir ve SHA-256 ile doğrulanır. Ayrım dosyaları ham verilerin özetini taşır; veri değişmişse toplu test başlamaz.</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Arka plan işleri</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Uzun işlemler ayrı iş parçacığında çalışır; arayüz bloklanmaz. Pencere kapanırken çalışan işler beklenir.</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80"/>
              <w:left w:type="dxa" w:w="120"/>
              <w:bottom w:type="dxa" w:w="80"/>
              <w:right w:type="dxa" w:w="120"/>
            </w:tcMar>
            <w:vAlign w:val="top"/>
          </w:tcPr>
          <w:p>
            <w:pPr>
              <w:spacing w:after="0" w:before="0"/>
            </w:pPr>
            <w:r>
              <w:rPr>
                <w:b/>
                <w:bCs/>
              </w:rPr>
              <w:t xml:space="preserve">Bilinen sınır</w:t>
            </w:r>
          </w:p>
        </w:tc>
        <w:tc>
          <w:tcPr>
            <w:tcW w:type="dxa" w:w="64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Alt süreç dosya sistemi ve ağ erişimini kısıtlamaz. Güvenilmeyen kod çalıştırılmamalıdır (Madde 7.4).</w:t>
            </w:r>
          </w:p>
        </w:tc>
      </w:tr>
    </w:tbl>
    <w:p>
      <w:pPr>
        <w:pStyle w:val="Heading1"/>
        <w:pageBreakBefore/>
      </w:pPr>
      <w:r>
        <w:t xml:space="preserve">EK-D: Modül ve Fonksiyon Listesi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2300"/>
        <w:gridCol w:w="3026"/>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No</w:t>
            </w:r>
          </w:p>
        </w:tc>
        <w:tc>
          <w:tcPr>
            <w:tcW w:type="dxa" w:w="29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İşlev</w:t>
            </w:r>
          </w:p>
        </w:tc>
        <w:tc>
          <w:tcPr>
            <w:tcW w:type="dxa" w:w="2300"/>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Modül</w:t>
            </w:r>
          </w:p>
        </w:tc>
        <w:tc>
          <w:tcPr>
            <w:tcW w:type="dxa" w:w="3026"/>
            <w:tcBorders>
              <w:top w:val="single" w:color="8C8C8C" w:sz="4"/>
              <w:left w:val="single" w:color="8C8C8C" w:sz="4"/>
              <w:bottom w:val="single" w:color="8C8C8C" w:sz="4"/>
              <w:right w:val="single" w:color="8C8C8C" w:sz="4"/>
            </w:tcBorders>
            <w:shd w:fill="D9E2F3" w:color="auto" w:val="clear"/>
            <w:tcMar>
              <w:top w:type="dxa" w:w="80"/>
              <w:left w:type="dxa" w:w="120"/>
              <w:bottom w:type="dxa" w:w="80"/>
              <w:right w:type="dxa" w:w="120"/>
            </w:tcMar>
            <w:vAlign w:val="center"/>
          </w:tcPr>
          <w:p>
            <w:pPr>
              <w:spacing w:after="0"/>
              <w:jc w:val="center"/>
            </w:pPr>
            <w:r>
              <w:rPr>
                <w:b/>
                <w:bCs/>
              </w:rPr>
              <w:t xml:space="preserve">Ekran / Komut</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US-1</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Kodun çağrı grafiği olarak gösterimi (HumanEval görevi ya da yüklenen kod)</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analysis/callgraph.py</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Çağrı Grafiği sayfası</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US-2</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14 kod metriği ve açıklamaları, CSV’ye aktarma</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analysis/metrics.py</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Metrikler sayfası</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US-3</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Kullanıcı kodu ve testleriyle coverage; RL ile coverage artırımı</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execution/, rl/</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Kod Yükle, Coverage, RL Test Üretimi sayfaları</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US-4</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RL ile test üretimi; test sayısı ve cover rate gösterimi</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rl/</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RL Test Üretimi sayfası (alt şerit: Test Case Statistics, Branch Count, Tested Line Count, Coverage Rate)</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US-5</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Mutation Score, Test Execution Time, Compilation Rate</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mutation/, execution/</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Mutasyon sayfası; toplu rapor sütunları</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US-6</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Dört veri setinde toplu test ve veri seti bazlı rapor (CSV, HTML, XLSX)</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datasets/, batch/</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Toplu Test sayfası; testzede batch</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Yardımcı</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Veri setlerini indirme ve data leakage’sız ayırma</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datasets/</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testzede download, testzede make-splits</w:t>
            </w:r>
          </w:p>
        </w:tc>
      </w:tr>
      <w:tr>
        <w:trPr>
          <w:cantSplit/>
        </w:trPr>
        <w:tc>
          <w:tcPr>
            <w:tcW w:type="dxa" w:w="8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Opsiyonel</w:t>
            </w:r>
          </w:p>
        </w:tc>
        <w:tc>
          <w:tcPr>
            <w:tcW w:type="dxa" w:w="29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Tahmini hata sayısı ve optimum test sayısı</w:t>
            </w:r>
          </w:p>
        </w:tc>
        <w:tc>
          <w:tcPr>
            <w:tcW w:type="dxa" w:w="2300"/>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prediction/</w:t>
            </w:r>
          </w:p>
        </w:tc>
        <w:tc>
          <w:tcPr>
            <w:tcW w:type="dxa" w:w="3026"/>
            <w:tcBorders>
              <w:top w:val="single" w:color="8C8C8C" w:sz="4"/>
              <w:left w:val="single" w:color="8C8C8C" w:sz="4"/>
              <w:bottom w:val="single" w:color="8C8C8C" w:sz="4"/>
              <w:right w:val="single" w:color="8C8C8C" w:sz="4"/>
            </w:tcBorders>
            <w:tcMar>
              <w:top w:type="dxa" w:w="80"/>
              <w:left w:type="dxa" w:w="120"/>
              <w:bottom w:type="dxa" w:w="80"/>
              <w:right w:type="dxa" w:w="120"/>
            </w:tcMar>
            <w:vAlign w:val="top"/>
          </w:tcPr>
          <w:p>
            <w:pPr>
              <w:spacing w:after="0" w:before="0"/>
            </w:pPr>
            <w:r>
              <w:t xml:space="preserve">Tahmin sayfası (kapsam dışı; geliştirilirse ek olarak bildirilir)</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TestZede Sözleşmesi v1.0  |  Sayfa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abstractNum w:abstractNumId="47" w15:restartNumberingAfterBreak="0">
    <w:multiLevelType w:val="hybridMultilevel"/>
    <w:lvl w:ilvl="0" w:tentative="1">
      <w:start w:val="1"/>
      <w:numFmt w:val="decimal"/>
      <w:lvlText w:val="%1."/>
      <w:lvlJc w:val="left"/>
      <w:pPr>
        <w:ind w:left="540" w:hanging="360"/>
      </w:pPr>
    </w:lvl>
  </w:abstractNum>
  <w:abstractNum w:abstractNumId="48" w15:restartNumberingAfterBreak="0">
    <w:multiLevelType w:val="hybridMultilevel"/>
    <w:lvl w:ilvl="0" w:tentative="1">
      <w:start w:val="1"/>
      <w:numFmt w:val="decimal"/>
      <w:lvlText w:val="%1."/>
      <w:lvlJc w:val="left"/>
      <w:pPr>
        <w:ind w:left="540" w:hanging="360"/>
      </w:pPr>
    </w:lvl>
  </w:abstractNum>
  <w:abstractNum w:abstractNumId="49" w15:restartNumberingAfterBreak="0">
    <w:multiLevelType w:val="hybridMultilevel"/>
    <w:lvl w:ilvl="0" w:tentative="1">
      <w:start w:val="1"/>
      <w:numFmt w:val="decimal"/>
      <w:lvlText w:val="%1."/>
      <w:lvlJc w:val="left"/>
      <w:pPr>
        <w:ind w:left="540" w:hanging="360"/>
      </w:pPr>
    </w:lvl>
  </w:abstractNum>
  <w:abstractNum w:abstractNumId="50" w15:restartNumberingAfterBreak="0">
    <w:multiLevelType w:val="hybridMultilevel"/>
    <w:lvl w:ilvl="0" w:tentative="1">
      <w:start w:val="1"/>
      <w:numFmt w:val="decimal"/>
      <w:lvlText w:val="%1."/>
      <w:lvlJc w:val="left"/>
      <w:pPr>
        <w:ind w:left="540" w:hanging="360"/>
      </w:pPr>
    </w:lvl>
  </w:abstractNum>
  <w:abstractNum w:abstractNumId="51" w15:restartNumberingAfterBreak="0">
    <w:multiLevelType w:val="hybridMultilevel"/>
    <w:lvl w:ilvl="0" w:tentative="1">
      <w:start w:val="1"/>
      <w:numFmt w:val="decimal"/>
      <w:lvlText w:val="%1."/>
      <w:lvlJc w:val="left"/>
      <w:pPr>
        <w:ind w:left="540" w:hanging="360"/>
      </w:pPr>
    </w:lvl>
  </w:abstractNum>
  <w:abstractNum w:abstractNumId="52" w15:restartNumberingAfterBreak="0">
    <w:multiLevelType w:val="hybridMultilevel"/>
    <w:lvl w:ilvl="0" w:tentative="1">
      <w:start w:val="1"/>
      <w:numFmt w:val="decimal"/>
      <w:lvlText w:val="%1."/>
      <w:lvlJc w:val="left"/>
      <w:pPr>
        <w:ind w:left="540" w:hanging="360"/>
      </w:pPr>
    </w:lvl>
  </w:abstractNum>
  <w:abstractNum w:abstractNumId="53" w15:restartNumberingAfterBreak="0">
    <w:multiLevelType w:val="hybridMultilevel"/>
    <w:lvl w:ilvl="0" w:tentative="1">
      <w:start w:val="1"/>
      <w:numFmt w:val="decimal"/>
      <w:lvlText w:val="%1."/>
      <w:lvlJc w:val="left"/>
      <w:pPr>
        <w:ind w:left="540" w:hanging="360"/>
      </w:pPr>
    </w:lvl>
  </w:abstractNum>
  <w:abstractNum w:abstractNumId="54" w15:restartNumberingAfterBreak="0">
    <w:multiLevelType w:val="hybridMultilevel"/>
    <w:lvl w:ilvl="0" w:tentative="1">
      <w:start w:val="1"/>
      <w:numFmt w:val="decimal"/>
      <w:lvlText w:val="%1."/>
      <w:lvlJc w:val="left"/>
      <w:pPr>
        <w:ind w:left="540" w:hanging="360"/>
      </w:pPr>
    </w:lvl>
  </w:abstractNum>
  <w:abstractNum w:abstractNumId="55" w15:restartNumberingAfterBreak="0">
    <w:multiLevelType w:val="hybridMultilevel"/>
    <w:lvl w:ilvl="0" w:tentative="1">
      <w:start w:val="1"/>
      <w:numFmt w:val="decimal"/>
      <w:lvlText w:val="%1."/>
      <w:lvlJc w:val="left"/>
      <w:pPr>
        <w:ind w:left="540" w:hanging="360"/>
      </w:pPr>
    </w:lvl>
  </w:abstractNum>
  <w:abstractNum w:abstractNumId="56" w15:restartNumberingAfterBreak="0">
    <w:multiLevelType w:val="hybridMultilevel"/>
    <w:lvl w:ilvl="0" w:tentative="1">
      <w:start w:val="1"/>
      <w:numFmt w:val="decimal"/>
      <w:lvlText w:val="%1."/>
      <w:lvlJc w:val="left"/>
      <w:pPr>
        <w:ind w:left="540" w:hanging="360"/>
      </w:pPr>
    </w:lvl>
  </w:abstractNum>
  <w:abstractNum w:abstractNumId="57" w15:restartNumberingAfterBreak="0">
    <w:multiLevelType w:val="hybridMultilevel"/>
    <w:lvl w:ilvl="0" w:tentative="1">
      <w:start w:val="1"/>
      <w:numFmt w:val="decimal"/>
      <w:lvlText w:val="%1."/>
      <w:lvlJc w:val="left"/>
      <w:pPr>
        <w:ind w:left="540" w:hanging="360"/>
      </w:pPr>
    </w:lvl>
  </w:abstractNum>
  <w:abstractNum w:abstractNumId="58" w15:restartNumberingAfterBreak="0">
    <w:multiLevelType w:val="hybridMultilevel"/>
    <w:lvl w:ilvl="0" w:tentative="1">
      <w:start w:val="1"/>
      <w:numFmt w:val="decimal"/>
      <w:lvlText w:val="%1."/>
      <w:lvlJc w:val="left"/>
      <w:pPr>
        <w:ind w:left="540" w:hanging="360"/>
      </w:pPr>
    </w:lvl>
  </w:abstractNum>
  <w:abstractNum w:abstractNumId="59" w15:restartNumberingAfterBreak="0">
    <w:multiLevelType w:val="hybridMultilevel"/>
    <w:lvl w:ilvl="0" w:tentative="1">
      <w:start w:val="1"/>
      <w:numFmt w:val="decimal"/>
      <w:lvlText w:val="%1."/>
      <w:lvlJc w:val="left"/>
      <w:pPr>
        <w:ind w:left="540" w:hanging="360"/>
      </w:pPr>
    </w:lvl>
  </w:abstractNum>
  <w:abstractNum w:abstractNumId="60" w15:restartNumberingAfterBreak="0">
    <w:multiLevelType w:val="hybridMultilevel"/>
    <w:lvl w:ilvl="0" w:tentative="1">
      <w:start w:val="1"/>
      <w:numFmt w:val="decimal"/>
      <w:lvlText w:val="%1."/>
      <w:lvlJc w:val="left"/>
      <w:pPr>
        <w:ind w:left="540" w:hanging="360"/>
      </w:pPr>
    </w:lvl>
  </w:abstractNum>
  <w:abstractNum w:abstractNumId="61" w15:restartNumberingAfterBreak="0">
    <w:multiLevelType w:val="hybridMultilevel"/>
    <w:lvl w:ilvl="0" w:tentative="1">
      <w:start w:val="1"/>
      <w:numFmt w:val="decimal"/>
      <w:lvlText w:val="%1."/>
      <w:lvlJc w:val="left"/>
      <w:pPr>
        <w:ind w:left="540" w:hanging="360"/>
      </w:pPr>
    </w:lvl>
  </w:abstractNum>
  <w:abstractNum w:abstractNumId="62" w15:restartNumberingAfterBreak="0">
    <w:multiLevelType w:val="hybridMultilevel"/>
    <w:lvl w:ilvl="0" w:tentative="1">
      <w:start w:val="1"/>
      <w:numFmt w:val="decimal"/>
      <w:lvlText w:val="%1."/>
      <w:lvlJc w:val="left"/>
      <w:pPr>
        <w:ind w:left="540" w:hanging="360"/>
      </w:pPr>
    </w:lvl>
  </w:abstractNum>
  <w:abstractNum w:abstractNumId="6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i/>
      <w:i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TestZede Kullanım, Teslim ve Destek Sözleşmesi</dc:title>
  <dc:creator>TestZede Proje Ekibi</dc:creator>
  <cp:lastModifiedBy>Un-named</cp:lastModifiedBy>
  <cp:revision>1</cp:revision>
  <dcterms:created xsi:type="dcterms:W3CDTF">2026-10-19T10:40:09.790Z</dcterms:created>
  <dcterms:modified xsi:type="dcterms:W3CDTF">2026-10-19T10:40:09.791Z</dcterms:modified>
</cp:coreProperties>
</file>

<file path=docProps/custom.xml><?xml version="1.0" encoding="utf-8"?>
<Properties xmlns="http://schemas.openxmlformats.org/officeDocument/2006/custom-properties" xmlns:vt="http://schemas.openxmlformats.org/officeDocument/2006/docPropsVTypes"/>
</file>