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60" w:line="264" w:lineRule="auto"/>
      </w:pPr>
      <w:r>
        <w:rPr>
          <w:rFonts w:ascii="Arial" w:hAnsi="Arial" w:cs="Arial"/>
          <w:b/>
          <w:i w:val="0"/>
          <w:color w:val="2E74B5"/>
          <w:sz w:val="20"/>
        </w:rPr>
        <w:t>TEKNİK DEĞERLENDİRME RAPORU</w:t>
      </w:r>
    </w:p>
    <w:p>
      <w:pPr>
        <w:spacing w:before="0" w:after="80" w:line="240" w:lineRule="auto"/>
      </w:pPr>
      <w:r>
        <w:rPr>
          <w:rFonts w:ascii="Arial" w:hAnsi="Arial" w:cs="Arial"/>
          <w:b/>
          <w:color w:val="0B2545"/>
          <w:sz w:val="50"/>
        </w:rPr>
        <w:t>TIP-AI Sistem Geliştirme ve</w:t>
        <w:br/>
        <w:t>Üretim Olgunluğu Raporu</w:t>
      </w:r>
    </w:p>
    <w:p>
      <w:pPr>
        <w:spacing w:before="0" w:after="360" w:line="264" w:lineRule="auto"/>
      </w:pPr>
      <w:r>
        <w:rPr>
          <w:rFonts w:ascii="Arial" w:hAnsi="Arial" w:cs="Arial"/>
          <w:b w:val="0"/>
          <w:i w:val="0"/>
          <w:color w:val="5D6875"/>
          <w:sz w:val="27"/>
        </w:rPr>
        <w:t>Mevcut yeteneklerin güçlendirilmesi, hedef mimari ve 12 aylık uygulanabilir yol haritası</w:t>
      </w:r>
    </w:p>
    <w:p>
      <w:pPr>
        <w:spacing w:before="0" w:after="40" w:line="264" w:lineRule="auto"/>
      </w:pPr>
      <w:r>
        <w:rPr>
          <w:rFonts w:ascii="Arial" w:hAnsi="Arial" w:cs="Arial"/>
          <w:b/>
          <w:color w:val="20262E"/>
          <w:sz w:val="21"/>
        </w:rPr>
        <w:t xml:space="preserve">Kapsam: </w:t>
      </w:r>
      <w:r>
        <w:rPr>
          <w:rFonts w:ascii="Arial" w:hAnsi="Arial" w:cs="Arial"/>
          <w:color w:val="20262E"/>
          <w:sz w:val="21"/>
        </w:rPr>
        <w:t>TIP-AI güncel sistem raporu; master / a93dad4</w:t>
      </w:r>
    </w:p>
    <w:p>
      <w:pPr>
        <w:spacing w:before="0" w:after="40" w:line="264" w:lineRule="auto"/>
      </w:pPr>
      <w:r>
        <w:rPr>
          <w:rFonts w:ascii="Arial" w:hAnsi="Arial" w:cs="Arial"/>
          <w:b/>
          <w:color w:val="20262E"/>
          <w:sz w:val="21"/>
        </w:rPr>
        <w:t xml:space="preserve">Değerlendirme tarihi: </w:t>
      </w:r>
      <w:r>
        <w:rPr>
          <w:rFonts w:ascii="Arial" w:hAnsi="Arial" w:cs="Arial"/>
          <w:color w:val="20262E"/>
          <w:sz w:val="21"/>
        </w:rPr>
        <w:t>12 Ağustos 2026</w:t>
      </w:r>
    </w:p>
    <w:p>
      <w:pPr>
        <w:spacing w:before="0" w:after="40" w:line="264" w:lineRule="auto"/>
      </w:pPr>
      <w:r>
        <w:rPr>
          <w:rFonts w:ascii="Arial" w:hAnsi="Arial" w:cs="Arial"/>
          <w:b/>
          <w:color w:val="20262E"/>
          <w:sz w:val="21"/>
        </w:rPr>
        <w:t xml:space="preserve">Öncelikli karar: </w:t>
      </w:r>
      <w:r>
        <w:rPr>
          <w:rFonts w:ascii="Arial" w:hAnsi="Arial" w:cs="Arial"/>
          <w:color w:val="20262E"/>
          <w:sz w:val="21"/>
        </w:rPr>
        <w:t>Yeni özelliklerden önce PostgreSQL runtime cutover ve üretim güvenliği</w:t>
      </w:r>
    </w:p>
    <w:p>
      <w:pPr>
        <w:spacing w:before="0" w:after="40" w:line="264" w:lineRule="auto"/>
      </w:pPr>
      <w:r>
        <w:rPr>
          <w:rFonts w:ascii="Arial" w:hAnsi="Arial" w:cs="Arial"/>
          <w:b/>
          <w:color w:val="20262E"/>
          <w:sz w:val="21"/>
        </w:rPr>
        <w:t xml:space="preserve">Hedef okuyucu: </w:t>
      </w:r>
      <w:r>
        <w:rPr>
          <w:rFonts w:ascii="Arial" w:hAnsi="Arial" w:cs="Arial"/>
          <w:color w:val="20262E"/>
          <w:sz w:val="21"/>
        </w:rPr>
        <w:t>Ürün sahibi, yazılım ekibi, klinik içerik sorumluları ve operasyon ekibi</w:t>
      </w:r>
    </w:p>
    <w:p>
      <w:pPr>
        <w:spacing w:before="0" w:after="40" w:line="264" w:lineRule="auto"/>
      </w:pPr>
      <w:r>
        <w:rPr>
          <w:rFonts w:ascii="Arial" w:hAnsi="Arial" w:cs="Arial"/>
          <w:b/>
          <w:color w:val="20262E"/>
          <w:sz w:val="21"/>
        </w:rPr>
        <w:t xml:space="preserve">Yöntem: </w:t>
      </w:r>
      <w:r>
        <w:rPr>
          <w:rFonts w:ascii="Arial" w:hAnsi="Arial" w:cs="Arial"/>
          <w:color w:val="20262E"/>
          <w:sz w:val="21"/>
        </w:rPr>
        <w:t>Belge incelemesi + güncel birincil standartlarla kıyaslama</w:t>
      </w:r>
    </w:p>
    <w:p>
      <w:pPr>
        <w:spacing w:before="0" w:after="160" w:line="264" w:lineRule="auto"/>
      </w:pPr>
    </w:p>
    <w:tbl>
      <w:tblPr>
        <w:tblW w:type="dxa" w:w="9360"/>
        <w:jc w:val="left"/>
        <w:tblLayout w:type="fixed"/>
        <w:tblLook w:firstColumn="1" w:firstRow="1" w:lastColumn="0" w:lastRow="0" w:noHBand="0" w:noVBand="1" w:val="04A0"/>
        <w:tblInd w:w="120" w:type="dxa"/>
        <w:tblBorders>
          <w:top w:val="single" w:sz="9" w:space="0" w:color="1F4D78"/>
          <w:left w:val="single" w:sz="9" w:space="0" w:color="1F4D78"/>
          <w:bottom w:val="single" w:sz="9" w:space="0" w:color="1F4D78"/>
          <w:right w:val="single" w:sz="9" w:space="0" w:color="1F4D78"/>
        </w:tblBorders>
      </w:tblPr>
      <w:tblGrid>
        <w:gridCol w:w="9360"/>
      </w:tblGrid>
      <w:tr>
        <w:trPr>
          <w:cantSplit/>
        </w:trPr>
        <w:tc>
          <w:tcPr>
            <w:tcW w:type="dxa" w:w="9360"/>
            <w:tcMar>
              <w:top w:w="80" w:type="dxa"/>
              <w:bottom w:w="80" w:type="dxa"/>
              <w:start w:w="120" w:type="dxa"/>
              <w:end w:w="120" w:type="dxa"/>
            </w:tcMar>
            <w:shd w:fill="EAF3FB" w:val="clear"/>
          </w:tcPr>
          <w:p>
            <w:pPr>
              <w:keepNext/>
              <w:spacing w:after="60"/>
            </w:pPr>
            <w:r>
              <w:rPr>
                <w:rFonts w:ascii="Arial" w:hAnsi="Arial" w:cs="Arial"/>
                <w:b/>
                <w:color w:val="1F4D78"/>
                <w:sz w:val="21"/>
              </w:rPr>
              <w:t>Temel sonuç</w:t>
            </w:r>
          </w:p>
          <w:p>
            <w:pPr>
              <w:keepLines/>
              <w:spacing w:after="0" w:line="264" w:lineRule="auto"/>
            </w:pPr>
            <w:r>
              <w:rPr>
                <w:rFonts w:ascii="Arial" w:hAnsi="Arial" w:cs="Arial"/>
                <w:color w:val="20262E"/>
                <w:sz w:val="20"/>
              </w:rPr>
              <w:t>TIP-AI'nin eğitimsel çekirdeği çalışır ve anlamlıdır. Sistemin önündeki ana engel özellik eksikliği değil; kimlik ve operasyon verisinin bir bölümünün hâlâ JSON'a bağlı olması, migration başlangıç güvencesinin bulunmaması ve üretim sinyallerinin yetersizliğidir. Bu üç alan düzeltilmeden çoklu replica, ileri analitik veya üretken AI genişlemesi yapılmamalıdır.</w:t>
            </w:r>
          </w:p>
        </w:tc>
      </w:tr>
    </w:tbl>
    <w:p>
      <w:pPr>
        <w:spacing w:before="0" w:after="80" w:line="264" w:lineRule="auto"/>
      </w:pPr>
    </w:p>
    <w:p>
      <w:pPr>
        <w:spacing w:before="200" w:after="0" w:line="264" w:lineRule="auto"/>
      </w:pPr>
      <w:r>
        <w:rPr>
          <w:rFonts w:ascii="Arial" w:hAnsi="Arial" w:cs="Arial"/>
          <w:b w:val="0"/>
          <w:i/>
          <w:color w:val="5D6875"/>
          <w:sz w:val="18"/>
        </w:rPr>
        <w:t>Sınır: Bu rapor kaynak sistem özetine dayanır. Kaynak kod denetimi, penetrasyon testi, klinik geçerlilik çalışması veya hukuk görüşü değildir. Öneriler uygulamadan önce repository, altyapı ve gerçek kullanım verisiyle doğrulanmalıdır.</w:t>
      </w:r>
    </w:p>
    <w:p>
      <w:r>
        <w:br w:type="page"/>
      </w:r>
    </w:p>
    <w:p>
      <w:pPr>
        <w:pStyle w:val="Heading1"/>
      </w:pPr>
      <w:r>
        <w:rPr>
          <w:rFonts w:ascii="Arial" w:hAnsi="Arial" w:cs="Arial"/>
          <w:b/>
          <w:color w:val="2E74B5"/>
          <w:sz w:val="32"/>
        </w:rPr>
        <w:t>İçindekiler</w:t>
      </w:r>
    </w:p>
    <w:p>
      <w:pPr>
        <w:keepLines/>
        <w:numPr>
          <w:ilvl w:val="0"/>
          <w:numId w:val="90"/>
        </w:numPr>
        <w:spacing w:after="60" w:line="280" w:lineRule="auto"/>
      </w:pPr>
      <w:r>
        <w:rPr>
          <w:rFonts w:ascii="Arial" w:hAnsi="Arial" w:cs="Arial"/>
          <w:color w:val="20262E"/>
          <w:sz w:val="21"/>
        </w:rPr>
        <w:t>1. Yönetici özeti</w:t>
      </w:r>
    </w:p>
    <w:p>
      <w:pPr>
        <w:keepLines/>
        <w:numPr>
          <w:ilvl w:val="0"/>
          <w:numId w:val="90"/>
        </w:numPr>
        <w:spacing w:after="60" w:line="280" w:lineRule="auto"/>
      </w:pPr>
      <w:r>
        <w:rPr>
          <w:rFonts w:ascii="Arial" w:hAnsi="Arial" w:cs="Arial"/>
          <w:color w:val="20262E"/>
          <w:sz w:val="21"/>
        </w:rPr>
        <w:t>2. Mevcut sistemin olgunluk değerlendirmesi</w:t>
      </w:r>
    </w:p>
    <w:p>
      <w:pPr>
        <w:keepLines/>
        <w:numPr>
          <w:ilvl w:val="0"/>
          <w:numId w:val="90"/>
        </w:numPr>
        <w:spacing w:after="60" w:line="280" w:lineRule="auto"/>
      </w:pPr>
      <w:r>
        <w:rPr>
          <w:rFonts w:ascii="Arial" w:hAnsi="Arial" w:cs="Arial"/>
          <w:color w:val="20262E"/>
          <w:sz w:val="21"/>
        </w:rPr>
        <w:t>3. Hedef mimari ve tasarım ilkeleri</w:t>
      </w:r>
    </w:p>
    <w:p>
      <w:pPr>
        <w:keepLines/>
        <w:numPr>
          <w:ilvl w:val="0"/>
          <w:numId w:val="90"/>
        </w:numPr>
        <w:spacing w:after="60" w:line="280" w:lineRule="auto"/>
      </w:pPr>
      <w:r>
        <w:rPr>
          <w:rFonts w:ascii="Arial" w:hAnsi="Arial" w:cs="Arial"/>
          <w:color w:val="20262E"/>
          <w:sz w:val="21"/>
        </w:rPr>
        <w:t>4. Ayrıntılı geliştirme programı</w:t>
      </w:r>
    </w:p>
    <w:p>
      <w:pPr>
        <w:keepLines/>
        <w:numPr>
          <w:ilvl w:val="0"/>
          <w:numId w:val="90"/>
        </w:numPr>
        <w:spacing w:after="60" w:line="280" w:lineRule="auto"/>
      </w:pPr>
      <w:r>
        <w:rPr>
          <w:rFonts w:ascii="Arial" w:hAnsi="Arial" w:cs="Arial"/>
          <w:color w:val="20262E"/>
          <w:sz w:val="21"/>
        </w:rPr>
        <w:t>5. Uygulama yol haritası</w:t>
      </w:r>
    </w:p>
    <w:p>
      <w:pPr>
        <w:keepLines/>
        <w:numPr>
          <w:ilvl w:val="0"/>
          <w:numId w:val="90"/>
        </w:numPr>
        <w:spacing w:after="60" w:line="280" w:lineRule="auto"/>
      </w:pPr>
      <w:r>
        <w:rPr>
          <w:rFonts w:ascii="Arial" w:hAnsi="Arial" w:cs="Arial"/>
          <w:color w:val="20262E"/>
          <w:sz w:val="21"/>
        </w:rPr>
        <w:t>6. KPI, SLI ve SLO seti</w:t>
      </w:r>
    </w:p>
    <w:p>
      <w:pPr>
        <w:keepLines/>
        <w:numPr>
          <w:ilvl w:val="0"/>
          <w:numId w:val="90"/>
        </w:numPr>
        <w:spacing w:after="60" w:line="280" w:lineRule="auto"/>
      </w:pPr>
      <w:r>
        <w:rPr>
          <w:rFonts w:ascii="Arial" w:hAnsi="Arial" w:cs="Arial"/>
          <w:color w:val="20262E"/>
          <w:sz w:val="21"/>
        </w:rPr>
        <w:t>7. Önceliklendirilmiş ürün ve teknik backlog</w:t>
      </w:r>
    </w:p>
    <w:p>
      <w:pPr>
        <w:keepLines/>
        <w:numPr>
          <w:ilvl w:val="0"/>
          <w:numId w:val="90"/>
        </w:numPr>
        <w:spacing w:after="60" w:line="280" w:lineRule="auto"/>
      </w:pPr>
      <w:r>
        <w:rPr>
          <w:rFonts w:ascii="Arial" w:hAnsi="Arial" w:cs="Arial"/>
          <w:color w:val="20262E"/>
          <w:sz w:val="21"/>
        </w:rPr>
        <w:t>8. Risk kaydı</w:t>
      </w:r>
    </w:p>
    <w:p>
      <w:pPr>
        <w:keepLines/>
        <w:numPr>
          <w:ilvl w:val="0"/>
          <w:numId w:val="90"/>
        </w:numPr>
        <w:spacing w:after="60" w:line="280" w:lineRule="auto"/>
      </w:pPr>
      <w:r>
        <w:rPr>
          <w:rFonts w:ascii="Arial" w:hAnsi="Arial" w:cs="Arial"/>
          <w:color w:val="20262E"/>
          <w:sz w:val="21"/>
        </w:rPr>
        <w:t>9. Bitmiş sayılma ölçütleri</w:t>
      </w:r>
    </w:p>
    <w:p>
      <w:pPr>
        <w:keepLines/>
        <w:numPr>
          <w:ilvl w:val="0"/>
          <w:numId w:val="90"/>
        </w:numPr>
        <w:spacing w:after="60" w:line="280" w:lineRule="auto"/>
      </w:pPr>
      <w:r>
        <w:rPr>
          <w:rFonts w:ascii="Arial" w:hAnsi="Arial" w:cs="Arial"/>
          <w:color w:val="20262E"/>
          <w:sz w:val="21"/>
        </w:rPr>
        <w:t>10. Sonuç</w:t>
      </w:r>
    </w:p>
    <w:p>
      <w:pPr>
        <w:keepLines/>
        <w:numPr>
          <w:ilvl w:val="0"/>
          <w:numId w:val="90"/>
        </w:numPr>
        <w:spacing w:after="60" w:line="280" w:lineRule="auto"/>
      </w:pPr>
      <w:r>
        <w:rPr>
          <w:rFonts w:ascii="Arial" w:hAnsi="Arial" w:cs="Arial"/>
          <w:color w:val="20262E"/>
          <w:sz w:val="21"/>
        </w:rPr>
        <w:t>Ek A. Önerilen veri modeli</w:t>
      </w:r>
    </w:p>
    <w:p>
      <w:pPr>
        <w:keepLines/>
        <w:numPr>
          <w:ilvl w:val="0"/>
          <w:numId w:val="90"/>
        </w:numPr>
        <w:spacing w:after="60" w:line="280" w:lineRule="auto"/>
      </w:pPr>
      <w:r>
        <w:rPr>
          <w:rFonts w:ascii="Arial" w:hAnsi="Arial" w:cs="Arial"/>
          <w:color w:val="20262E"/>
          <w:sz w:val="21"/>
        </w:rPr>
        <w:t>Ek B. Önerilen uçlar ve olaylar</w:t>
      </w:r>
    </w:p>
    <w:p>
      <w:pPr>
        <w:keepLines/>
        <w:numPr>
          <w:ilvl w:val="0"/>
          <w:numId w:val="90"/>
        </w:numPr>
        <w:spacing w:after="60" w:line="280" w:lineRule="auto"/>
      </w:pPr>
      <w:r>
        <w:rPr>
          <w:rFonts w:ascii="Arial" w:hAnsi="Arial" w:cs="Arial"/>
          <w:color w:val="20262E"/>
          <w:sz w:val="21"/>
        </w:rPr>
        <w:t>Ek C. Kabul testi matrisi</w:t>
      </w:r>
    </w:p>
    <w:p>
      <w:pPr>
        <w:keepLines/>
        <w:numPr>
          <w:ilvl w:val="0"/>
          <w:numId w:val="90"/>
        </w:numPr>
        <w:spacing w:after="60" w:line="280" w:lineRule="auto"/>
      </w:pPr>
      <w:r>
        <w:rPr>
          <w:rFonts w:ascii="Arial" w:hAnsi="Arial" w:cs="Arial"/>
          <w:color w:val="20262E"/>
          <w:sz w:val="21"/>
        </w:rPr>
        <w:t>Ek D. Kaynaklar</w:t>
      </w:r>
    </w:p>
    <w:tbl>
      <w:tblPr>
        <w:tblW w:type="dxa" w:w="9360"/>
        <w:jc w:val="left"/>
        <w:tblLayout w:type="fixed"/>
        <w:tblLook w:firstColumn="1" w:firstRow="1" w:lastColumn="0" w:lastRow="0" w:noHBand="0" w:noVBand="1" w:val="04A0"/>
        <w:tblInd w:w="120" w:type="dxa"/>
        <w:tblBorders>
          <w:top w:val="single" w:sz="9" w:space="0" w:color="0B2545"/>
          <w:left w:val="single" w:sz="9" w:space="0" w:color="0B2545"/>
          <w:bottom w:val="single" w:sz="9" w:space="0" w:color="0B2545"/>
          <w:right w:val="single" w:sz="9" w:space="0" w:color="0B2545"/>
        </w:tblBorders>
      </w:tblPr>
      <w:tblGrid>
        <w:gridCol w:w="9360"/>
      </w:tblGrid>
      <w:tr>
        <w:trPr>
          <w:cantSplit/>
        </w:trPr>
        <w:tc>
          <w:tcPr>
            <w:tcW w:type="dxa" w:w="9360"/>
            <w:tcMar>
              <w:top w:w="80" w:type="dxa"/>
              <w:bottom w:w="80" w:type="dxa"/>
              <w:start w:w="120" w:type="dxa"/>
              <w:end w:w="120" w:type="dxa"/>
            </w:tcMar>
            <w:shd w:fill="F4F6F9" w:val="clear"/>
          </w:tcPr>
          <w:p>
            <w:pPr>
              <w:keepNext/>
              <w:spacing w:after="60"/>
            </w:pPr>
            <w:r>
              <w:rPr>
                <w:rFonts w:ascii="Arial" w:hAnsi="Arial" w:cs="Arial"/>
                <w:b/>
                <w:color w:val="0B2545"/>
                <w:sz w:val="21"/>
              </w:rPr>
              <w:t>Öncelik dili</w:t>
            </w:r>
          </w:p>
          <w:p>
            <w:pPr>
              <w:keepLines/>
              <w:spacing w:after="0" w:line="264" w:lineRule="auto"/>
            </w:pPr>
            <w:r>
              <w:rPr>
                <w:rFonts w:ascii="Arial" w:hAnsi="Arial" w:cs="Arial"/>
                <w:color w:val="20262E"/>
                <w:sz w:val="20"/>
              </w:rPr>
              <w:t>P0 üretim güvenliği veya veri bütünlüğü için zorunlu; P1 güvenlik ve işletilebilirlik için yakın dönem; P2 ürün değerini ve ölçeklenebilirliği artıran orta dönem; P3 kontrollü araştırma veya ileri optimizasyon işidir.</w:t>
            </w:r>
          </w:p>
        </w:tc>
      </w:tr>
    </w:tbl>
    <w:p>
      <w:pPr>
        <w:spacing w:before="0" w:after="80" w:line="264" w:lineRule="auto"/>
      </w:pPr>
    </w:p>
    <w:p>
      <w:r>
        <w:br w:type="page"/>
      </w:r>
    </w:p>
    <w:p>
      <w:pPr>
        <w:pStyle w:val="Heading1"/>
      </w:pPr>
      <w:r>
        <w:rPr>
          <w:rFonts w:ascii="Arial" w:hAnsi="Arial" w:cs="Arial"/>
          <w:b/>
          <w:color w:val="2E74B5"/>
          <w:sz w:val="32"/>
        </w:rPr>
        <w:t>1. Yönetici özeti</w:t>
      </w:r>
    </w:p>
    <w:p>
      <w:pPr>
        <w:spacing w:before="0" w:after="120" w:line="264" w:lineRule="auto"/>
      </w:pPr>
      <w:r>
        <w:rPr>
          <w:rFonts w:ascii="Arial" w:hAnsi="Arial" w:cs="Arial"/>
          <w:b w:val="0"/>
          <w:i w:val="0"/>
          <w:color w:val="20262E"/>
          <w:sz w:val="21"/>
        </w:rPr>
        <w:t>TIP-AI; sentetik klinik vaka çözümü, anamnez ve test isteme, deterministik sunucu tarafı değerlendirme, öğrenci profili, içerik kalite kuyruğu ve rol tabanlı yönetim gibi güçlü bir çekirdeğe sahiptir. Bu çekirdek, yalnızca tanı doğruluğunu değil hasta güvenliği, gereksiz test ve ideal klinik yol boyutlarını da kapsadığı için sıradan bir soru bankasından daha değerlidir.</w:t>
      </w:r>
    </w:p>
    <w:p>
      <w:pPr>
        <w:spacing w:before="0" w:after="120" w:line="264" w:lineRule="auto"/>
      </w:pPr>
      <w:r>
        <w:rPr>
          <w:rFonts w:ascii="Arial" w:hAnsi="Arial" w:cs="Arial"/>
          <w:b w:val="0"/>
          <w:i w:val="0"/>
          <w:color w:val="20262E"/>
          <w:sz w:val="21"/>
        </w:rPr>
        <w:t>Buna karşılık mevcut mimaride kimlik akışının hâlâ JSON kullanıcı deposuna bağlı olması, operasyonel JSON depolarının tek replica gerektirmesi ve migration'ın Coolify başlangıcında garanti edilmemesi üretim olgunluğunu sınırlar. Güvenlik tarafında e-posta doğrulama, güvenli şifre sıfırlama, yönetici MFA'sı, paylaşımlı rate limit ve merkezi session revocation eksiktir. Sağlık kontrolleri, ölçülebilir servis hedefleri ve tarayıcı düzeyi E2E senaryoları da tamamlanmalıdır.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900"/>
        <w:gridCol w:w="1800"/>
        <w:gridCol w:w="4300"/>
        <w:gridCol w:w="2360"/>
      </w:tblGrid>
      <w:tr>
        <w:trPr>
          <w:tblHeader w:val="true"/>
        </w:trPr>
        <w:tc>
          <w:tcPr>
            <w:tcW w:type="dxa" w:w="9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Öncelik</w:t>
            </w:r>
          </w:p>
        </w:tc>
        <w:tc>
          <w:tcPr>
            <w:tcW w:type="dxa" w:w="18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Tema</w:t>
            </w:r>
          </w:p>
        </w:tc>
        <w:tc>
          <w:tcPr>
            <w:tcW w:type="dxa" w:w="4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Ana teslimatlar</w:t>
            </w:r>
          </w:p>
        </w:tc>
        <w:tc>
          <w:tcPr>
            <w:tcW w:type="dxa" w:w="23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Beklenen sonuç</w:t>
            </w:r>
          </w:p>
        </w:tc>
      </w:tr>
      <w:tr>
        <w:trPr>
          <w:cantSplit/>
        </w:trPr>
        <w:tc>
          <w:tcPr>
            <w:tcW w:type="dxa" w:w="900"/>
            <w:vAlign w:val="center"/>
          </w:tcPr>
          <w:p>
            <w:pPr>
              <w:spacing w:after="0" w:line="259" w:lineRule="auto"/>
              <w:jc w:val="center"/>
            </w:pPr>
            <w:r>
              <w:rPr>
                <w:rFonts w:ascii="Arial" w:hAnsi="Arial" w:cs="Arial"/>
                <w:color w:val="20262E"/>
                <w:sz w:val="17"/>
              </w:rPr>
              <w:t>P0</w:t>
            </w:r>
          </w:p>
        </w:tc>
        <w:tc>
          <w:tcPr>
            <w:tcW w:type="dxa" w:w="1800"/>
            <w:vAlign w:val="center"/>
          </w:tcPr>
          <w:p>
            <w:pPr>
              <w:spacing w:after="0" w:line="259" w:lineRule="auto"/>
              <w:jc w:val="left"/>
            </w:pPr>
            <w:r>
              <w:rPr>
                <w:rFonts w:ascii="Arial" w:hAnsi="Arial" w:cs="Arial"/>
                <w:color w:val="20262E"/>
                <w:sz w:val="17"/>
              </w:rPr>
              <w:t>Veri ve deploy temeli</w:t>
            </w:r>
          </w:p>
        </w:tc>
        <w:tc>
          <w:tcPr>
            <w:tcW w:type="dxa" w:w="4300"/>
            <w:vAlign w:val="center"/>
          </w:tcPr>
          <w:p>
            <w:pPr>
              <w:spacing w:after="0" w:line="259" w:lineRule="auto"/>
              <w:jc w:val="left"/>
            </w:pPr>
            <w:r>
              <w:rPr>
                <w:rFonts w:ascii="Arial" w:hAnsi="Arial" w:cs="Arial"/>
                <w:color w:val="20262E"/>
                <w:sz w:val="17"/>
              </w:rPr>
              <w:t>PostgreSQL runtime cutover; tek migration işi; geri dönüş planı; backup/restore kanıtı</w:t>
            </w:r>
          </w:p>
        </w:tc>
        <w:tc>
          <w:tcPr>
            <w:tcW w:type="dxa" w:w="2360"/>
            <w:vAlign w:val="center"/>
          </w:tcPr>
          <w:p>
            <w:pPr>
              <w:spacing w:after="0" w:line="259" w:lineRule="auto"/>
              <w:jc w:val="left"/>
            </w:pPr>
            <w:r>
              <w:rPr>
                <w:rFonts w:ascii="Arial" w:hAnsi="Arial" w:cs="Arial"/>
                <w:color w:val="20262E"/>
                <w:sz w:val="17"/>
              </w:rPr>
              <w:t>Veri kaybı ve kesinti riskini azaltır</w:t>
            </w:r>
          </w:p>
        </w:tc>
      </w:tr>
      <w:tr>
        <w:trPr>
          <w:cantSplit/>
        </w:trPr>
        <w:tc>
          <w:tcPr>
            <w:tcW w:type="dxa" w:w="900"/>
            <w:vAlign w:val="center"/>
          </w:tcPr>
          <w:p>
            <w:pPr>
              <w:spacing w:after="0" w:line="259" w:lineRule="auto"/>
              <w:jc w:val="center"/>
            </w:pPr>
            <w:r>
              <w:rPr>
                <w:rFonts w:ascii="Arial" w:hAnsi="Arial" w:cs="Arial"/>
                <w:color w:val="20262E"/>
                <w:sz w:val="17"/>
              </w:rPr>
              <w:t>P1</w:t>
            </w:r>
          </w:p>
        </w:tc>
        <w:tc>
          <w:tcPr>
            <w:tcW w:type="dxa" w:w="1800"/>
            <w:vAlign w:val="center"/>
          </w:tcPr>
          <w:p>
            <w:pPr>
              <w:spacing w:after="0" w:line="259" w:lineRule="auto"/>
              <w:jc w:val="left"/>
            </w:pPr>
            <w:r>
              <w:rPr>
                <w:rFonts w:ascii="Arial" w:hAnsi="Arial" w:cs="Arial"/>
                <w:color w:val="20262E"/>
                <w:sz w:val="17"/>
              </w:rPr>
              <w:t>Güvenlik ve işletilebilirlik</w:t>
            </w:r>
          </w:p>
        </w:tc>
        <w:tc>
          <w:tcPr>
            <w:tcW w:type="dxa" w:w="4300"/>
            <w:vAlign w:val="center"/>
          </w:tcPr>
          <w:p>
            <w:pPr>
              <w:spacing w:after="0" w:line="259" w:lineRule="auto"/>
              <w:jc w:val="left"/>
            </w:pPr>
            <w:r>
              <w:rPr>
                <w:rFonts w:ascii="Arial" w:hAnsi="Arial" w:cs="Arial"/>
                <w:color w:val="20262E"/>
                <w:sz w:val="17"/>
              </w:rPr>
              <w:t>MFA/passkey; reset/doğrulama; merkezi oturum; rate limit; health; OTel; E2E</w:t>
            </w:r>
          </w:p>
        </w:tc>
        <w:tc>
          <w:tcPr>
            <w:tcW w:type="dxa" w:w="2360"/>
            <w:vAlign w:val="center"/>
          </w:tcPr>
          <w:p>
            <w:pPr>
              <w:spacing w:after="0" w:line="259" w:lineRule="auto"/>
              <w:jc w:val="left"/>
            </w:pPr>
            <w:r>
              <w:rPr>
                <w:rFonts w:ascii="Arial" w:hAnsi="Arial" w:cs="Arial"/>
                <w:color w:val="20262E"/>
                <w:sz w:val="17"/>
              </w:rPr>
              <w:t>Güvenli ve ölçülebilir üretim</w:t>
            </w:r>
          </w:p>
        </w:tc>
      </w:tr>
      <w:tr>
        <w:trPr>
          <w:cantSplit/>
        </w:trPr>
        <w:tc>
          <w:tcPr>
            <w:tcW w:type="dxa" w:w="900"/>
            <w:vAlign w:val="center"/>
          </w:tcPr>
          <w:p>
            <w:pPr>
              <w:spacing w:after="0" w:line="259" w:lineRule="auto"/>
              <w:jc w:val="center"/>
            </w:pPr>
            <w:r>
              <w:rPr>
                <w:rFonts w:ascii="Arial" w:hAnsi="Arial" w:cs="Arial"/>
                <w:color w:val="20262E"/>
                <w:sz w:val="17"/>
              </w:rPr>
              <w:t>P2</w:t>
            </w:r>
          </w:p>
        </w:tc>
        <w:tc>
          <w:tcPr>
            <w:tcW w:type="dxa" w:w="1800"/>
            <w:vAlign w:val="center"/>
          </w:tcPr>
          <w:p>
            <w:pPr>
              <w:spacing w:after="0" w:line="259" w:lineRule="auto"/>
              <w:jc w:val="left"/>
            </w:pPr>
            <w:r>
              <w:rPr>
                <w:rFonts w:ascii="Arial" w:hAnsi="Arial" w:cs="Arial"/>
                <w:color w:val="20262E"/>
                <w:sz w:val="17"/>
              </w:rPr>
              <w:t>Ürün ve içerik değeri</w:t>
            </w:r>
          </w:p>
        </w:tc>
        <w:tc>
          <w:tcPr>
            <w:tcW w:type="dxa" w:w="4300"/>
            <w:vAlign w:val="center"/>
          </w:tcPr>
          <w:p>
            <w:pPr>
              <w:spacing w:after="0" w:line="259" w:lineRule="auto"/>
              <w:jc w:val="left"/>
            </w:pPr>
            <w:r>
              <w:rPr>
                <w:rFonts w:ascii="Arial" w:hAnsi="Arial" w:cs="Arial"/>
                <w:color w:val="20262E"/>
                <w:sz w:val="17"/>
              </w:rPr>
              <w:t>Uyarlanabilir öğrenme; öğretim üyesi/sınıf alanı; sürümlü onay; erişilebilirlik; LTI/Caliper</w:t>
            </w:r>
          </w:p>
        </w:tc>
        <w:tc>
          <w:tcPr>
            <w:tcW w:type="dxa" w:w="2360"/>
            <w:vAlign w:val="center"/>
          </w:tcPr>
          <w:p>
            <w:pPr>
              <w:spacing w:after="0" w:line="259" w:lineRule="auto"/>
              <w:jc w:val="left"/>
            </w:pPr>
            <w:r>
              <w:rPr>
                <w:rFonts w:ascii="Arial" w:hAnsi="Arial" w:cs="Arial"/>
                <w:color w:val="20262E"/>
                <w:sz w:val="17"/>
              </w:rPr>
              <w:t>Öğrenme etkisi ve kurumsal kullanım</w:t>
            </w:r>
          </w:p>
        </w:tc>
      </w:tr>
      <w:tr>
        <w:trPr>
          <w:cantSplit/>
        </w:trPr>
        <w:tc>
          <w:tcPr>
            <w:tcW w:type="dxa" w:w="900"/>
            <w:vAlign w:val="center"/>
          </w:tcPr>
          <w:p>
            <w:pPr>
              <w:spacing w:after="0" w:line="259" w:lineRule="auto"/>
              <w:jc w:val="center"/>
            </w:pPr>
            <w:r>
              <w:rPr>
                <w:rFonts w:ascii="Arial" w:hAnsi="Arial" w:cs="Arial"/>
                <w:color w:val="20262E"/>
                <w:sz w:val="17"/>
              </w:rPr>
              <w:t>P3</w:t>
            </w:r>
          </w:p>
        </w:tc>
        <w:tc>
          <w:tcPr>
            <w:tcW w:type="dxa" w:w="1800"/>
            <w:vAlign w:val="center"/>
          </w:tcPr>
          <w:p>
            <w:pPr>
              <w:spacing w:after="0" w:line="259" w:lineRule="auto"/>
              <w:jc w:val="left"/>
            </w:pPr>
            <w:r>
              <w:rPr>
                <w:rFonts w:ascii="Arial" w:hAnsi="Arial" w:cs="Arial"/>
                <w:color w:val="20262E"/>
                <w:sz w:val="17"/>
              </w:rPr>
              <w:t>Araştırma ve ileri yetenek</w:t>
            </w:r>
          </w:p>
        </w:tc>
        <w:tc>
          <w:tcPr>
            <w:tcW w:type="dxa" w:w="4300"/>
            <w:vAlign w:val="center"/>
          </w:tcPr>
          <w:p>
            <w:pPr>
              <w:spacing w:after="0" w:line="259" w:lineRule="auto"/>
              <w:jc w:val="left"/>
            </w:pPr>
            <w:r>
              <w:rPr>
                <w:rFonts w:ascii="Arial" w:hAnsi="Arial" w:cs="Arial"/>
                <w:color w:val="20262E"/>
                <w:sz w:val="17"/>
              </w:rPr>
              <w:t>Sınırlandırılmış AI hasta; MIMIC izole ETL; psikometri; ileri ölçek</w:t>
            </w:r>
          </w:p>
        </w:tc>
        <w:tc>
          <w:tcPr>
            <w:tcW w:type="dxa" w:w="2360"/>
            <w:vAlign w:val="center"/>
          </w:tcPr>
          <w:p>
            <w:pPr>
              <w:spacing w:after="0" w:line="259" w:lineRule="auto"/>
              <w:jc w:val="left"/>
            </w:pPr>
            <w:r>
              <w:rPr>
                <w:rFonts w:ascii="Arial" w:hAnsi="Arial" w:cs="Arial"/>
                <w:color w:val="20262E"/>
                <w:sz w:val="17"/>
              </w:rPr>
              <w:t>Kontrollü farklılaşma</w:t>
            </w:r>
          </w:p>
        </w:tc>
      </w:tr>
    </w:tbl>
    <w:p>
      <w:pPr>
        <w:spacing w:before="0" w:after="80" w:line="264" w:lineRule="auto"/>
      </w:pPr>
    </w:p>
    <w:p>
      <w:pPr>
        <w:pStyle w:val="Heading2"/>
      </w:pPr>
      <w:r>
        <w:rPr>
          <w:rFonts w:ascii="Arial" w:hAnsi="Arial" w:cs="Arial"/>
          <w:b/>
          <w:color w:val="2E74B5"/>
          <w:sz w:val="26"/>
        </w:rPr>
        <w:t>İlk 90 günde beklenen net sonuçlar</w:t>
      </w:r>
    </w:p>
    <w:p>
      <w:pPr>
        <w:keepLines/>
        <w:numPr>
          <w:ilvl w:val="0"/>
          <w:numId w:val="90"/>
        </w:numPr>
        <w:spacing w:after="100" w:line="280" w:lineRule="auto"/>
      </w:pPr>
      <w:r>
        <w:rPr>
          <w:rFonts w:ascii="Arial" w:hAnsi="Arial" w:cs="Arial"/>
          <w:color w:val="20262E"/>
          <w:sz w:val="21"/>
        </w:rPr>
        <w:t>Kimlik doğrulama ve kullanıcı yönetimi PostgreSQL üzerinden çalışır; JSON yalnızca kontrollü geri dönüş süresince tutulur.</w:t>
      </w:r>
    </w:p>
    <w:p>
      <w:pPr>
        <w:keepLines/>
        <w:numPr>
          <w:ilvl w:val="0"/>
          <w:numId w:val="90"/>
        </w:numPr>
        <w:spacing w:after="100" w:line="280" w:lineRule="auto"/>
      </w:pPr>
      <w:r>
        <w:rPr>
          <w:rFonts w:ascii="Arial" w:hAnsi="Arial" w:cs="Arial"/>
          <w:color w:val="20262E"/>
          <w:sz w:val="21"/>
        </w:rPr>
        <w:t>Migration, uygulama trafiğe açılmadan önce tek seferlik ve advisory lock korumalı bir release adımı olarak çalışır.</w:t>
      </w:r>
    </w:p>
    <w:p>
      <w:pPr>
        <w:keepLines/>
        <w:numPr>
          <w:ilvl w:val="0"/>
          <w:numId w:val="90"/>
        </w:numPr>
        <w:spacing w:after="100" w:line="280" w:lineRule="auto"/>
      </w:pPr>
      <w:r>
        <w:rPr>
          <w:rFonts w:ascii="Arial" w:hAnsi="Arial" w:cs="Arial"/>
          <w:color w:val="20262E"/>
          <w:sz w:val="21"/>
        </w:rPr>
        <w:t>Admin ve doktor hesaplarında phishing'e dayanıklı MFA/passkey veya en azından TOTP zorunludur; öğrenci için isteğe bağlıdır.</w:t>
      </w:r>
    </w:p>
    <w:p>
      <w:pPr>
        <w:keepLines/>
        <w:numPr>
          <w:ilvl w:val="0"/>
          <w:numId w:val="90"/>
        </w:numPr>
        <w:spacing w:after="100" w:line="280" w:lineRule="auto"/>
      </w:pPr>
      <w:r>
        <w:rPr>
          <w:rFonts w:ascii="Arial" w:hAnsi="Arial" w:cs="Arial"/>
          <w:color w:val="20262E"/>
          <w:sz w:val="21"/>
        </w:rPr>
        <w:t>Liveness/readiness uçları, merkezi yapılandırılmış loglar, temel metrikler ve alarm eşikleri aktiftir.</w:t>
      </w:r>
    </w:p>
    <w:p>
      <w:pPr>
        <w:keepLines/>
        <w:numPr>
          <w:ilvl w:val="0"/>
          <w:numId w:val="90"/>
        </w:numPr>
        <w:spacing w:after="100" w:line="280" w:lineRule="auto"/>
      </w:pPr>
      <w:r>
        <w:rPr>
          <w:rFonts w:ascii="Arial" w:hAnsi="Arial" w:cs="Arial"/>
          <w:color w:val="20262E"/>
          <w:sz w:val="21"/>
        </w:rPr>
        <w:t>Giriş, kayıt, çıkış, rol yetkileri, vaka tamamlama ve geri yükleme senaryoları CI'da otomatik doğrulanır.</w:t>
      </w:r>
    </w:p>
    <w:p>
      <w:pPr>
        <w:keepLines/>
        <w:numPr>
          <w:ilvl w:val="0"/>
          <w:numId w:val="90"/>
        </w:numPr>
        <w:spacing w:after="100" w:line="280" w:lineRule="auto"/>
      </w:pPr>
      <w:r>
        <w:rPr>
          <w:rFonts w:ascii="Arial" w:hAnsi="Arial" w:cs="Arial"/>
          <w:color w:val="20262E"/>
          <w:sz w:val="21"/>
        </w:rPr>
        <w:t>Backup politikası yalnızca dosya üretmekle kalmaz; düzenli restore tatbikatı ve ölçülmüş RPO/RTO ile kanıtlanır.</w:t>
      </w:r>
    </w:p>
    <w:tbl>
      <w:tblPr>
        <w:tblW w:type="dxa" w:w="9360"/>
        <w:jc w:val="left"/>
        <w:tblLayout w:type="fixed"/>
        <w:tblLook w:firstColumn="1" w:firstRow="1" w:lastColumn="0" w:lastRow="0" w:noHBand="0" w:noVBand="1" w:val="04A0"/>
        <w:tblInd w:w="120" w:type="dxa"/>
        <w:tblBorders>
          <w:top w:val="single" w:sz="9" w:space="0" w:color="9B1C1C"/>
          <w:left w:val="single" w:sz="9" w:space="0" w:color="9B1C1C"/>
          <w:bottom w:val="single" w:sz="9" w:space="0" w:color="9B1C1C"/>
          <w:right w:val="single" w:sz="9" w:space="0" w:color="9B1C1C"/>
        </w:tblBorders>
      </w:tblPr>
      <w:tblGrid>
        <w:gridCol w:w="9360"/>
      </w:tblGrid>
      <w:tr>
        <w:trPr>
          <w:cantSplit/>
        </w:trPr>
        <w:tc>
          <w:tcPr>
            <w:tcW w:type="dxa" w:w="9360"/>
            <w:tcMar>
              <w:top w:w="80" w:type="dxa"/>
              <w:bottom w:w="80" w:type="dxa"/>
              <w:start w:w="120" w:type="dxa"/>
              <w:end w:w="120" w:type="dxa"/>
            </w:tcMar>
            <w:shd w:fill="FDEEEE" w:val="clear"/>
          </w:tcPr>
          <w:p>
            <w:pPr>
              <w:keepNext/>
              <w:spacing w:after="60"/>
            </w:pPr>
            <w:r>
              <w:rPr>
                <w:rFonts w:ascii="Arial" w:hAnsi="Arial" w:cs="Arial"/>
                <w:b/>
                <w:color w:val="9B1C1C"/>
                <w:sz w:val="21"/>
              </w:rPr>
              <w:t>Karar kapısı</w:t>
            </w:r>
          </w:p>
          <w:p>
            <w:pPr>
              <w:keepLines/>
              <w:spacing w:after="0" w:line="264" w:lineRule="auto"/>
            </w:pPr>
            <w:r>
              <w:rPr>
                <w:rFonts w:ascii="Arial" w:hAnsi="Arial" w:cs="Arial"/>
                <w:color w:val="20262E"/>
                <w:sz w:val="20"/>
              </w:rPr>
              <w:t>P0 kabul kriterleri geçmeden TIP_AI_REPLICA_COUNT değeri 1'in üzerine çıkarılmamalı; JSON operasyon depoları çoklu yazıcıya açılmamalıdır.</w:t>
            </w:r>
          </w:p>
        </w:tc>
      </w:tr>
    </w:tbl>
    <w:p>
      <w:pPr>
        <w:spacing w:before="0" w:after="80" w:line="264" w:lineRule="auto"/>
      </w:pPr>
    </w:p>
    <w:p>
      <w:pPr>
        <w:pStyle w:val="Heading1"/>
      </w:pPr>
      <w:r>
        <w:rPr>
          <w:rFonts w:ascii="Arial" w:hAnsi="Arial" w:cs="Arial"/>
          <w:b/>
          <w:color w:val="2E74B5"/>
          <w:sz w:val="32"/>
        </w:rPr>
        <w:t>2. Mevcut sistemin olgunluk değerlendirmesi</w:t>
      </w:r>
    </w:p>
    <w:p>
      <w:pPr>
        <w:spacing w:before="0" w:after="120" w:line="264" w:lineRule="auto"/>
      </w:pPr>
      <w:r>
        <w:rPr>
          <w:rFonts w:ascii="Arial" w:hAnsi="Arial" w:cs="Arial"/>
          <w:b w:val="0"/>
          <w:i w:val="0"/>
          <w:color w:val="20262E"/>
          <w:sz w:val="21"/>
        </w:rPr>
        <w:t>Aşağıdaki puanlar 5 üzerinden sezgisel olgunluk puanıdır; ölçülmüş benchmark değildir. Amaç, ekip içinde yatırım sırasını görünür kılmaktır. Hedef puanlar 6-12 aylık uygulanabilir bir üretim seviyesini temsil eder.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2500"/>
        <w:gridCol w:w="800"/>
        <w:gridCol w:w="800"/>
        <w:gridCol w:w="5260"/>
      </w:tblGrid>
      <w:tr>
        <w:trPr>
          <w:tblHeader w:val="true"/>
        </w:trPr>
        <w:tc>
          <w:tcPr>
            <w:tcW w:type="dxa" w:w="25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Boyut</w:t>
            </w:r>
          </w:p>
        </w:tc>
        <w:tc>
          <w:tcPr>
            <w:tcW w:type="dxa" w:w="8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Bugün</w:t>
            </w:r>
          </w:p>
        </w:tc>
        <w:tc>
          <w:tcPr>
            <w:tcW w:type="dxa" w:w="8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Hedef</w:t>
            </w:r>
          </w:p>
        </w:tc>
        <w:tc>
          <w:tcPr>
            <w:tcW w:type="dxa" w:w="52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Gerekçe</w:t>
            </w:r>
          </w:p>
        </w:tc>
      </w:tr>
      <w:tr>
        <w:trPr>
          <w:cantSplit/>
        </w:trPr>
        <w:tc>
          <w:tcPr>
            <w:tcW w:type="dxa" w:w="2500"/>
            <w:vAlign w:val="center"/>
          </w:tcPr>
          <w:p>
            <w:pPr>
              <w:spacing w:after="0" w:line="259" w:lineRule="auto"/>
              <w:jc w:val="left"/>
            </w:pPr>
            <w:r>
              <w:rPr>
                <w:rFonts w:ascii="Arial" w:hAnsi="Arial" w:cs="Arial"/>
                <w:color w:val="20262E"/>
                <w:sz w:val="17"/>
              </w:rPr>
              <w:t>Eğitimsel vaka çekirdeği</w:t>
            </w:r>
          </w:p>
        </w:tc>
        <w:tc>
          <w:tcPr>
            <w:tcW w:type="dxa" w:w="800"/>
            <w:vAlign w:val="center"/>
          </w:tcPr>
          <w:p>
            <w:pPr>
              <w:spacing w:after="0" w:line="259" w:lineRule="auto"/>
              <w:jc w:val="center"/>
            </w:pPr>
            <w:r>
              <w:rPr>
                <w:rFonts w:ascii="Arial" w:hAnsi="Arial" w:cs="Arial"/>
                <w:color w:val="20262E"/>
                <w:sz w:val="17"/>
              </w:rPr>
              <w:t>4,0</w:t>
            </w:r>
          </w:p>
        </w:tc>
        <w:tc>
          <w:tcPr>
            <w:tcW w:type="dxa" w:w="800"/>
            <w:vAlign w:val="center"/>
          </w:tcPr>
          <w:p>
            <w:pPr>
              <w:spacing w:after="0" w:line="259" w:lineRule="auto"/>
              <w:jc w:val="center"/>
            </w:pPr>
            <w:r>
              <w:rPr>
                <w:rFonts w:ascii="Arial" w:hAnsi="Arial" w:cs="Arial"/>
                <w:color w:val="20262E"/>
                <w:sz w:val="17"/>
              </w:rPr>
              <w:t>4,5</w:t>
            </w:r>
          </w:p>
        </w:tc>
        <w:tc>
          <w:tcPr>
            <w:tcW w:type="dxa" w:w="5260"/>
            <w:vAlign w:val="center"/>
          </w:tcPr>
          <w:p>
            <w:pPr>
              <w:spacing w:after="0" w:line="259" w:lineRule="auto"/>
              <w:jc w:val="left"/>
            </w:pPr>
            <w:r>
              <w:rPr>
                <w:rFonts w:ascii="Arial" w:hAnsi="Arial" w:cs="Arial"/>
                <w:color w:val="20262E"/>
                <w:sz w:val="17"/>
              </w:rPr>
              <w:t>Çok boyutlu rubrik, red flag ve ideal yol mevcut</w:t>
            </w:r>
          </w:p>
        </w:tc>
      </w:tr>
      <w:tr>
        <w:trPr>
          <w:cantSplit/>
        </w:trPr>
        <w:tc>
          <w:tcPr>
            <w:tcW w:type="dxa" w:w="2500"/>
            <w:vAlign w:val="center"/>
          </w:tcPr>
          <w:p>
            <w:pPr>
              <w:spacing w:after="0" w:line="259" w:lineRule="auto"/>
              <w:jc w:val="left"/>
            </w:pPr>
            <w:r>
              <w:rPr>
                <w:rFonts w:ascii="Arial" w:hAnsi="Arial" w:cs="Arial"/>
                <w:color w:val="20262E"/>
                <w:sz w:val="17"/>
              </w:rPr>
              <w:t>İçerik kalite yönetişimi</w:t>
            </w:r>
          </w:p>
        </w:tc>
        <w:tc>
          <w:tcPr>
            <w:tcW w:type="dxa" w:w="800"/>
            <w:vAlign w:val="center"/>
          </w:tcPr>
          <w:p>
            <w:pPr>
              <w:spacing w:after="0" w:line="259" w:lineRule="auto"/>
              <w:jc w:val="center"/>
            </w:pPr>
            <w:r>
              <w:rPr>
                <w:rFonts w:ascii="Arial" w:hAnsi="Arial" w:cs="Arial"/>
                <w:color w:val="20262E"/>
                <w:sz w:val="17"/>
              </w:rPr>
              <w:t>3,5</w:t>
            </w:r>
          </w:p>
        </w:tc>
        <w:tc>
          <w:tcPr>
            <w:tcW w:type="dxa" w:w="800"/>
            <w:vAlign w:val="center"/>
          </w:tcPr>
          <w:p>
            <w:pPr>
              <w:spacing w:after="0" w:line="259" w:lineRule="auto"/>
              <w:jc w:val="center"/>
            </w:pPr>
            <w:r>
              <w:rPr>
                <w:rFonts w:ascii="Arial" w:hAnsi="Arial" w:cs="Arial"/>
                <w:color w:val="20262E"/>
                <w:sz w:val="17"/>
              </w:rPr>
              <w:t>4,5</w:t>
            </w:r>
          </w:p>
        </w:tc>
        <w:tc>
          <w:tcPr>
            <w:tcW w:type="dxa" w:w="5260"/>
            <w:vAlign w:val="center"/>
          </w:tcPr>
          <w:p>
            <w:pPr>
              <w:spacing w:after="0" w:line="259" w:lineRule="auto"/>
              <w:jc w:val="left"/>
            </w:pPr>
            <w:r>
              <w:rPr>
                <w:rFonts w:ascii="Arial" w:hAnsi="Arial" w:cs="Arial"/>
                <w:color w:val="20262E"/>
                <w:sz w:val="17"/>
              </w:rPr>
              <w:t>Kalite kuyruğu güçlü; iki aşamalı onay ve değişmez iz eksik</w:t>
            </w:r>
          </w:p>
        </w:tc>
      </w:tr>
      <w:tr>
        <w:trPr>
          <w:cantSplit/>
        </w:trPr>
        <w:tc>
          <w:tcPr>
            <w:tcW w:type="dxa" w:w="2500"/>
            <w:vAlign w:val="center"/>
          </w:tcPr>
          <w:p>
            <w:pPr>
              <w:spacing w:after="0" w:line="259" w:lineRule="auto"/>
              <w:jc w:val="left"/>
            </w:pPr>
            <w:r>
              <w:rPr>
                <w:rFonts w:ascii="Arial" w:hAnsi="Arial" w:cs="Arial"/>
                <w:color w:val="20262E"/>
                <w:sz w:val="17"/>
              </w:rPr>
              <w:t>Kimlik ve oturum güvenliği</w:t>
            </w:r>
          </w:p>
        </w:tc>
        <w:tc>
          <w:tcPr>
            <w:tcW w:type="dxa" w:w="800"/>
            <w:vAlign w:val="center"/>
          </w:tcPr>
          <w:p>
            <w:pPr>
              <w:spacing w:after="0" w:line="259" w:lineRule="auto"/>
              <w:jc w:val="center"/>
            </w:pPr>
            <w:r>
              <w:rPr>
                <w:rFonts w:ascii="Arial" w:hAnsi="Arial" w:cs="Arial"/>
                <w:color w:val="20262E"/>
                <w:sz w:val="17"/>
              </w:rPr>
              <w:t>2,5</w:t>
            </w:r>
          </w:p>
        </w:tc>
        <w:tc>
          <w:tcPr>
            <w:tcW w:type="dxa" w:w="800"/>
            <w:vAlign w:val="center"/>
          </w:tcPr>
          <w:p>
            <w:pPr>
              <w:spacing w:after="0" w:line="259" w:lineRule="auto"/>
              <w:jc w:val="center"/>
            </w:pPr>
            <w:r>
              <w:rPr>
                <w:rFonts w:ascii="Arial" w:hAnsi="Arial" w:cs="Arial"/>
                <w:color w:val="20262E"/>
                <w:sz w:val="17"/>
              </w:rPr>
              <w:t>4,5</w:t>
            </w:r>
          </w:p>
        </w:tc>
        <w:tc>
          <w:tcPr>
            <w:tcW w:type="dxa" w:w="5260"/>
            <w:vAlign w:val="center"/>
          </w:tcPr>
          <w:p>
            <w:pPr>
              <w:spacing w:after="0" w:line="259" w:lineRule="auto"/>
              <w:jc w:val="left"/>
            </w:pPr>
            <w:r>
              <w:rPr>
                <w:rFonts w:ascii="Arial" w:hAnsi="Arial" w:cs="Arial"/>
                <w:color w:val="20262E"/>
                <w:sz w:val="17"/>
              </w:rPr>
              <w:t>Güvenli cookie ve RBAC var; reset, MFA, merkezi iptal yok</w:t>
            </w:r>
          </w:p>
        </w:tc>
      </w:tr>
      <w:tr>
        <w:trPr>
          <w:cantSplit/>
        </w:trPr>
        <w:tc>
          <w:tcPr>
            <w:tcW w:type="dxa" w:w="2500"/>
            <w:vAlign w:val="center"/>
          </w:tcPr>
          <w:p>
            <w:pPr>
              <w:spacing w:after="0" w:line="259" w:lineRule="auto"/>
              <w:jc w:val="left"/>
            </w:pPr>
            <w:r>
              <w:rPr>
                <w:rFonts w:ascii="Arial" w:hAnsi="Arial" w:cs="Arial"/>
                <w:color w:val="20262E"/>
                <w:sz w:val="17"/>
              </w:rPr>
              <w:t>Veri mimarisi ve ölçek</w:t>
            </w:r>
          </w:p>
        </w:tc>
        <w:tc>
          <w:tcPr>
            <w:tcW w:type="dxa" w:w="800"/>
            <w:vAlign w:val="center"/>
          </w:tcPr>
          <w:p>
            <w:pPr>
              <w:spacing w:after="0" w:line="259" w:lineRule="auto"/>
              <w:jc w:val="center"/>
            </w:pPr>
            <w:r>
              <w:rPr>
                <w:rFonts w:ascii="Arial" w:hAnsi="Arial" w:cs="Arial"/>
                <w:color w:val="20262E"/>
                <w:sz w:val="17"/>
              </w:rPr>
              <w:t>2,0</w:t>
            </w:r>
          </w:p>
        </w:tc>
        <w:tc>
          <w:tcPr>
            <w:tcW w:type="dxa" w:w="800"/>
            <w:vAlign w:val="center"/>
          </w:tcPr>
          <w:p>
            <w:pPr>
              <w:spacing w:after="0" w:line="259" w:lineRule="auto"/>
              <w:jc w:val="center"/>
            </w:pPr>
            <w:r>
              <w:rPr>
                <w:rFonts w:ascii="Arial" w:hAnsi="Arial" w:cs="Arial"/>
                <w:color w:val="20262E"/>
                <w:sz w:val="17"/>
              </w:rPr>
              <w:t>4,0</w:t>
            </w:r>
          </w:p>
        </w:tc>
        <w:tc>
          <w:tcPr>
            <w:tcW w:type="dxa" w:w="5260"/>
            <w:vAlign w:val="center"/>
          </w:tcPr>
          <w:p>
            <w:pPr>
              <w:spacing w:after="0" w:line="259" w:lineRule="auto"/>
              <w:jc w:val="left"/>
            </w:pPr>
            <w:r>
              <w:rPr>
                <w:rFonts w:ascii="Arial" w:hAnsi="Arial" w:cs="Arial"/>
                <w:color w:val="20262E"/>
                <w:sz w:val="17"/>
              </w:rPr>
              <w:t>PostgreSQL hazır; runtime ve operasyon depoları JSON'a bağlı</w:t>
            </w:r>
          </w:p>
        </w:tc>
      </w:tr>
      <w:tr>
        <w:trPr>
          <w:cantSplit/>
        </w:trPr>
        <w:tc>
          <w:tcPr>
            <w:tcW w:type="dxa" w:w="2500"/>
            <w:vAlign w:val="center"/>
          </w:tcPr>
          <w:p>
            <w:pPr>
              <w:spacing w:after="0" w:line="259" w:lineRule="auto"/>
              <w:jc w:val="left"/>
            </w:pPr>
            <w:r>
              <w:rPr>
                <w:rFonts w:ascii="Arial" w:hAnsi="Arial" w:cs="Arial"/>
                <w:color w:val="20262E"/>
                <w:sz w:val="17"/>
              </w:rPr>
              <w:t>Dağıtım ve felaket kurtarma</w:t>
            </w:r>
          </w:p>
        </w:tc>
        <w:tc>
          <w:tcPr>
            <w:tcW w:type="dxa" w:w="800"/>
            <w:vAlign w:val="center"/>
          </w:tcPr>
          <w:p>
            <w:pPr>
              <w:spacing w:after="0" w:line="259" w:lineRule="auto"/>
              <w:jc w:val="center"/>
            </w:pPr>
            <w:r>
              <w:rPr>
                <w:rFonts w:ascii="Arial" w:hAnsi="Arial" w:cs="Arial"/>
                <w:color w:val="20262E"/>
                <w:sz w:val="17"/>
              </w:rPr>
              <w:t>2,0</w:t>
            </w:r>
          </w:p>
        </w:tc>
        <w:tc>
          <w:tcPr>
            <w:tcW w:type="dxa" w:w="800"/>
            <w:vAlign w:val="center"/>
          </w:tcPr>
          <w:p>
            <w:pPr>
              <w:spacing w:after="0" w:line="259" w:lineRule="auto"/>
              <w:jc w:val="center"/>
            </w:pPr>
            <w:r>
              <w:rPr>
                <w:rFonts w:ascii="Arial" w:hAnsi="Arial" w:cs="Arial"/>
                <w:color w:val="20262E"/>
                <w:sz w:val="17"/>
              </w:rPr>
              <w:t>4,0</w:t>
            </w:r>
          </w:p>
        </w:tc>
        <w:tc>
          <w:tcPr>
            <w:tcW w:type="dxa" w:w="5260"/>
            <w:vAlign w:val="center"/>
          </w:tcPr>
          <w:p>
            <w:pPr>
              <w:spacing w:after="0" w:line="259" w:lineRule="auto"/>
              <w:jc w:val="left"/>
            </w:pPr>
            <w:r>
              <w:rPr>
                <w:rFonts w:ascii="Arial" w:hAnsi="Arial" w:cs="Arial"/>
                <w:color w:val="20262E"/>
                <w:sz w:val="17"/>
              </w:rPr>
              <w:t>Backup var; start migration ve düzenli restore kanıtı eksik</w:t>
            </w:r>
          </w:p>
        </w:tc>
      </w:tr>
      <w:tr>
        <w:trPr>
          <w:cantSplit/>
        </w:trPr>
        <w:tc>
          <w:tcPr>
            <w:tcW w:type="dxa" w:w="2500"/>
            <w:vAlign w:val="center"/>
          </w:tcPr>
          <w:p>
            <w:pPr>
              <w:spacing w:after="0" w:line="259" w:lineRule="auto"/>
              <w:jc w:val="left"/>
            </w:pPr>
            <w:r>
              <w:rPr>
                <w:rFonts w:ascii="Arial" w:hAnsi="Arial" w:cs="Arial"/>
                <w:color w:val="20262E"/>
                <w:sz w:val="17"/>
              </w:rPr>
              <w:t>Gözlemlenebilirlik</w:t>
            </w:r>
          </w:p>
        </w:tc>
        <w:tc>
          <w:tcPr>
            <w:tcW w:type="dxa" w:w="800"/>
            <w:vAlign w:val="center"/>
          </w:tcPr>
          <w:p>
            <w:pPr>
              <w:spacing w:after="0" w:line="259" w:lineRule="auto"/>
              <w:jc w:val="center"/>
            </w:pPr>
            <w:r>
              <w:rPr>
                <w:rFonts w:ascii="Arial" w:hAnsi="Arial" w:cs="Arial"/>
                <w:color w:val="20262E"/>
                <w:sz w:val="17"/>
              </w:rPr>
              <w:t>1,5</w:t>
            </w:r>
          </w:p>
        </w:tc>
        <w:tc>
          <w:tcPr>
            <w:tcW w:type="dxa" w:w="800"/>
            <w:vAlign w:val="center"/>
          </w:tcPr>
          <w:p>
            <w:pPr>
              <w:spacing w:after="0" w:line="259" w:lineRule="auto"/>
              <w:jc w:val="center"/>
            </w:pPr>
            <w:r>
              <w:rPr>
                <w:rFonts w:ascii="Arial" w:hAnsi="Arial" w:cs="Arial"/>
                <w:color w:val="20262E"/>
                <w:sz w:val="17"/>
              </w:rPr>
              <w:t>4,0</w:t>
            </w:r>
          </w:p>
        </w:tc>
        <w:tc>
          <w:tcPr>
            <w:tcW w:type="dxa" w:w="5260"/>
            <w:vAlign w:val="center"/>
          </w:tcPr>
          <w:p>
            <w:pPr>
              <w:spacing w:after="0" w:line="259" w:lineRule="auto"/>
              <w:jc w:val="left"/>
            </w:pPr>
            <w:r>
              <w:rPr>
                <w:rFonts w:ascii="Arial" w:hAnsi="Arial" w:cs="Arial"/>
                <w:color w:val="20262E"/>
                <w:sz w:val="17"/>
              </w:rPr>
              <w:t>Health, SLO, metrik ve alarm seti tanımlı değil</w:t>
            </w:r>
          </w:p>
        </w:tc>
      </w:tr>
      <w:tr>
        <w:trPr>
          <w:cantSplit/>
        </w:trPr>
        <w:tc>
          <w:tcPr>
            <w:tcW w:type="dxa" w:w="2500"/>
            <w:vAlign w:val="center"/>
          </w:tcPr>
          <w:p>
            <w:pPr>
              <w:spacing w:after="0" w:line="259" w:lineRule="auto"/>
              <w:jc w:val="left"/>
            </w:pPr>
            <w:r>
              <w:rPr>
                <w:rFonts w:ascii="Arial" w:hAnsi="Arial" w:cs="Arial"/>
                <w:color w:val="20262E"/>
                <w:sz w:val="17"/>
              </w:rPr>
              <w:t>Test otomasyonu</w:t>
            </w:r>
          </w:p>
        </w:tc>
        <w:tc>
          <w:tcPr>
            <w:tcW w:type="dxa" w:w="800"/>
            <w:vAlign w:val="center"/>
          </w:tcPr>
          <w:p>
            <w:pPr>
              <w:spacing w:after="0" w:line="259" w:lineRule="auto"/>
              <w:jc w:val="center"/>
            </w:pPr>
            <w:r>
              <w:rPr>
                <w:rFonts w:ascii="Arial" w:hAnsi="Arial" w:cs="Arial"/>
                <w:color w:val="20262E"/>
                <w:sz w:val="17"/>
              </w:rPr>
              <w:t>3,0</w:t>
            </w:r>
          </w:p>
        </w:tc>
        <w:tc>
          <w:tcPr>
            <w:tcW w:type="dxa" w:w="800"/>
            <w:vAlign w:val="center"/>
          </w:tcPr>
          <w:p>
            <w:pPr>
              <w:spacing w:after="0" w:line="259" w:lineRule="auto"/>
              <w:jc w:val="center"/>
            </w:pPr>
            <w:r>
              <w:rPr>
                <w:rFonts w:ascii="Arial" w:hAnsi="Arial" w:cs="Arial"/>
                <w:color w:val="20262E"/>
                <w:sz w:val="17"/>
              </w:rPr>
              <w:t>4,5</w:t>
            </w:r>
          </w:p>
        </w:tc>
        <w:tc>
          <w:tcPr>
            <w:tcW w:type="dxa" w:w="5260"/>
            <w:vAlign w:val="center"/>
          </w:tcPr>
          <w:p>
            <w:pPr>
              <w:spacing w:after="0" w:line="259" w:lineRule="auto"/>
              <w:jc w:val="left"/>
            </w:pPr>
            <w:r>
              <w:rPr>
                <w:rFonts w:ascii="Arial" w:hAnsi="Arial" w:cs="Arial"/>
                <w:color w:val="20262E"/>
                <w:sz w:val="17"/>
              </w:rPr>
              <w:t>74 test ve build var; E2E, yük ve cutover kabulü eksik</w:t>
            </w:r>
          </w:p>
        </w:tc>
      </w:tr>
      <w:tr>
        <w:trPr>
          <w:cantSplit/>
        </w:trPr>
        <w:tc>
          <w:tcPr>
            <w:tcW w:type="dxa" w:w="2500"/>
            <w:vAlign w:val="center"/>
          </w:tcPr>
          <w:p>
            <w:pPr>
              <w:spacing w:after="0" w:line="259" w:lineRule="auto"/>
              <w:jc w:val="left"/>
            </w:pPr>
            <w:r>
              <w:rPr>
                <w:rFonts w:ascii="Arial" w:hAnsi="Arial" w:cs="Arial"/>
                <w:color w:val="20262E"/>
                <w:sz w:val="17"/>
              </w:rPr>
              <w:t>Öğrenci/öğretim üyesi ürünü</w:t>
            </w:r>
          </w:p>
        </w:tc>
        <w:tc>
          <w:tcPr>
            <w:tcW w:type="dxa" w:w="800"/>
            <w:vAlign w:val="center"/>
          </w:tcPr>
          <w:p>
            <w:pPr>
              <w:spacing w:after="0" w:line="259" w:lineRule="auto"/>
              <w:jc w:val="center"/>
            </w:pPr>
            <w:r>
              <w:rPr>
                <w:rFonts w:ascii="Arial" w:hAnsi="Arial" w:cs="Arial"/>
                <w:color w:val="20262E"/>
                <w:sz w:val="17"/>
              </w:rPr>
              <w:t>3,0</w:t>
            </w:r>
          </w:p>
        </w:tc>
        <w:tc>
          <w:tcPr>
            <w:tcW w:type="dxa" w:w="800"/>
            <w:vAlign w:val="center"/>
          </w:tcPr>
          <w:p>
            <w:pPr>
              <w:spacing w:after="0" w:line="259" w:lineRule="auto"/>
              <w:jc w:val="center"/>
            </w:pPr>
            <w:r>
              <w:rPr>
                <w:rFonts w:ascii="Arial" w:hAnsi="Arial" w:cs="Arial"/>
                <w:color w:val="20262E"/>
                <w:sz w:val="17"/>
              </w:rPr>
              <w:t>4,5</w:t>
            </w:r>
          </w:p>
        </w:tc>
        <w:tc>
          <w:tcPr>
            <w:tcW w:type="dxa" w:w="5260"/>
            <w:vAlign w:val="center"/>
          </w:tcPr>
          <w:p>
            <w:pPr>
              <w:spacing w:after="0" w:line="259" w:lineRule="auto"/>
              <w:jc w:val="left"/>
            </w:pPr>
            <w:r>
              <w:rPr>
                <w:rFonts w:ascii="Arial" w:hAnsi="Arial" w:cs="Arial"/>
                <w:color w:val="20262E"/>
                <w:sz w:val="17"/>
              </w:rPr>
              <w:t>Profil güçlü; sınıf, görev, adaptasyon ve geri bildirim akışı sınırlı</w:t>
            </w:r>
          </w:p>
        </w:tc>
      </w:tr>
      <w:tr>
        <w:trPr>
          <w:cantSplit/>
        </w:trPr>
        <w:tc>
          <w:tcPr>
            <w:tcW w:type="dxa" w:w="2500"/>
            <w:vAlign w:val="center"/>
          </w:tcPr>
          <w:p>
            <w:pPr>
              <w:spacing w:after="0" w:line="259" w:lineRule="auto"/>
              <w:jc w:val="left"/>
            </w:pPr>
            <w:r>
              <w:rPr>
                <w:rFonts w:ascii="Arial" w:hAnsi="Arial" w:cs="Arial"/>
                <w:color w:val="20262E"/>
                <w:sz w:val="17"/>
              </w:rPr>
              <w:t>Gizlilik ve veri yönetişimi</w:t>
            </w:r>
          </w:p>
        </w:tc>
        <w:tc>
          <w:tcPr>
            <w:tcW w:type="dxa" w:w="800"/>
            <w:vAlign w:val="center"/>
          </w:tcPr>
          <w:p>
            <w:pPr>
              <w:spacing w:after="0" w:line="259" w:lineRule="auto"/>
              <w:jc w:val="center"/>
            </w:pPr>
            <w:r>
              <w:rPr>
                <w:rFonts w:ascii="Arial" w:hAnsi="Arial" w:cs="Arial"/>
                <w:color w:val="20262E"/>
                <w:sz w:val="17"/>
              </w:rPr>
              <w:t>2,5</w:t>
            </w:r>
          </w:p>
        </w:tc>
        <w:tc>
          <w:tcPr>
            <w:tcW w:type="dxa" w:w="800"/>
            <w:vAlign w:val="center"/>
          </w:tcPr>
          <w:p>
            <w:pPr>
              <w:spacing w:after="0" w:line="259" w:lineRule="auto"/>
              <w:jc w:val="center"/>
            </w:pPr>
            <w:r>
              <w:rPr>
                <w:rFonts w:ascii="Arial" w:hAnsi="Arial" w:cs="Arial"/>
                <w:color w:val="20262E"/>
                <w:sz w:val="17"/>
              </w:rPr>
              <w:t>4,5</w:t>
            </w:r>
          </w:p>
        </w:tc>
        <w:tc>
          <w:tcPr>
            <w:tcW w:type="dxa" w:w="5260"/>
            <w:vAlign w:val="center"/>
          </w:tcPr>
          <w:p>
            <w:pPr>
              <w:spacing w:after="0" w:line="259" w:lineRule="auto"/>
              <w:jc w:val="left"/>
            </w:pPr>
            <w:r>
              <w:rPr>
                <w:rFonts w:ascii="Arial" w:hAnsi="Arial" w:cs="Arial"/>
                <w:color w:val="20262E"/>
                <w:sz w:val="17"/>
              </w:rPr>
              <w:t>Sentetik veri sınırı doğru; retention, hak talepleri ve AI/MIMIC zonları eksik</w:t>
            </w:r>
          </w:p>
        </w:tc>
      </w:tr>
      <w:tr>
        <w:trPr>
          <w:cantSplit/>
        </w:trPr>
        <w:tc>
          <w:tcPr>
            <w:tcW w:type="dxa" w:w="2500"/>
            <w:vAlign w:val="center"/>
          </w:tcPr>
          <w:p>
            <w:pPr>
              <w:spacing w:after="0" w:line="259" w:lineRule="auto"/>
              <w:jc w:val="left"/>
            </w:pPr>
            <w:r>
              <w:rPr>
                <w:rFonts w:ascii="Arial" w:hAnsi="Arial" w:cs="Arial"/>
                <w:color w:val="20262E"/>
                <w:sz w:val="17"/>
              </w:rPr>
              <w:t>Kurumsal entegrasyon</w:t>
            </w:r>
          </w:p>
        </w:tc>
        <w:tc>
          <w:tcPr>
            <w:tcW w:type="dxa" w:w="800"/>
            <w:vAlign w:val="center"/>
          </w:tcPr>
          <w:p>
            <w:pPr>
              <w:spacing w:after="0" w:line="259" w:lineRule="auto"/>
              <w:jc w:val="center"/>
            </w:pPr>
            <w:r>
              <w:rPr>
                <w:rFonts w:ascii="Arial" w:hAnsi="Arial" w:cs="Arial"/>
                <w:color w:val="20262E"/>
                <w:sz w:val="17"/>
              </w:rPr>
              <w:t>1,5</w:t>
            </w:r>
          </w:p>
        </w:tc>
        <w:tc>
          <w:tcPr>
            <w:tcW w:type="dxa" w:w="800"/>
            <w:vAlign w:val="center"/>
          </w:tcPr>
          <w:p>
            <w:pPr>
              <w:spacing w:after="0" w:line="259" w:lineRule="auto"/>
              <w:jc w:val="center"/>
            </w:pPr>
            <w:r>
              <w:rPr>
                <w:rFonts w:ascii="Arial" w:hAnsi="Arial" w:cs="Arial"/>
                <w:color w:val="20262E"/>
                <w:sz w:val="17"/>
              </w:rPr>
              <w:t>3,5</w:t>
            </w:r>
          </w:p>
        </w:tc>
        <w:tc>
          <w:tcPr>
            <w:tcW w:type="dxa" w:w="5260"/>
            <w:vAlign w:val="center"/>
          </w:tcPr>
          <w:p>
            <w:pPr>
              <w:spacing w:after="0" w:line="259" w:lineRule="auto"/>
              <w:jc w:val="left"/>
            </w:pPr>
            <w:r>
              <w:rPr>
                <w:rFonts w:ascii="Arial" w:hAnsi="Arial" w:cs="Arial"/>
                <w:color w:val="20262E"/>
                <w:sz w:val="17"/>
              </w:rPr>
              <w:t>LMS/SSO ve öğrenme olayı standardı henüz yok</w:t>
            </w:r>
          </w:p>
        </w:tc>
      </w:tr>
    </w:tbl>
    <w:p>
      <w:pPr>
        <w:spacing w:before="0" w:after="80" w:line="264" w:lineRule="auto"/>
      </w:pPr>
    </w:p>
    <w:p>
      <w:pPr>
        <w:pStyle w:val="Heading2"/>
      </w:pPr>
      <w:r>
        <w:rPr>
          <w:rFonts w:ascii="Arial" w:hAnsi="Arial" w:cs="Arial"/>
          <w:b/>
          <w:color w:val="2E74B5"/>
          <w:sz w:val="26"/>
        </w:rPr>
        <w:t>Mevcut güçlü yönler</w:t>
      </w:r>
    </w:p>
    <w:p>
      <w:pPr>
        <w:keepLines/>
        <w:numPr>
          <w:ilvl w:val="0"/>
          <w:numId w:val="90"/>
        </w:numPr>
        <w:spacing w:after="100" w:line="280" w:lineRule="auto"/>
      </w:pPr>
      <w:r>
        <w:rPr>
          <w:rFonts w:ascii="Arial" w:hAnsi="Arial" w:cs="Arial"/>
          <w:color w:val="20262E"/>
          <w:sz w:val="21"/>
        </w:rPr>
        <w:t>Değerlendirmenin istemci beyanına güvenmeyip sunucuda yapılması skor manipülasyonunu azaltır.</w:t>
      </w:r>
    </w:p>
    <w:p>
      <w:pPr>
        <w:keepLines/>
        <w:numPr>
          <w:ilvl w:val="0"/>
          <w:numId w:val="90"/>
        </w:numPr>
        <w:spacing w:after="100" w:line="280" w:lineRule="auto"/>
      </w:pPr>
      <w:r>
        <w:rPr>
          <w:rFonts w:ascii="Arial" w:hAnsi="Arial" w:cs="Arial"/>
          <w:color w:val="20262E"/>
          <w:sz w:val="21"/>
        </w:rPr>
        <w:t>Vaka modelinin ideal klinik yol, vital, komorbidite, tedavi, eğitim notu, yayın ve sürüm alanlarını taşıması içerik yönetişimi için iyi bir temeldir.</w:t>
      </w:r>
    </w:p>
    <w:p>
      <w:pPr>
        <w:keepLines/>
        <w:numPr>
          <w:ilvl w:val="0"/>
          <w:numId w:val="90"/>
        </w:numPr>
        <w:spacing w:after="100" w:line="280" w:lineRule="auto"/>
      </w:pPr>
      <w:r>
        <w:rPr>
          <w:rFonts w:ascii="Arial" w:hAnsi="Arial" w:cs="Arial"/>
          <w:color w:val="20262E"/>
          <w:sz w:val="21"/>
        </w:rPr>
        <w:t>Aktif vaka öncesi klinik yayın denetimi ve önceliklendirilmiş kalite kuyruğu, güvenlik açısından doğru ürün davranışıdır.</w:t>
      </w:r>
    </w:p>
    <w:p>
      <w:pPr>
        <w:keepLines/>
        <w:numPr>
          <w:ilvl w:val="0"/>
          <w:numId w:val="90"/>
        </w:numPr>
        <w:spacing w:after="100" w:line="280" w:lineRule="auto"/>
      </w:pPr>
      <w:r>
        <w:rPr>
          <w:rFonts w:ascii="Arial" w:hAnsi="Arial" w:cs="Arial"/>
          <w:color w:val="20262E"/>
          <w:sz w:val="21"/>
        </w:rPr>
        <w:t>Argon2id altyapısı, legacy hash yükseltmesi, idempotent import ve advisory lock yaklaşımı cutover riskini düşürür.</w:t>
      </w:r>
    </w:p>
    <w:p>
      <w:pPr>
        <w:keepLines/>
        <w:numPr>
          <w:ilvl w:val="0"/>
          <w:numId w:val="90"/>
        </w:numPr>
        <w:spacing w:after="100" w:line="280" w:lineRule="auto"/>
      </w:pPr>
      <w:r>
        <w:rPr>
          <w:rFonts w:ascii="Arial" w:hAnsi="Arial" w:cs="Arial"/>
          <w:color w:val="20262E"/>
          <w:sz w:val="21"/>
        </w:rPr>
        <w:t>Süper admin koruması, rol ayrımı, genel hata mesajları ve bozuk JSON karantinası savunma katmanlarını güçlendirir.</w:t>
      </w:r>
    </w:p>
    <w:p>
      <w:pPr>
        <w:keepLines/>
        <w:numPr>
          <w:ilvl w:val="0"/>
          <w:numId w:val="90"/>
        </w:numPr>
        <w:spacing w:after="100" w:line="280" w:lineRule="auto"/>
      </w:pPr>
      <w:r>
        <w:rPr>
          <w:rFonts w:ascii="Arial" w:hAnsi="Arial" w:cs="Arial"/>
          <w:color w:val="20262E"/>
          <w:sz w:val="21"/>
        </w:rPr>
        <w:t>Öğrenci profilinin yalnızca toplam puan değil poliklinik performansı ve red flag önceliği göstermesi pedagojik olarak değerlidir.</w:t>
      </w:r>
    </w:p>
    <w:p>
      <w:pPr>
        <w:pStyle w:val="Heading2"/>
      </w:pPr>
      <w:r>
        <w:rPr>
          <w:rFonts w:ascii="Arial" w:hAnsi="Arial" w:cs="Arial"/>
          <w:b/>
          <w:color w:val="2E74B5"/>
          <w:sz w:val="26"/>
        </w:rPr>
        <w:t>Kritik zayıflık zinciri</w:t>
      </w:r>
    </w:p>
    <w:p>
      <w:pPr>
        <w:spacing w:before="0" w:after="120" w:line="264" w:lineRule="auto"/>
      </w:pPr>
      <w:r>
        <w:rPr>
          <w:rFonts w:ascii="Arial" w:hAnsi="Arial" w:cs="Arial"/>
          <w:b w:val="0"/>
          <w:i w:val="0"/>
          <w:color w:val="20262E"/>
          <w:sz w:val="21"/>
        </w:rPr>
        <w:t>Bugünkü en önemli risk tek bir hata değil, birbirini büyüten zincirdir: JSON runtime kimliği → tek replica zorunluluğu → deploy sırasında migration belirsizliği → sınırlı health/telemetry → sorun olduğunda geç fark etme → yedekten dönüşün düzenli kanıtlanmaması. Yol haritası bu nedenle özellik sayısından önce zinciri kırmaya odaklanır.</w:t>
      </w:r>
    </w:p>
    <w:p>
      <w:pPr>
        <w:pStyle w:val="Heading1"/>
      </w:pPr>
      <w:r>
        <w:rPr>
          <w:rFonts w:ascii="Arial" w:hAnsi="Arial" w:cs="Arial"/>
          <w:b/>
          <w:color w:val="2E74B5"/>
          <w:sz w:val="32"/>
        </w:rPr>
        <w:t>3. Hedef mimari ve tasarım ilkeleri</w:t>
      </w:r>
    </w:p>
    <w:p>
      <w:pPr>
        <w:spacing w:before="0" w:after="120" w:line="264" w:lineRule="auto"/>
      </w:pPr>
      <w:r>
        <w:rPr>
          <w:rFonts w:ascii="Arial" w:hAnsi="Arial" w:cs="Arial"/>
          <w:b w:val="0"/>
          <w:i w:val="0"/>
          <w:color w:val="20262E"/>
          <w:sz w:val="21"/>
        </w:rPr>
        <w:t>Önerilen hedef, erken aşamada mikroservisleşmek değil; modüler monoliti koruyup veri sahipliğini ve gözlemlenebilirliği merkezileştirmektir. Next.js uygulaması tek deploy birimi olabilir; ancak kimlik, vaka/içerik, simülasyon/skor ve analitik/yönetim modülleri net sözleşmelere sahip olmalıdır.</w:t>
      </w:r>
    </w:p>
    <w:p>
      <w:pPr>
        <w:jc w:val="center"/>
      </w:pPr>
      <w:r>
        <w:drawing>
          <wp:inline xmlns:a="http://schemas.openxmlformats.org/drawingml/2006/main" xmlns:pic="http://schemas.openxmlformats.org/drawingml/2006/picture">
            <wp:extent cx="5806440" cy="3086075"/>
            <wp:docPr id="1" name="Picture 1" descr="TIP-AI hedef mimarisi: kullanıcılar ve LMS, Next.js modüler monolit, PostgreSQL, nesne deposu, iş kuyruğu, gözlemlenebilirlik ve izole araştırma veri alanı."/>
            <wp:cNvGraphicFramePr>
              <a:graphicFrameLocks noChangeAspect="1"/>
            </wp:cNvGraphicFramePr>
            <a:graphic>
              <a:graphicData uri="http://schemas.openxmlformats.org/drawingml/2006/picture">
                <pic:pic>
                  <pic:nvPicPr>
                    <pic:cNvPr id="0" name="tip_ai_target_architecture.png"/>
                    <pic:cNvPicPr/>
                  </pic:nvPicPr>
                  <pic:blipFill>
                    <a:blip r:embed="rId13"/>
                    <a:stretch>
                      <a:fillRect/>
                    </a:stretch>
                  </pic:blipFill>
                  <pic:spPr>
                    <a:xfrm>
                      <a:off x="0" y="0"/>
                      <a:ext cx="5806440" cy="3086075"/>
                    </a:xfrm>
                    <a:prstGeom prst="rect"/>
                  </pic:spPr>
                </pic:pic>
              </a:graphicData>
            </a:graphic>
          </wp:inline>
        </w:drawing>
      </w:r>
    </w:p>
    <w:p>
      <w:pPr>
        <w:spacing w:before="0" w:after="160" w:line="264" w:lineRule="auto"/>
        <w:jc w:val="center"/>
      </w:pPr>
      <w:r>
        <w:rPr>
          <w:rFonts w:ascii="Arial" w:hAnsi="Arial" w:cs="Arial"/>
          <w:b w:val="0"/>
          <w:i/>
          <w:color w:val="5D6875"/>
          <w:sz w:val="17"/>
        </w:rPr>
        <w:t>Şekil 1. TIP-AI için önerilen hedef mimari.</w:t>
      </w:r>
    </w:p>
    <w:p>
      <w:pPr>
        <w:spacing w:before="0" w:after="100" w:line="264" w:lineRule="auto"/>
      </w:pPr>
      <w:r>
        <w:rPr>
          <w:rFonts w:ascii="Arial" w:hAnsi="Arial" w:cs="Arial"/>
          <w:b/>
          <w:color w:val="0B2545"/>
          <w:sz w:val="21"/>
        </w:rPr>
        <w:t xml:space="preserve">Tek doğruluk kaynağı: </w:t>
      </w:r>
      <w:r>
        <w:rPr>
          <w:rFonts w:ascii="Arial" w:hAnsi="Arial" w:cs="Arial"/>
          <w:color w:val="20262E"/>
          <w:sz w:val="21"/>
        </w:rPr>
        <w:t>Kullanıcı, oturum, vaka sürümü, deneme, değerlendirme ve audit kayıtlarının yetkili kaynağı PostgreSQL olmalıdır.</w:t>
      </w:r>
    </w:p>
    <w:p>
      <w:pPr>
        <w:spacing w:before="0" w:after="100" w:line="264" w:lineRule="auto"/>
      </w:pPr>
      <w:r>
        <w:rPr>
          <w:rFonts w:ascii="Arial" w:hAnsi="Arial" w:cs="Arial"/>
          <w:b/>
          <w:color w:val="0B2545"/>
          <w:sz w:val="21"/>
        </w:rPr>
        <w:t xml:space="preserve">Deterministik eğitim çekirdeği: </w:t>
      </w:r>
      <w:r>
        <w:rPr>
          <w:rFonts w:ascii="Arial" w:hAnsi="Arial" w:cs="Arial"/>
          <w:color w:val="20262E"/>
          <w:sz w:val="21"/>
        </w:rPr>
        <w:t>Nihai skor ve kritik güvenlik değerlendirmesi sürümlü, tekrar üretilebilir kurallarla hesaplanmalıdır.</w:t>
      </w:r>
    </w:p>
    <w:p>
      <w:pPr>
        <w:spacing w:before="0" w:after="100" w:line="264" w:lineRule="auto"/>
      </w:pPr>
      <w:r>
        <w:rPr>
          <w:rFonts w:ascii="Arial" w:hAnsi="Arial" w:cs="Arial"/>
          <w:b/>
          <w:color w:val="0B2545"/>
          <w:sz w:val="21"/>
        </w:rPr>
        <w:t xml:space="preserve">Sınırlandırılmış AI: </w:t>
      </w:r>
      <w:r>
        <w:rPr>
          <w:rFonts w:ascii="Arial" w:hAnsi="Arial" w:cs="Arial"/>
          <w:color w:val="20262E"/>
          <w:sz w:val="21"/>
        </w:rPr>
        <w:t>AI dil ve etkileşim katmanında destek olabilir; vaka gerçeğini, yetkiyi veya nihai skoru tek başına belirlememelidir.</w:t>
      </w:r>
    </w:p>
    <w:p>
      <w:pPr>
        <w:spacing w:before="0" w:after="100" w:line="264" w:lineRule="auto"/>
      </w:pPr>
      <w:r>
        <w:rPr>
          <w:rFonts w:ascii="Arial" w:hAnsi="Arial" w:cs="Arial"/>
          <w:b/>
          <w:color w:val="0B2545"/>
          <w:sz w:val="21"/>
        </w:rPr>
        <w:t xml:space="preserve">Sürümlü içerik: </w:t>
      </w:r>
      <w:r>
        <w:rPr>
          <w:rFonts w:ascii="Arial" w:hAnsi="Arial" w:cs="Arial"/>
          <w:color w:val="20262E"/>
          <w:sz w:val="21"/>
        </w:rPr>
        <w:t>Bir öğrenci denemesi başladığında vaka ve rubrik sürümü kilitlenmeli; sonradan yapılan değişiklik geçmiş skoru değiştirmemelidir.</w:t>
      </w:r>
    </w:p>
    <w:p>
      <w:pPr>
        <w:spacing w:before="0" w:after="100" w:line="264" w:lineRule="auto"/>
      </w:pPr>
      <w:r>
        <w:rPr>
          <w:rFonts w:ascii="Arial" w:hAnsi="Arial" w:cs="Arial"/>
          <w:b/>
          <w:color w:val="0B2545"/>
          <w:sz w:val="21"/>
        </w:rPr>
        <w:t xml:space="preserve">Gizlilik varsayılanı: </w:t>
      </w:r>
      <w:r>
        <w:rPr>
          <w:rFonts w:ascii="Arial" w:hAnsi="Arial" w:cs="Arial"/>
          <w:color w:val="20262E"/>
          <w:sz w:val="21"/>
        </w:rPr>
        <w:t>Serbest metin, öğrenci kimliği ve erişim kayıtları en az veri ilkesiyle işlenmeli; loglarda maskelenmeli veya takma adlandırılmalıdır.</w:t>
      </w:r>
    </w:p>
    <w:p>
      <w:pPr>
        <w:spacing w:before="0" w:after="100" w:line="264" w:lineRule="auto"/>
      </w:pPr>
      <w:r>
        <w:rPr>
          <w:rFonts w:ascii="Arial" w:hAnsi="Arial" w:cs="Arial"/>
          <w:b/>
          <w:color w:val="0B2545"/>
          <w:sz w:val="21"/>
        </w:rPr>
        <w:t xml:space="preserve">Ölçmeden optimize etmeme: </w:t>
      </w:r>
      <w:r>
        <w:rPr>
          <w:rFonts w:ascii="Arial" w:hAnsi="Arial" w:cs="Arial"/>
          <w:color w:val="20262E"/>
          <w:sz w:val="21"/>
        </w:rPr>
        <w:t>Her kritik akış için SLI/SLO, alarm ve kabul testi tanımlanmadan ölçek veya performans iddiası yapılmamalıdır.</w:t>
      </w:r>
    </w:p>
    <w:p>
      <w:pPr>
        <w:spacing w:before="0" w:after="100" w:line="264" w:lineRule="auto"/>
      </w:pPr>
      <w:r>
        <w:rPr>
          <w:rFonts w:ascii="Arial" w:hAnsi="Arial" w:cs="Arial"/>
          <w:b/>
          <w:color w:val="0B2545"/>
          <w:sz w:val="21"/>
        </w:rPr>
        <w:t xml:space="preserve">Geri alınabilir değişiklik: </w:t>
      </w:r>
      <w:r>
        <w:rPr>
          <w:rFonts w:ascii="Arial" w:hAnsi="Arial" w:cs="Arial"/>
          <w:color w:val="20262E"/>
          <w:sz w:val="21"/>
        </w:rPr>
        <w:t>Migration ve özellikler feature flag, expand/contract şema ve doğrulanmış rollback planıyla yayınlanmalıdır.</w:t>
      </w:r>
    </w:p>
    <w:p>
      <w:pPr>
        <w:pStyle w:val="Heading2"/>
      </w:pPr>
      <w:r>
        <w:rPr>
          <w:rFonts w:ascii="Arial" w:hAnsi="Arial" w:cs="Arial"/>
          <w:b/>
          <w:color w:val="2E74B5"/>
          <w:sz w:val="26"/>
        </w:rPr>
        <w:t>Önerilen veri sahipliği</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900"/>
        <w:gridCol w:w="7460"/>
      </w:tblGrid>
      <w:tr>
        <w:trPr>
          <w:tblHeader w:val="true"/>
        </w:trPr>
        <w:tc>
          <w:tcPr>
            <w:tcW w:type="dxa" w:w="19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8"/>
              </w:rPr>
              <w:t>Katman</w:t>
            </w:r>
          </w:p>
        </w:tc>
        <w:tc>
          <w:tcPr>
            <w:tcW w:type="dxa" w:w="74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8"/>
              </w:rPr>
              <w:t>Sorumluluk</w:t>
            </w:r>
          </w:p>
        </w:tc>
      </w:tr>
      <w:tr>
        <w:trPr>
          <w:cantSplit/>
        </w:trPr>
        <w:tc>
          <w:tcPr>
            <w:tcW w:type="dxa" w:w="1900"/>
            <w:vAlign w:val="center"/>
          </w:tcPr>
          <w:p>
            <w:pPr>
              <w:spacing w:after="0" w:line="259" w:lineRule="auto"/>
              <w:jc w:val="left"/>
            </w:pPr>
            <w:r>
              <w:rPr>
                <w:rFonts w:ascii="Arial" w:hAnsi="Arial" w:cs="Arial"/>
                <w:color w:val="20262E"/>
                <w:sz w:val="18"/>
              </w:rPr>
              <w:t>PostgreSQL</w:t>
            </w:r>
          </w:p>
        </w:tc>
        <w:tc>
          <w:tcPr>
            <w:tcW w:type="dxa" w:w="7460"/>
            <w:vAlign w:val="center"/>
          </w:tcPr>
          <w:p>
            <w:pPr>
              <w:spacing w:after="0" w:line="259" w:lineRule="auto"/>
              <w:jc w:val="left"/>
            </w:pPr>
            <w:r>
              <w:rPr>
                <w:rFonts w:ascii="Arial" w:hAnsi="Arial" w:cs="Arial"/>
                <w:color w:val="20262E"/>
                <w:sz w:val="18"/>
              </w:rPr>
              <w:t>Kullanıcı, credential, session, vaka/sürüm, onay, deneme, skor, audit, cohort, assignment, ayar</w:t>
            </w:r>
          </w:p>
        </w:tc>
      </w:tr>
      <w:tr>
        <w:trPr>
          <w:cantSplit/>
        </w:trPr>
        <w:tc>
          <w:tcPr>
            <w:tcW w:type="dxa" w:w="1900"/>
            <w:vAlign w:val="center"/>
          </w:tcPr>
          <w:p>
            <w:pPr>
              <w:spacing w:after="0" w:line="259" w:lineRule="auto"/>
              <w:jc w:val="left"/>
            </w:pPr>
            <w:r>
              <w:rPr>
                <w:rFonts w:ascii="Arial" w:hAnsi="Arial" w:cs="Arial"/>
                <w:color w:val="20262E"/>
                <w:sz w:val="18"/>
              </w:rPr>
              <w:t>Nesne deposu</w:t>
            </w:r>
          </w:p>
        </w:tc>
        <w:tc>
          <w:tcPr>
            <w:tcW w:type="dxa" w:w="7460"/>
            <w:vAlign w:val="center"/>
          </w:tcPr>
          <w:p>
            <w:pPr>
              <w:spacing w:after="0" w:line="259" w:lineRule="auto"/>
              <w:jc w:val="left"/>
            </w:pPr>
            <w:r>
              <w:rPr>
                <w:rFonts w:ascii="Arial" w:hAnsi="Arial" w:cs="Arial"/>
                <w:color w:val="20262E"/>
                <w:sz w:val="18"/>
              </w:rPr>
              <w:t>PDF/JSON çıktıları, büyük exportlar, şifreli backup nesneleri, ETL ara dosyaları</w:t>
            </w:r>
          </w:p>
        </w:tc>
      </w:tr>
      <w:tr>
        <w:trPr>
          <w:cantSplit/>
        </w:trPr>
        <w:tc>
          <w:tcPr>
            <w:tcW w:type="dxa" w:w="1900"/>
            <w:vAlign w:val="center"/>
          </w:tcPr>
          <w:p>
            <w:pPr>
              <w:spacing w:after="0" w:line="259" w:lineRule="auto"/>
              <w:jc w:val="left"/>
            </w:pPr>
            <w:r>
              <w:rPr>
                <w:rFonts w:ascii="Arial" w:hAnsi="Arial" w:cs="Arial"/>
                <w:color w:val="20262E"/>
                <w:sz w:val="18"/>
              </w:rPr>
              <w:t>Repository</w:t>
            </w:r>
          </w:p>
        </w:tc>
        <w:tc>
          <w:tcPr>
            <w:tcW w:type="dxa" w:w="7460"/>
            <w:vAlign w:val="center"/>
          </w:tcPr>
          <w:p>
            <w:pPr>
              <w:spacing w:after="0" w:line="259" w:lineRule="auto"/>
              <w:jc w:val="left"/>
            </w:pPr>
            <w:r>
              <w:rPr>
                <w:rFonts w:ascii="Arial" w:hAnsi="Arial" w:cs="Arial"/>
                <w:color w:val="20262E"/>
                <w:sz w:val="18"/>
              </w:rPr>
              <w:t>Seed kataloglar, şema, migration, test fixture ve kodla birlikte sürümlenmesi gereken referanslar</w:t>
            </w:r>
          </w:p>
        </w:tc>
      </w:tr>
      <w:tr>
        <w:trPr>
          <w:cantSplit/>
        </w:trPr>
        <w:tc>
          <w:tcPr>
            <w:tcW w:type="dxa" w:w="1900"/>
            <w:vAlign w:val="center"/>
          </w:tcPr>
          <w:p>
            <w:pPr>
              <w:spacing w:after="0" w:line="259" w:lineRule="auto"/>
              <w:jc w:val="left"/>
            </w:pPr>
            <w:r>
              <w:rPr>
                <w:rFonts w:ascii="Arial" w:hAnsi="Arial" w:cs="Arial"/>
                <w:color w:val="20262E"/>
                <w:sz w:val="18"/>
              </w:rPr>
              <w:t>Geçici cache/kuyruk</w:t>
            </w:r>
          </w:p>
        </w:tc>
        <w:tc>
          <w:tcPr>
            <w:tcW w:type="dxa" w:w="7460"/>
            <w:vAlign w:val="center"/>
          </w:tcPr>
          <w:p>
            <w:pPr>
              <w:spacing w:after="0" w:line="259" w:lineRule="auto"/>
              <w:jc w:val="left"/>
            </w:pPr>
            <w:r>
              <w:rPr>
                <w:rFonts w:ascii="Arial" w:hAnsi="Arial" w:cs="Arial"/>
                <w:color w:val="20262E"/>
                <w:sz w:val="18"/>
              </w:rPr>
              <w:t>Rate limit, kısa ömürlü cache, arka plan işlerinin teslimi; kalıcı doğruluk kaynağı değildir</w:t>
            </w:r>
          </w:p>
        </w:tc>
      </w:tr>
    </w:tbl>
    <w:p>
      <w:pPr>
        <w:spacing w:before="0" w:after="80" w:line="264" w:lineRule="auto"/>
      </w:pPr>
    </w:p>
    <w:p>
      <w:r>
        <w:br w:type="page"/>
      </w:r>
    </w:p>
    <w:p>
      <w:pPr>
        <w:pStyle w:val="Heading1"/>
      </w:pPr>
      <w:r>
        <w:rPr>
          <w:rFonts w:ascii="Arial" w:hAnsi="Arial" w:cs="Arial"/>
          <w:b/>
          <w:color w:val="2E74B5"/>
          <w:sz w:val="32"/>
        </w:rPr>
        <w:t>4. Ayrıntılı geliştirme programı</w:t>
      </w:r>
    </w:p>
    <w:p>
      <w:pPr>
        <w:pStyle w:val="Heading2"/>
      </w:pPr>
      <w:r>
        <w:rPr>
          <w:rFonts w:ascii="Arial" w:hAnsi="Arial" w:cs="Arial"/>
          <w:b/>
          <w:color w:val="2E74B5"/>
          <w:sz w:val="26"/>
        </w:rPr>
        <w:t>4.1 P0 — PostgreSQL runtime cutover</w:t>
      </w:r>
    </w:p>
    <w:p>
      <w:pPr>
        <w:spacing w:before="0" w:after="120" w:line="264" w:lineRule="auto"/>
      </w:pPr>
      <w:r>
        <w:rPr>
          <w:rFonts w:ascii="Arial" w:hAnsi="Arial" w:cs="Arial"/>
          <w:b w:val="0"/>
          <w:i w:val="0"/>
          <w:color w:val="20262E"/>
          <w:sz w:val="21"/>
        </w:rPr>
        <w:t>Amaç, hazır olan PostgreSQL altyapısını gerçek istek yolunun tek yetkili kullanıcı deposuna dönüştürmektir. En güvenli geçiş, bir gecede tüm kodu değiştirmek değil; gözlem, karşılaştırma, canary ve geri dönüş kapılarıyla ilerlemektir.</w:t>
      </w:r>
    </w:p>
    <w:p>
      <w:pPr>
        <w:pStyle w:val="Heading3"/>
      </w:pPr>
      <w:r>
        <w:rPr>
          <w:rFonts w:ascii="Arial" w:hAnsi="Arial" w:cs="Arial"/>
          <w:b/>
          <w:color w:val="1F4D78"/>
          <w:sz w:val="23"/>
        </w:rPr>
        <w:t>Önerilen geçiş sırası</w:t>
      </w:r>
    </w:p>
    <w:p>
      <w:pPr>
        <w:keepLines/>
        <w:numPr>
          <w:ilvl w:val="0"/>
          <w:numId w:val="91"/>
        </w:numPr>
        <w:spacing w:after="100" w:line="280" w:lineRule="auto"/>
      </w:pPr>
      <w:r>
        <w:rPr>
          <w:rFonts w:ascii="Arial" w:hAnsi="Arial" w:cs="Arial"/>
          <w:color w:val="20262E"/>
          <w:sz w:val="21"/>
        </w:rPr>
        <w:t>Şemayı son kez envanterle: unique e-posta normalizasyonu, rol/aktiflik, hash algoritması, created/updated zamanları ve süper admin invariant'larını doğrula.</w:t>
      </w:r>
    </w:p>
    <w:p>
      <w:pPr>
        <w:keepLines/>
        <w:numPr>
          <w:ilvl w:val="0"/>
          <w:numId w:val="91"/>
        </w:numPr>
        <w:spacing w:after="100" w:line="280" w:lineRule="auto"/>
      </w:pPr>
      <w:r>
        <w:rPr>
          <w:rFonts w:ascii="Arial" w:hAnsi="Arial" w:cs="Arial"/>
          <w:color w:val="20262E"/>
          <w:sz w:val="21"/>
        </w:rPr>
        <w:t>İçe aktarma aracını staging ve production kopyasında tekrar çalıştır; satır sayısı, benzersiz kimlik, çakışan e-posta ve örnek hash kontrollerini raporla.</w:t>
      </w:r>
    </w:p>
    <w:p>
      <w:pPr>
        <w:keepLines/>
        <w:numPr>
          <w:ilvl w:val="0"/>
          <w:numId w:val="91"/>
        </w:numPr>
        <w:spacing w:after="100" w:line="280" w:lineRule="auto"/>
      </w:pPr>
      <w:r>
        <w:rPr>
          <w:rFonts w:ascii="Arial" w:hAnsi="Arial" w:cs="Arial"/>
          <w:color w:val="20262E"/>
          <w:sz w:val="21"/>
        </w:rPr>
        <w:t>Repository katmanını UserStore arayüzü arkasına al; JSON ve PostgreSQL implementasyonları aynı sözleşmeyi geçsin.</w:t>
      </w:r>
    </w:p>
    <w:p>
      <w:pPr>
        <w:keepLines/>
        <w:numPr>
          <w:ilvl w:val="0"/>
          <w:numId w:val="91"/>
        </w:numPr>
        <w:spacing w:after="100" w:line="280" w:lineRule="auto"/>
      </w:pPr>
      <w:r>
        <w:rPr>
          <w:rFonts w:ascii="Arial" w:hAnsi="Arial" w:cs="Arial"/>
          <w:color w:val="20262E"/>
          <w:sz w:val="21"/>
        </w:rPr>
        <w:t>Shadow-read modu ekle: cevap PostgreSQL'den dönmeden önce JSON ve PostgreSQL sonuçlarını isimsiz bir uyumsuzluk metriğiyle karşılaştır.</w:t>
      </w:r>
    </w:p>
    <w:p>
      <w:pPr>
        <w:keepLines/>
        <w:numPr>
          <w:ilvl w:val="0"/>
          <w:numId w:val="91"/>
        </w:numPr>
        <w:spacing w:after="100" w:line="280" w:lineRule="auto"/>
      </w:pPr>
      <w:r>
        <w:rPr>
          <w:rFonts w:ascii="Arial" w:hAnsi="Arial" w:cs="Arial"/>
          <w:color w:val="20262E"/>
          <w:sz w:val="21"/>
        </w:rPr>
        <w:t>AUTH_STORE=postgres özelliğini önce admin olmayan küçük bir canary grubunda aç; kayıt, giriş, pasifleştirme, rol değişimi ve legacy hash yükseltmesini gözle.</w:t>
      </w:r>
    </w:p>
    <w:p>
      <w:pPr>
        <w:keepLines/>
        <w:numPr>
          <w:ilvl w:val="0"/>
          <w:numId w:val="91"/>
        </w:numPr>
        <w:spacing w:after="100" w:line="280" w:lineRule="auto"/>
      </w:pPr>
      <w:r>
        <w:rPr>
          <w:rFonts w:ascii="Arial" w:hAnsi="Arial" w:cs="Arial"/>
          <w:color w:val="20262E"/>
          <w:sz w:val="21"/>
        </w:rPr>
        <w:t>Yazma kaynağını PostgreSQL'e geçir. İki depoya kör dual-write yapma; başarısız iki yazının tutarsızlık riskini artırır. Gerekirse geçici change-log/outbox ile JSON geri dönüş kopyası üret.</w:t>
      </w:r>
    </w:p>
    <w:p>
      <w:pPr>
        <w:keepLines/>
        <w:numPr>
          <w:ilvl w:val="0"/>
          <w:numId w:val="91"/>
        </w:numPr>
        <w:spacing w:after="100" w:line="280" w:lineRule="auto"/>
      </w:pPr>
      <w:r>
        <w:rPr>
          <w:rFonts w:ascii="Arial" w:hAnsi="Arial" w:cs="Arial"/>
          <w:color w:val="20262E"/>
          <w:sz w:val="21"/>
        </w:rPr>
        <w:t>Tüm kullanıcı trafiğini PostgreSQL'e geçir; JSON dosyasını salt okunur, checksum'lı ve erişimi kısıtlı bir rollback artefaktı olarak tut.</w:t>
      </w:r>
    </w:p>
    <w:p>
      <w:pPr>
        <w:keepLines/>
        <w:numPr>
          <w:ilvl w:val="0"/>
          <w:numId w:val="91"/>
        </w:numPr>
        <w:spacing w:after="100" w:line="280" w:lineRule="auto"/>
      </w:pPr>
      <w:r>
        <w:rPr>
          <w:rFonts w:ascii="Arial" w:hAnsi="Arial" w:cs="Arial"/>
          <w:color w:val="20262E"/>
          <w:sz w:val="21"/>
        </w:rPr>
        <w:t>Kararlaştırılan gözlem süresi ve başarılı restore kanıtından sonra JSON runtime kodunu kaldır; veri dosyasını retention politikasına göre arşivle veya güvenli sil.</w:t>
      </w:r>
    </w:p>
    <w:p>
      <w:pPr>
        <w:pStyle w:val="Heading3"/>
      </w:pPr>
      <w:r>
        <w:rPr>
          <w:rFonts w:ascii="Arial" w:hAnsi="Arial" w:cs="Arial"/>
          <w:b/>
          <w:color w:val="1F4D78"/>
          <w:sz w:val="23"/>
        </w:rPr>
        <w:t>Zorunlu invariant ve kabul kriterleri</w:t>
      </w:r>
    </w:p>
    <w:p>
      <w:pPr>
        <w:keepLines/>
        <w:numPr>
          <w:ilvl w:val="0"/>
          <w:numId w:val="90"/>
        </w:numPr>
        <w:spacing w:after="100" w:line="280" w:lineRule="auto"/>
      </w:pPr>
      <w:r>
        <w:rPr>
          <w:rFonts w:ascii="Arial" w:hAnsi="Arial" w:cs="Arial"/>
          <w:color w:val="20262E"/>
          <w:sz w:val="21"/>
        </w:rPr>
        <w:t>Aynı normalize e-posta için birden fazla aktif kullanıcı oluşamaz.</w:t>
      </w:r>
    </w:p>
    <w:p>
      <w:pPr>
        <w:keepLines/>
        <w:numPr>
          <w:ilvl w:val="0"/>
          <w:numId w:val="90"/>
        </w:numPr>
        <w:spacing w:after="100" w:line="280" w:lineRule="auto"/>
      </w:pPr>
      <w:r>
        <w:rPr>
          <w:rFonts w:ascii="Arial" w:hAnsi="Arial" w:cs="Arial"/>
          <w:color w:val="20262E"/>
          <w:sz w:val="21"/>
        </w:rPr>
        <w:t>Süper admin silinemez, pasifleştirilemez ve korumalı rolü düşürülemez; bu kural yalnızca arayüzde değil DB/servis katmanında da uygulanır.</w:t>
      </w:r>
    </w:p>
    <w:p>
      <w:pPr>
        <w:keepLines/>
        <w:numPr>
          <w:ilvl w:val="0"/>
          <w:numId w:val="90"/>
        </w:numPr>
        <w:spacing w:after="100" w:line="280" w:lineRule="auto"/>
      </w:pPr>
      <w:r>
        <w:rPr>
          <w:rFonts w:ascii="Arial" w:hAnsi="Arial" w:cs="Arial"/>
          <w:color w:val="20262E"/>
          <w:sz w:val="21"/>
        </w:rPr>
        <w:t>Legacy scrypt hash başarılı girişte Argon2id'e yükselir; başarısız giriş veya reset sırasında sessizce değiştirilmez.</w:t>
      </w:r>
    </w:p>
    <w:p>
      <w:pPr>
        <w:keepLines/>
        <w:numPr>
          <w:ilvl w:val="0"/>
          <w:numId w:val="90"/>
        </w:numPr>
        <w:spacing w:after="100" w:line="280" w:lineRule="auto"/>
      </w:pPr>
      <w:r>
        <w:rPr>
          <w:rFonts w:ascii="Arial" w:hAnsi="Arial" w:cs="Arial"/>
          <w:color w:val="20262E"/>
          <w:sz w:val="21"/>
        </w:rPr>
        <w:t>Kullanıcı pasifleştirme, rol değişikliği ve parola değişikliği ilgili aktif session'ları merkezi olarak iptal eder.</w:t>
      </w:r>
    </w:p>
    <w:p>
      <w:pPr>
        <w:keepLines/>
        <w:numPr>
          <w:ilvl w:val="0"/>
          <w:numId w:val="90"/>
        </w:numPr>
        <w:spacing w:after="100" w:line="280" w:lineRule="auto"/>
      </w:pPr>
      <w:r>
        <w:rPr>
          <w:rFonts w:ascii="Arial" w:hAnsi="Arial" w:cs="Arial"/>
          <w:color w:val="20262E"/>
          <w:sz w:val="21"/>
        </w:rPr>
        <w:t>Import aynı veriyle tekrar çalıştırıldığında yeni kayıt üretmez; raporlanan sapma sıfır veya açıklanmış olmalıdır.</w:t>
      </w:r>
    </w:p>
    <w:p>
      <w:pPr>
        <w:keepLines/>
        <w:numPr>
          <w:ilvl w:val="0"/>
          <w:numId w:val="90"/>
        </w:numPr>
        <w:spacing w:after="100" w:line="280" w:lineRule="auto"/>
      </w:pPr>
      <w:r>
        <w:rPr>
          <w:rFonts w:ascii="Arial" w:hAnsi="Arial" w:cs="Arial"/>
          <w:color w:val="20262E"/>
          <w:sz w:val="21"/>
        </w:rPr>
        <w:t>Cutover sonrasında auth hata oranı ve p95 süre, önceden belirlenen regresyon bütçesini aşmaz.</w:t>
      </w:r>
    </w:p>
    <w:p>
      <w:pPr>
        <w:keepLines/>
        <w:numPr>
          <w:ilvl w:val="0"/>
          <w:numId w:val="90"/>
        </w:numPr>
        <w:spacing w:after="100" w:line="280" w:lineRule="auto"/>
      </w:pPr>
      <w:r>
        <w:rPr>
          <w:rFonts w:ascii="Arial" w:hAnsi="Arial" w:cs="Arial"/>
          <w:color w:val="20262E"/>
          <w:sz w:val="21"/>
        </w:rPr>
        <w:t>Rollback feature flag ile mümkündür; ancak PostgreSQL'de oluşan yeni kayıtların nasıl geri taşınacağı test edilmiş olmalıdır.</w:t>
      </w:r>
    </w:p>
    <w:tbl>
      <w:tblPr>
        <w:tblW w:type="dxa" w:w="9360"/>
        <w:jc w:val="left"/>
        <w:tblLayout w:type="fixed"/>
        <w:tblLook w:firstColumn="1" w:firstRow="1" w:lastColumn="0" w:lastRow="0" w:noHBand="0" w:noVBand="1" w:val="04A0"/>
        <w:tblInd w:w="120" w:type="dxa"/>
        <w:tblBorders>
          <w:top w:val="single" w:sz="9" w:space="0" w:color="7A5A00"/>
          <w:left w:val="single" w:sz="9" w:space="0" w:color="7A5A00"/>
          <w:bottom w:val="single" w:sz="9" w:space="0" w:color="7A5A00"/>
          <w:right w:val="single" w:sz="9" w:space="0" w:color="7A5A00"/>
        </w:tblBorders>
      </w:tblPr>
      <w:tblGrid>
        <w:gridCol w:w="9360"/>
      </w:tblGrid>
      <w:tr>
        <w:trPr>
          <w:cantSplit/>
        </w:trPr>
        <w:tc>
          <w:tcPr>
            <w:tcW w:type="dxa" w:w="9360"/>
            <w:tcMar>
              <w:top w:w="80" w:type="dxa"/>
              <w:bottom w:w="80" w:type="dxa"/>
              <w:start w:w="120" w:type="dxa"/>
              <w:end w:w="120" w:type="dxa"/>
            </w:tcMar>
            <w:shd w:fill="FFF7DF" w:val="clear"/>
          </w:tcPr>
          <w:p>
            <w:pPr>
              <w:keepNext/>
              <w:spacing w:after="60"/>
            </w:pPr>
            <w:r>
              <w:rPr>
                <w:rFonts w:ascii="Arial" w:hAnsi="Arial" w:cs="Arial"/>
                <w:b/>
                <w:color w:val="7A5A00"/>
                <w:sz w:val="21"/>
              </w:rPr>
              <w:t>Kaçınılacak yaklaşım</w:t>
            </w:r>
          </w:p>
          <w:p>
            <w:pPr>
              <w:keepLines/>
              <w:spacing w:after="0" w:line="264" w:lineRule="auto"/>
            </w:pPr>
            <w:r>
              <w:rPr>
                <w:rFonts w:ascii="Arial" w:hAnsi="Arial" w:cs="Arial"/>
                <w:color w:val="20262E"/>
                <w:sz w:val="20"/>
              </w:rPr>
              <w:t>JSON ve PostgreSQL'e süresiz dual-write uygulamak güvenliği artırmaz; iki yazıdan birinin başarısız olması sessiz veri ayrışması yaratır. Geçiş süresi kısa tutulmalı, birincil kaynak açıkça belirlenmeli ve sapma metriği izlenmelidir.</w:t>
            </w:r>
          </w:p>
        </w:tc>
      </w:tr>
    </w:tbl>
    <w:p>
      <w:pPr>
        <w:spacing w:before="0" w:after="80" w:line="264" w:lineRule="auto"/>
      </w:pPr>
    </w:p>
    <w:p>
      <w:pPr>
        <w:pStyle w:val="Heading2"/>
      </w:pPr>
      <w:r>
        <w:rPr>
          <w:rFonts w:ascii="Arial" w:hAnsi="Arial" w:cs="Arial"/>
          <w:b/>
          <w:color w:val="2E74B5"/>
          <w:sz w:val="26"/>
        </w:rPr>
        <w:t>4.2 P0 — Coolify migration ve güvenli yayın</w:t>
      </w:r>
    </w:p>
    <w:p>
      <w:pPr>
        <w:spacing w:before="0" w:after="120" w:line="264" w:lineRule="auto"/>
      </w:pPr>
      <w:r>
        <w:rPr>
          <w:rFonts w:ascii="Arial" w:hAnsi="Arial" w:cs="Arial"/>
          <w:b w:val="0"/>
          <w:i w:val="0"/>
          <w:color w:val="20262E"/>
          <w:sz w:val="21"/>
        </w:rPr>
        <w:t>Migration'ın Dockerfile içinde bulunması, Nixpacks ile başlatılan gerçek deploy'da çalıştığı anlamına gelmez. Migration, web process'inin yan etkisi değil ayrı ve gözlenebilir bir release adımı olmalıdır.</w:t>
      </w:r>
    </w:p>
    <w:p>
      <w:pPr>
        <w:keepLines/>
        <w:numPr>
          <w:ilvl w:val="0"/>
          <w:numId w:val="90"/>
        </w:numPr>
        <w:spacing w:after="100" w:line="280" w:lineRule="auto"/>
      </w:pPr>
      <w:r>
        <w:rPr>
          <w:rFonts w:ascii="Arial" w:hAnsi="Arial" w:cs="Arial"/>
          <w:color w:val="20262E"/>
          <w:sz w:val="21"/>
        </w:rPr>
        <w:t>Coolify pre-deploy/start command içinde tek seferlik migration komutu tanımla; komut başarılı olmadan yeni sürümü readiness'e alma.</w:t>
      </w:r>
    </w:p>
    <w:p>
      <w:pPr>
        <w:keepLines/>
        <w:numPr>
          <w:ilvl w:val="0"/>
          <w:numId w:val="90"/>
        </w:numPr>
        <w:spacing w:after="100" w:line="280" w:lineRule="auto"/>
      </w:pPr>
      <w:r>
        <w:rPr>
          <w:rFonts w:ascii="Arial" w:hAnsi="Arial" w:cs="Arial"/>
          <w:color w:val="20262E"/>
          <w:sz w:val="21"/>
        </w:rPr>
        <w:t>Migration runner'ı PostgreSQL advisory lock ile tekilleştir; aynı anda iki release'in şema değiştirmesini engelle.</w:t>
      </w:r>
    </w:p>
    <w:p>
      <w:pPr>
        <w:keepLines/>
        <w:numPr>
          <w:ilvl w:val="0"/>
          <w:numId w:val="90"/>
        </w:numPr>
        <w:spacing w:after="100" w:line="280" w:lineRule="auto"/>
      </w:pPr>
      <w:r>
        <w:rPr>
          <w:rFonts w:ascii="Arial" w:hAnsi="Arial" w:cs="Arial"/>
          <w:color w:val="20262E"/>
          <w:sz w:val="21"/>
        </w:rPr>
        <w:t>schema_migrations tablosunda sürüm, checksum, başlama/bitiş zamanı, uygulayan commit ve sonuç tutulmalı.</w:t>
      </w:r>
    </w:p>
    <w:p>
      <w:pPr>
        <w:keepLines/>
        <w:numPr>
          <w:ilvl w:val="0"/>
          <w:numId w:val="90"/>
        </w:numPr>
        <w:spacing w:after="100" w:line="280" w:lineRule="auto"/>
      </w:pPr>
      <w:r>
        <w:rPr>
          <w:rFonts w:ascii="Arial" w:hAnsi="Arial" w:cs="Arial"/>
          <w:color w:val="20262E"/>
          <w:sz w:val="21"/>
        </w:rPr>
        <w:t>Şema değişikliklerinde expand → backfill → uygulama cutover → contract sırasını kullan; eski sürüm çalışırken kolon silme/yeniden adlandırma yapma.</w:t>
      </w:r>
    </w:p>
    <w:p>
      <w:pPr>
        <w:keepLines/>
        <w:numPr>
          <w:ilvl w:val="0"/>
          <w:numId w:val="90"/>
        </w:numPr>
        <w:spacing w:after="100" w:line="280" w:lineRule="auto"/>
      </w:pPr>
      <w:r>
        <w:rPr>
          <w:rFonts w:ascii="Arial" w:hAnsi="Arial" w:cs="Arial"/>
          <w:color w:val="20262E"/>
          <w:sz w:val="21"/>
        </w:rPr>
        <w:t>Lock beklemelerini sınırlamak için migration bazında lock_timeout ve statement_timeout politikası tanımla; başarısızlıkta uygulamayı yarım şemayla açma.</w:t>
      </w:r>
    </w:p>
    <w:p>
      <w:pPr>
        <w:keepLines/>
        <w:numPr>
          <w:ilvl w:val="0"/>
          <w:numId w:val="90"/>
        </w:numPr>
        <w:spacing w:after="100" w:line="280" w:lineRule="auto"/>
      </w:pPr>
      <w:r>
        <w:rPr>
          <w:rFonts w:ascii="Arial" w:hAnsi="Arial" w:cs="Arial"/>
          <w:color w:val="20262E"/>
          <w:sz w:val="21"/>
        </w:rPr>
        <w:t>Readiness kontrolü beklenen migration sürümüyle gerçek DB sürümünü karşılaştırmalı; ayrıntı yalnızca yönetim/operasyon kanalında görünmelidir.</w:t>
      </w:r>
    </w:p>
    <w:p>
      <w:pPr>
        <w:spacing w:before="0" w:after="120" w:line="264" w:lineRule="auto"/>
      </w:pPr>
      <w:r>
        <w:rPr>
          <w:rFonts w:ascii="Arial" w:hAnsi="Arial" w:cs="Arial"/>
          <w:b/>
          <w:color w:val="5D6875"/>
          <w:sz w:val="17"/>
        </w:rPr>
        <w:t xml:space="preserve">Dayanak: </w:t>
      </w:r>
      <w:r>
        <w:rPr>
          <w:rFonts w:ascii="Arial" w:hAnsi="Arial" w:cs="Arial"/>
          <w:i/>
          <w:color w:val="5D6875"/>
          <w:sz w:val="17"/>
        </w:rPr>
        <w:t>PostgreSQL explicit/advisory locking [Kaynak 9].</w:t>
      </w:r>
    </w:p>
    <w:p>
      <w:pPr>
        <w:pStyle w:val="Heading2"/>
      </w:pPr>
      <w:r>
        <w:rPr>
          <w:rFonts w:ascii="Arial" w:hAnsi="Arial" w:cs="Arial"/>
          <w:b/>
          <w:color w:val="2E74B5"/>
          <w:sz w:val="26"/>
        </w:rPr>
        <w:t>4.3 P0 — Backup, restore ve felaket kurtarma</w:t>
      </w:r>
    </w:p>
    <w:p>
      <w:pPr>
        <w:spacing w:before="0" w:after="120" w:line="264" w:lineRule="auto"/>
      </w:pPr>
      <w:r>
        <w:rPr>
          <w:rFonts w:ascii="Arial" w:hAnsi="Arial" w:cs="Arial"/>
          <w:b w:val="0"/>
          <w:i w:val="0"/>
          <w:color w:val="20262E"/>
          <w:sz w:val="21"/>
        </w:rPr>
        <w:t>Yedek almak ile geri dönebilmek aynı şey değildir. Üretim olgunluğu, tarihli bir backup dosyasından izole ortamda ayağa kalkma süresi ve veri kaybı penceresi ölçülerek kanıtlanır.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500"/>
        <w:gridCol w:w="7860"/>
      </w:tblGrid>
      <w:tr>
        <w:trPr>
          <w:tblHeader w:val="true"/>
        </w:trPr>
        <w:tc>
          <w:tcPr>
            <w:tcW w:type="dxa" w:w="15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8"/>
              </w:rPr>
              <w:t>Sıklık</w:t>
            </w:r>
          </w:p>
        </w:tc>
        <w:tc>
          <w:tcPr>
            <w:tcW w:type="dxa" w:w="78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8"/>
              </w:rPr>
              <w:t>Kontrol</w:t>
            </w:r>
          </w:p>
        </w:tc>
      </w:tr>
      <w:tr>
        <w:trPr>
          <w:cantSplit/>
        </w:trPr>
        <w:tc>
          <w:tcPr>
            <w:tcW w:type="dxa" w:w="1500"/>
            <w:vAlign w:val="center"/>
          </w:tcPr>
          <w:p>
            <w:pPr>
              <w:spacing w:after="0" w:line="259" w:lineRule="auto"/>
              <w:jc w:val="center"/>
            </w:pPr>
            <w:r>
              <w:rPr>
                <w:rFonts w:ascii="Arial" w:hAnsi="Arial" w:cs="Arial"/>
                <w:color w:val="20262E"/>
                <w:sz w:val="18"/>
              </w:rPr>
              <w:t>Günlük</w:t>
            </w:r>
          </w:p>
        </w:tc>
        <w:tc>
          <w:tcPr>
            <w:tcW w:type="dxa" w:w="7860"/>
            <w:vAlign w:val="center"/>
          </w:tcPr>
          <w:p>
            <w:pPr>
              <w:spacing w:after="0" w:line="259" w:lineRule="auto"/>
              <w:jc w:val="left"/>
            </w:pPr>
            <w:r>
              <w:rPr>
                <w:rFonts w:ascii="Arial" w:hAnsi="Arial" w:cs="Arial"/>
                <w:color w:val="20262E"/>
                <w:sz w:val="18"/>
              </w:rPr>
              <w:t>Otomatik backup; boyut/checksum; şifreleme; hedefe aktarım; başarısızlık alarmı</w:t>
            </w:r>
          </w:p>
        </w:tc>
      </w:tr>
      <w:tr>
        <w:trPr>
          <w:cantSplit/>
        </w:trPr>
        <w:tc>
          <w:tcPr>
            <w:tcW w:type="dxa" w:w="1500"/>
            <w:vAlign w:val="center"/>
          </w:tcPr>
          <w:p>
            <w:pPr>
              <w:spacing w:after="0" w:line="259" w:lineRule="auto"/>
              <w:jc w:val="center"/>
            </w:pPr>
            <w:r>
              <w:rPr>
                <w:rFonts w:ascii="Arial" w:hAnsi="Arial" w:cs="Arial"/>
                <w:color w:val="20262E"/>
                <w:sz w:val="18"/>
              </w:rPr>
              <w:t>Haftalık</w:t>
            </w:r>
          </w:p>
        </w:tc>
        <w:tc>
          <w:tcPr>
            <w:tcW w:type="dxa" w:w="7860"/>
            <w:vAlign w:val="center"/>
          </w:tcPr>
          <w:p>
            <w:pPr>
              <w:spacing w:after="0" w:line="259" w:lineRule="auto"/>
              <w:jc w:val="left"/>
            </w:pPr>
            <w:r>
              <w:rPr>
                <w:rFonts w:ascii="Arial" w:hAnsi="Arial" w:cs="Arial"/>
                <w:color w:val="20262E"/>
                <w:sz w:val="18"/>
              </w:rPr>
              <w:t>En az bir backup'ın açılabilirlik kontrolü ve katalog tutarlılığı</w:t>
            </w:r>
          </w:p>
        </w:tc>
      </w:tr>
      <w:tr>
        <w:trPr>
          <w:cantSplit/>
        </w:trPr>
        <w:tc>
          <w:tcPr>
            <w:tcW w:type="dxa" w:w="1500"/>
            <w:vAlign w:val="center"/>
          </w:tcPr>
          <w:p>
            <w:pPr>
              <w:spacing w:after="0" w:line="259" w:lineRule="auto"/>
              <w:jc w:val="center"/>
            </w:pPr>
            <w:r>
              <w:rPr>
                <w:rFonts w:ascii="Arial" w:hAnsi="Arial" w:cs="Arial"/>
                <w:color w:val="20262E"/>
                <w:sz w:val="18"/>
              </w:rPr>
              <w:t>Aylık</w:t>
            </w:r>
          </w:p>
        </w:tc>
        <w:tc>
          <w:tcPr>
            <w:tcW w:type="dxa" w:w="7860"/>
            <w:vAlign w:val="center"/>
          </w:tcPr>
          <w:p>
            <w:pPr>
              <w:spacing w:after="0" w:line="259" w:lineRule="auto"/>
              <w:jc w:val="left"/>
            </w:pPr>
            <w:r>
              <w:rPr>
                <w:rFonts w:ascii="Arial" w:hAnsi="Arial" w:cs="Arial"/>
                <w:color w:val="20262E"/>
                <w:sz w:val="18"/>
              </w:rPr>
              <w:t>İzole ortamda tam restore; migration; temel smoke/E2E; ölçülen RTO/RPO raporu</w:t>
            </w:r>
          </w:p>
        </w:tc>
      </w:tr>
      <w:tr>
        <w:trPr>
          <w:cantSplit/>
        </w:trPr>
        <w:tc>
          <w:tcPr>
            <w:tcW w:type="dxa" w:w="1500"/>
            <w:vAlign w:val="center"/>
          </w:tcPr>
          <w:p>
            <w:pPr>
              <w:spacing w:after="0" w:line="259" w:lineRule="auto"/>
              <w:jc w:val="center"/>
            </w:pPr>
            <w:r>
              <w:rPr>
                <w:rFonts w:ascii="Arial" w:hAnsi="Arial" w:cs="Arial"/>
                <w:color w:val="20262E"/>
                <w:sz w:val="18"/>
              </w:rPr>
              <w:t>Her büyük sürüm</w:t>
            </w:r>
          </w:p>
        </w:tc>
        <w:tc>
          <w:tcPr>
            <w:tcW w:type="dxa" w:w="7860"/>
            <w:vAlign w:val="center"/>
          </w:tcPr>
          <w:p>
            <w:pPr>
              <w:spacing w:after="0" w:line="259" w:lineRule="auto"/>
              <w:jc w:val="left"/>
            </w:pPr>
            <w:r>
              <w:rPr>
                <w:rFonts w:ascii="Arial" w:hAnsi="Arial" w:cs="Arial"/>
                <w:color w:val="20262E"/>
                <w:sz w:val="18"/>
              </w:rPr>
              <w:t>Şema geçişi öncesi geri dönüş noktası ve geriye uyumlu rollback provası</w:t>
            </w:r>
          </w:p>
        </w:tc>
      </w:tr>
      <w:tr>
        <w:trPr>
          <w:cantSplit/>
        </w:trPr>
        <w:tc>
          <w:tcPr>
            <w:tcW w:type="dxa" w:w="1500"/>
            <w:vAlign w:val="center"/>
          </w:tcPr>
          <w:p>
            <w:pPr>
              <w:spacing w:after="0" w:line="259" w:lineRule="auto"/>
              <w:jc w:val="center"/>
            </w:pPr>
            <w:r>
              <w:rPr>
                <w:rFonts w:ascii="Arial" w:hAnsi="Arial" w:cs="Arial"/>
                <w:color w:val="20262E"/>
                <w:sz w:val="18"/>
              </w:rPr>
              <w:t>Üç aylık</w:t>
            </w:r>
          </w:p>
        </w:tc>
        <w:tc>
          <w:tcPr>
            <w:tcW w:type="dxa" w:w="7860"/>
            <w:vAlign w:val="center"/>
          </w:tcPr>
          <w:p>
            <w:pPr>
              <w:spacing w:after="0" w:line="259" w:lineRule="auto"/>
              <w:jc w:val="left"/>
            </w:pPr>
            <w:r>
              <w:rPr>
                <w:rFonts w:ascii="Arial" w:hAnsi="Arial" w:cs="Arial"/>
                <w:color w:val="20262E"/>
                <w:sz w:val="18"/>
              </w:rPr>
              <w:t>Olay tatbikatı: DB erişilemez, bozuk veri, yanlış migration, secret kaybı</w:t>
            </w:r>
          </w:p>
        </w:tc>
      </w:tr>
    </w:tbl>
    <w:p>
      <w:pPr>
        <w:spacing w:before="0" w:after="80" w:line="264" w:lineRule="auto"/>
      </w:pPr>
    </w:p>
    <w:p>
      <w:pPr>
        <w:spacing w:before="0" w:after="120" w:line="264" w:lineRule="auto"/>
      </w:pPr>
      <w:r>
        <w:rPr>
          <w:rFonts w:ascii="Arial" w:hAnsi="Arial" w:cs="Arial"/>
          <w:b w:val="0"/>
          <w:i/>
          <w:color w:val="5D6875"/>
          <w:sz w:val="19"/>
        </w:rPr>
        <w:t>Başlangıç hedefi olarak RPO ≤ 24 saat ve RTO ≤ 4 saat önerilir; gerçek kullanıcı ve ders kritikliği ölçüldükten sonra sıkılaştırılmalıdır.</w:t>
      </w:r>
    </w:p>
    <w:p>
      <w:pPr>
        <w:pStyle w:val="Heading2"/>
      </w:pPr>
      <w:r>
        <w:rPr>
          <w:rFonts w:ascii="Arial" w:hAnsi="Arial" w:cs="Arial"/>
          <w:b/>
          <w:color w:val="2E74B5"/>
          <w:sz w:val="26"/>
        </w:rPr>
        <w:t>4.4 P1 — Kimlik, oturum ve uygulama güvenliği</w:t>
      </w:r>
    </w:p>
    <w:p>
      <w:pPr>
        <w:spacing w:before="0" w:after="120" w:line="264" w:lineRule="auto"/>
      </w:pPr>
      <w:r>
        <w:rPr>
          <w:rFonts w:ascii="Arial" w:hAnsi="Arial" w:cs="Arial"/>
          <w:b w:val="0"/>
          <w:i w:val="0"/>
          <w:color w:val="20262E"/>
          <w:sz w:val="21"/>
        </w:rPr>
        <w:t>Mevcut Secure/HttpOnly/SameSite cookie yaklaşımı korunmalıdır. Yeni katmanlar, farklı risk seviyesindeki öğrenci ile admin/doktor hesaplarını aynı güvenlik politikasına zorlamak yerine role göre güçlendirmelidir.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900"/>
        <w:gridCol w:w="7460"/>
      </w:tblGrid>
      <w:tr>
        <w:trPr>
          <w:tblHeader w:val="true"/>
        </w:trPr>
        <w:tc>
          <w:tcPr>
            <w:tcW w:type="dxa" w:w="19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Alan</w:t>
            </w:r>
          </w:p>
        </w:tc>
        <w:tc>
          <w:tcPr>
            <w:tcW w:type="dxa" w:w="74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Önerilen geliştirme</w:t>
            </w:r>
          </w:p>
        </w:tc>
      </w:tr>
      <w:tr>
        <w:trPr>
          <w:cantSplit/>
        </w:trPr>
        <w:tc>
          <w:tcPr>
            <w:tcW w:type="dxa" w:w="1900"/>
            <w:vAlign w:val="center"/>
          </w:tcPr>
          <w:p>
            <w:pPr>
              <w:spacing w:after="0" w:line="259" w:lineRule="auto"/>
              <w:jc w:val="left"/>
            </w:pPr>
            <w:r>
              <w:rPr>
                <w:rFonts w:ascii="Arial" w:hAnsi="Arial" w:cs="Arial"/>
                <w:color w:val="20262E"/>
                <w:sz w:val="17"/>
              </w:rPr>
              <w:t>E-posta doğrulama</w:t>
            </w:r>
          </w:p>
        </w:tc>
        <w:tc>
          <w:tcPr>
            <w:tcW w:type="dxa" w:w="7460"/>
            <w:vAlign w:val="center"/>
          </w:tcPr>
          <w:p>
            <w:pPr>
              <w:spacing w:after="0" w:line="259" w:lineRule="auto"/>
              <w:jc w:val="left"/>
            </w:pPr>
            <w:r>
              <w:rPr>
                <w:rFonts w:ascii="Arial" w:hAnsi="Arial" w:cs="Arial"/>
                <w:color w:val="20262E"/>
                <w:sz w:val="17"/>
              </w:rPr>
              <w:t>Kayıt sonrası doğrulama; e-posta değişiminde yeniden doğrulama; süreli ve tek kullanımlık token</w:t>
            </w:r>
          </w:p>
        </w:tc>
      </w:tr>
      <w:tr>
        <w:trPr>
          <w:cantSplit/>
        </w:trPr>
        <w:tc>
          <w:tcPr>
            <w:tcW w:type="dxa" w:w="1900"/>
            <w:vAlign w:val="center"/>
          </w:tcPr>
          <w:p>
            <w:pPr>
              <w:spacing w:after="0" w:line="259" w:lineRule="auto"/>
              <w:jc w:val="left"/>
            </w:pPr>
            <w:r>
              <w:rPr>
                <w:rFonts w:ascii="Arial" w:hAnsi="Arial" w:cs="Arial"/>
                <w:color w:val="20262E"/>
                <w:sz w:val="17"/>
              </w:rPr>
              <w:t>Şifre sıfırlama</w:t>
            </w:r>
          </w:p>
        </w:tc>
        <w:tc>
          <w:tcPr>
            <w:tcW w:type="dxa" w:w="7460"/>
            <w:vAlign w:val="center"/>
          </w:tcPr>
          <w:p>
            <w:pPr>
              <w:spacing w:after="0" w:line="259" w:lineRule="auto"/>
              <w:jc w:val="left"/>
            </w:pPr>
            <w:r>
              <w:rPr>
                <w:rFonts w:ascii="Arial" w:hAnsi="Arial" w:cs="Arial"/>
                <w:color w:val="20262E"/>
                <w:sz w:val="17"/>
              </w:rPr>
              <w:t>Hesap varlığını belli etmeyen yanıt; token'ın hash'li saklanması; kısa ömür; tek kullanım; reset sonrası session iptali</w:t>
            </w:r>
          </w:p>
        </w:tc>
      </w:tr>
      <w:tr>
        <w:trPr>
          <w:cantSplit/>
        </w:trPr>
        <w:tc>
          <w:tcPr>
            <w:tcW w:type="dxa" w:w="1900"/>
            <w:vAlign w:val="center"/>
          </w:tcPr>
          <w:p>
            <w:pPr>
              <w:spacing w:after="0" w:line="259" w:lineRule="auto"/>
              <w:jc w:val="left"/>
            </w:pPr>
            <w:r>
              <w:rPr>
                <w:rFonts w:ascii="Arial" w:hAnsi="Arial" w:cs="Arial"/>
                <w:color w:val="20262E"/>
                <w:sz w:val="17"/>
              </w:rPr>
              <w:t>MFA/passkey</w:t>
            </w:r>
          </w:p>
        </w:tc>
        <w:tc>
          <w:tcPr>
            <w:tcW w:type="dxa" w:w="7460"/>
            <w:vAlign w:val="center"/>
          </w:tcPr>
          <w:p>
            <w:pPr>
              <w:spacing w:after="0" w:line="259" w:lineRule="auto"/>
              <w:jc w:val="left"/>
            </w:pPr>
            <w:r>
              <w:rPr>
                <w:rFonts w:ascii="Arial" w:hAnsi="Arial" w:cs="Arial"/>
                <w:color w:val="20262E"/>
                <w:sz w:val="17"/>
              </w:rPr>
              <w:t>Admin/doktor için zorunlu passkey tercihli; TOTP yedek; öğrenci için isteğe bağlı; kurtarma kodları</w:t>
            </w:r>
          </w:p>
        </w:tc>
      </w:tr>
      <w:tr>
        <w:trPr>
          <w:cantSplit/>
        </w:trPr>
        <w:tc>
          <w:tcPr>
            <w:tcW w:type="dxa" w:w="1900"/>
            <w:vAlign w:val="center"/>
          </w:tcPr>
          <w:p>
            <w:pPr>
              <w:spacing w:after="0" w:line="259" w:lineRule="auto"/>
              <w:jc w:val="left"/>
            </w:pPr>
            <w:r>
              <w:rPr>
                <w:rFonts w:ascii="Arial" w:hAnsi="Arial" w:cs="Arial"/>
                <w:color w:val="20262E"/>
                <w:sz w:val="17"/>
              </w:rPr>
              <w:t>Rate limiting</w:t>
            </w:r>
          </w:p>
        </w:tc>
        <w:tc>
          <w:tcPr>
            <w:tcW w:type="dxa" w:w="7460"/>
            <w:vAlign w:val="center"/>
          </w:tcPr>
          <w:p>
            <w:pPr>
              <w:spacing w:after="0" w:line="259" w:lineRule="auto"/>
              <w:jc w:val="left"/>
            </w:pPr>
            <w:r>
              <w:rPr>
                <w:rFonts w:ascii="Arial" w:hAnsi="Arial" w:cs="Arial"/>
                <w:color w:val="20262E"/>
                <w:sz w:val="17"/>
              </w:rPr>
              <w:t>Replica-ortak store; IP + hesap + uç boyutları; kademeli gecikme; güvenli 429; audit/metric</w:t>
            </w:r>
          </w:p>
        </w:tc>
      </w:tr>
      <w:tr>
        <w:trPr>
          <w:cantSplit/>
        </w:trPr>
        <w:tc>
          <w:tcPr>
            <w:tcW w:type="dxa" w:w="1900"/>
            <w:vAlign w:val="center"/>
          </w:tcPr>
          <w:p>
            <w:pPr>
              <w:spacing w:after="0" w:line="259" w:lineRule="auto"/>
              <w:jc w:val="left"/>
            </w:pPr>
            <w:r>
              <w:rPr>
                <w:rFonts w:ascii="Arial" w:hAnsi="Arial" w:cs="Arial"/>
                <w:color w:val="20262E"/>
                <w:sz w:val="17"/>
              </w:rPr>
              <w:t>Merkezi session</w:t>
            </w:r>
          </w:p>
        </w:tc>
        <w:tc>
          <w:tcPr>
            <w:tcW w:type="dxa" w:w="7460"/>
            <w:vAlign w:val="center"/>
          </w:tcPr>
          <w:p>
            <w:pPr>
              <w:spacing w:after="0" w:line="259" w:lineRule="auto"/>
              <w:jc w:val="left"/>
            </w:pPr>
            <w:r>
              <w:rPr>
                <w:rFonts w:ascii="Arial" w:hAnsi="Arial" w:cs="Arial"/>
                <w:color w:val="20262E"/>
                <w:sz w:val="17"/>
              </w:rPr>
              <w:t>Session id hash'i; cihaz/son kullanım; idle + absolute timeout; tüm cihazlardan çıkış; rol/aktiflik sürümü</w:t>
            </w:r>
          </w:p>
        </w:tc>
      </w:tr>
      <w:tr>
        <w:trPr>
          <w:cantSplit/>
        </w:trPr>
        <w:tc>
          <w:tcPr>
            <w:tcW w:type="dxa" w:w="1900"/>
            <w:vAlign w:val="center"/>
          </w:tcPr>
          <w:p>
            <w:pPr>
              <w:spacing w:after="0" w:line="259" w:lineRule="auto"/>
              <w:jc w:val="left"/>
            </w:pPr>
            <w:r>
              <w:rPr>
                <w:rFonts w:ascii="Arial" w:hAnsi="Arial" w:cs="Arial"/>
                <w:color w:val="20262E"/>
                <w:sz w:val="17"/>
              </w:rPr>
              <w:t>Yetkilendirme</w:t>
            </w:r>
          </w:p>
        </w:tc>
        <w:tc>
          <w:tcPr>
            <w:tcW w:type="dxa" w:w="7460"/>
            <w:vAlign w:val="center"/>
          </w:tcPr>
          <w:p>
            <w:pPr>
              <w:spacing w:after="0" w:line="259" w:lineRule="auto"/>
              <w:jc w:val="left"/>
            </w:pPr>
            <w:r>
              <w:rPr>
                <w:rFonts w:ascii="Arial" w:hAnsi="Arial" w:cs="Arial"/>
                <w:color w:val="20262E"/>
                <w:sz w:val="17"/>
              </w:rPr>
              <w:t>Her mutation'da servis katmanı policy kontrolü; doktorun kullanıcı/backup/migration alanına erişememesi</w:t>
            </w:r>
          </w:p>
        </w:tc>
      </w:tr>
      <w:tr>
        <w:trPr>
          <w:cantSplit/>
        </w:trPr>
        <w:tc>
          <w:tcPr>
            <w:tcW w:type="dxa" w:w="1900"/>
            <w:vAlign w:val="center"/>
          </w:tcPr>
          <w:p>
            <w:pPr>
              <w:spacing w:after="0" w:line="259" w:lineRule="auto"/>
              <w:jc w:val="left"/>
            </w:pPr>
            <w:r>
              <w:rPr>
                <w:rFonts w:ascii="Arial" w:hAnsi="Arial" w:cs="Arial"/>
                <w:color w:val="20262E"/>
                <w:sz w:val="17"/>
              </w:rPr>
              <w:t>Web güvenliği</w:t>
            </w:r>
          </w:p>
        </w:tc>
        <w:tc>
          <w:tcPr>
            <w:tcW w:type="dxa" w:w="7460"/>
            <w:vAlign w:val="center"/>
          </w:tcPr>
          <w:p>
            <w:pPr>
              <w:spacing w:after="0" w:line="259" w:lineRule="auto"/>
              <w:jc w:val="left"/>
            </w:pPr>
            <w:r>
              <w:rPr>
                <w:rFonts w:ascii="Arial" w:hAnsi="Arial" w:cs="Arial"/>
                <w:color w:val="20262E"/>
                <w:sz w:val="17"/>
              </w:rPr>
              <w:t>CSP nonce/hash; HSTS; frame-ancestors; Referrer-Policy; Origin/CSRF kontrolü; body size sınırı</w:t>
            </w:r>
          </w:p>
        </w:tc>
      </w:tr>
      <w:tr>
        <w:trPr>
          <w:cantSplit/>
        </w:trPr>
        <w:tc>
          <w:tcPr>
            <w:tcW w:type="dxa" w:w="1900"/>
            <w:vAlign w:val="center"/>
          </w:tcPr>
          <w:p>
            <w:pPr>
              <w:spacing w:after="0" w:line="259" w:lineRule="auto"/>
              <w:jc w:val="left"/>
            </w:pPr>
            <w:r>
              <w:rPr>
                <w:rFonts w:ascii="Arial" w:hAnsi="Arial" w:cs="Arial"/>
                <w:color w:val="20262E"/>
                <w:sz w:val="17"/>
              </w:rPr>
              <w:t>Güvenlik SDLC</w:t>
            </w:r>
          </w:p>
        </w:tc>
        <w:tc>
          <w:tcPr>
            <w:tcW w:type="dxa" w:w="7460"/>
            <w:vAlign w:val="center"/>
          </w:tcPr>
          <w:p>
            <w:pPr>
              <w:spacing w:after="0" w:line="259" w:lineRule="auto"/>
              <w:jc w:val="left"/>
            </w:pPr>
            <w:r>
              <w:rPr>
                <w:rFonts w:ascii="Arial" w:hAnsi="Arial" w:cs="Arial"/>
                <w:color w:val="20262E"/>
                <w:sz w:val="17"/>
              </w:rPr>
              <w:t>Threat model; dependency/secret/SAST taraması; ASVS seviye 2 kontrol listesi; kritik bulgu release gate</w:t>
            </w:r>
          </w:p>
        </w:tc>
      </w:tr>
    </w:tbl>
    <w:p>
      <w:pPr>
        <w:spacing w:before="0" w:after="80" w:line="264" w:lineRule="auto"/>
      </w:pPr>
    </w:p>
    <w:p>
      <w:pPr>
        <w:pStyle w:val="Heading3"/>
      </w:pPr>
      <w:r>
        <w:rPr>
          <w:rFonts w:ascii="Arial" w:hAnsi="Arial" w:cs="Arial"/>
          <w:b/>
          <w:color w:val="1F4D78"/>
          <w:sz w:val="23"/>
        </w:rPr>
        <w:t>Role göre başlangıç oturum politikası</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700"/>
        <w:gridCol w:w="1200"/>
        <w:gridCol w:w="1400"/>
        <w:gridCol w:w="5060"/>
      </w:tblGrid>
      <w:tr>
        <w:trPr>
          <w:tblHeader w:val="true"/>
        </w:trPr>
        <w:tc>
          <w:tcPr>
            <w:tcW w:type="dxa" w:w="17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Rol</w:t>
            </w:r>
          </w:p>
        </w:tc>
        <w:tc>
          <w:tcPr>
            <w:tcW w:type="dxa" w:w="12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Idle</w:t>
            </w:r>
          </w:p>
        </w:tc>
        <w:tc>
          <w:tcPr>
            <w:tcW w:type="dxa" w:w="14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Absolute</w:t>
            </w:r>
          </w:p>
        </w:tc>
        <w:tc>
          <w:tcPr>
            <w:tcW w:type="dxa" w:w="50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Ek politika</w:t>
            </w:r>
          </w:p>
        </w:tc>
      </w:tr>
      <w:tr>
        <w:trPr>
          <w:cantSplit/>
        </w:trPr>
        <w:tc>
          <w:tcPr>
            <w:tcW w:type="dxa" w:w="1700"/>
            <w:vAlign w:val="center"/>
          </w:tcPr>
          <w:p>
            <w:pPr>
              <w:spacing w:after="0" w:line="259" w:lineRule="auto"/>
              <w:jc w:val="left"/>
            </w:pPr>
            <w:r>
              <w:rPr>
                <w:rFonts w:ascii="Arial" w:hAnsi="Arial" w:cs="Arial"/>
                <w:color w:val="20262E"/>
                <w:sz w:val="17"/>
              </w:rPr>
              <w:t>Admin / doktor</w:t>
            </w:r>
          </w:p>
        </w:tc>
        <w:tc>
          <w:tcPr>
            <w:tcW w:type="dxa" w:w="1200"/>
            <w:vAlign w:val="center"/>
          </w:tcPr>
          <w:p>
            <w:pPr>
              <w:spacing w:after="0" w:line="259" w:lineRule="auto"/>
              <w:jc w:val="center"/>
            </w:pPr>
            <w:r>
              <w:rPr>
                <w:rFonts w:ascii="Arial" w:hAnsi="Arial" w:cs="Arial"/>
                <w:color w:val="20262E"/>
                <w:sz w:val="17"/>
              </w:rPr>
              <w:t>30 dk idle</w:t>
            </w:r>
          </w:p>
        </w:tc>
        <w:tc>
          <w:tcPr>
            <w:tcW w:type="dxa" w:w="1400"/>
            <w:vAlign w:val="center"/>
          </w:tcPr>
          <w:p>
            <w:pPr>
              <w:spacing w:after="0" w:line="259" w:lineRule="auto"/>
              <w:jc w:val="center"/>
            </w:pPr>
            <w:r>
              <w:rPr>
                <w:rFonts w:ascii="Arial" w:hAnsi="Arial" w:cs="Arial"/>
                <w:color w:val="20262E"/>
                <w:sz w:val="17"/>
              </w:rPr>
              <w:t>8 saat absolute</w:t>
            </w:r>
          </w:p>
        </w:tc>
        <w:tc>
          <w:tcPr>
            <w:tcW w:type="dxa" w:w="5060"/>
            <w:vAlign w:val="center"/>
          </w:tcPr>
          <w:p>
            <w:pPr>
              <w:spacing w:after="0" w:line="259" w:lineRule="auto"/>
              <w:jc w:val="left"/>
            </w:pPr>
            <w:r>
              <w:rPr>
                <w:rFonts w:ascii="Arial" w:hAnsi="Arial" w:cs="Arial"/>
                <w:color w:val="20262E"/>
                <w:sz w:val="17"/>
              </w:rPr>
              <w:t>MFA zorunlu; riskli işlemde yeniden doğrulama</w:t>
            </w:r>
          </w:p>
        </w:tc>
      </w:tr>
      <w:tr>
        <w:trPr>
          <w:cantSplit/>
        </w:trPr>
        <w:tc>
          <w:tcPr>
            <w:tcW w:type="dxa" w:w="1700"/>
            <w:vAlign w:val="center"/>
          </w:tcPr>
          <w:p>
            <w:pPr>
              <w:spacing w:after="0" w:line="259" w:lineRule="auto"/>
              <w:jc w:val="left"/>
            </w:pPr>
            <w:r>
              <w:rPr>
                <w:rFonts w:ascii="Arial" w:hAnsi="Arial" w:cs="Arial"/>
                <w:color w:val="20262E"/>
                <w:sz w:val="17"/>
              </w:rPr>
              <w:t>Öğrenci</w:t>
            </w:r>
          </w:p>
        </w:tc>
        <w:tc>
          <w:tcPr>
            <w:tcW w:type="dxa" w:w="1200"/>
            <w:vAlign w:val="center"/>
          </w:tcPr>
          <w:p>
            <w:pPr>
              <w:spacing w:after="0" w:line="259" w:lineRule="auto"/>
              <w:jc w:val="center"/>
            </w:pPr>
            <w:r>
              <w:rPr>
                <w:rFonts w:ascii="Arial" w:hAnsi="Arial" w:cs="Arial"/>
                <w:color w:val="20262E"/>
                <w:sz w:val="17"/>
              </w:rPr>
              <w:t>2 saat idle</w:t>
            </w:r>
          </w:p>
        </w:tc>
        <w:tc>
          <w:tcPr>
            <w:tcW w:type="dxa" w:w="1400"/>
            <w:vAlign w:val="center"/>
          </w:tcPr>
          <w:p>
            <w:pPr>
              <w:spacing w:after="0" w:line="259" w:lineRule="auto"/>
              <w:jc w:val="center"/>
            </w:pPr>
            <w:r>
              <w:rPr>
                <w:rFonts w:ascii="Arial" w:hAnsi="Arial" w:cs="Arial"/>
                <w:color w:val="20262E"/>
                <w:sz w:val="17"/>
              </w:rPr>
              <w:t>12 saat absolute</w:t>
            </w:r>
          </w:p>
        </w:tc>
        <w:tc>
          <w:tcPr>
            <w:tcW w:type="dxa" w:w="5060"/>
            <w:vAlign w:val="center"/>
          </w:tcPr>
          <w:p>
            <w:pPr>
              <w:spacing w:after="0" w:line="259" w:lineRule="auto"/>
              <w:jc w:val="left"/>
            </w:pPr>
            <w:r>
              <w:rPr>
                <w:rFonts w:ascii="Arial" w:hAnsi="Arial" w:cs="Arial"/>
                <w:color w:val="20262E"/>
                <w:sz w:val="17"/>
              </w:rPr>
              <w:t>MFA isteğe bağlı; parola/reset sonrası tüm session iptali</w:t>
            </w:r>
          </w:p>
        </w:tc>
      </w:tr>
      <w:tr>
        <w:trPr>
          <w:cantSplit/>
        </w:trPr>
        <w:tc>
          <w:tcPr>
            <w:tcW w:type="dxa" w:w="1700"/>
            <w:vAlign w:val="center"/>
          </w:tcPr>
          <w:p>
            <w:pPr>
              <w:spacing w:after="0" w:line="259" w:lineRule="auto"/>
              <w:jc w:val="left"/>
            </w:pPr>
            <w:r>
              <w:rPr>
                <w:rFonts w:ascii="Arial" w:hAnsi="Arial" w:cs="Arial"/>
                <w:color w:val="20262E"/>
                <w:sz w:val="17"/>
              </w:rPr>
              <w:t>Misafir deneme</w:t>
            </w:r>
          </w:p>
        </w:tc>
        <w:tc>
          <w:tcPr>
            <w:tcW w:type="dxa" w:w="1200"/>
            <w:vAlign w:val="center"/>
          </w:tcPr>
          <w:p>
            <w:pPr>
              <w:spacing w:after="0" w:line="259" w:lineRule="auto"/>
              <w:jc w:val="center"/>
            </w:pPr>
            <w:r>
              <w:rPr>
                <w:rFonts w:ascii="Arial" w:hAnsi="Arial" w:cs="Arial"/>
                <w:color w:val="20262E"/>
                <w:sz w:val="17"/>
              </w:rPr>
              <w:t>30 dk idle</w:t>
            </w:r>
          </w:p>
        </w:tc>
        <w:tc>
          <w:tcPr>
            <w:tcW w:type="dxa" w:w="1400"/>
            <w:vAlign w:val="center"/>
          </w:tcPr>
          <w:p>
            <w:pPr>
              <w:spacing w:after="0" w:line="259" w:lineRule="auto"/>
              <w:jc w:val="center"/>
            </w:pPr>
            <w:r>
              <w:rPr>
                <w:rFonts w:ascii="Arial" w:hAnsi="Arial" w:cs="Arial"/>
                <w:color w:val="20262E"/>
                <w:sz w:val="17"/>
              </w:rPr>
              <w:t>2 saat absolute</w:t>
            </w:r>
          </w:p>
        </w:tc>
        <w:tc>
          <w:tcPr>
            <w:tcW w:type="dxa" w:w="5060"/>
            <w:vAlign w:val="center"/>
          </w:tcPr>
          <w:p>
            <w:pPr>
              <w:spacing w:after="0" w:line="259" w:lineRule="auto"/>
              <w:jc w:val="left"/>
            </w:pPr>
            <w:r>
              <w:rPr>
                <w:rFonts w:ascii="Arial" w:hAnsi="Arial" w:cs="Arial"/>
                <w:color w:val="20262E"/>
                <w:sz w:val="17"/>
              </w:rPr>
              <w:t>Kalıcı kişisel veri yok; tamamlanınca veya sürede sil</w:t>
            </w:r>
          </w:p>
        </w:tc>
      </w:tr>
    </w:tbl>
    <w:p>
      <w:pPr>
        <w:spacing w:before="0" w:after="80" w:line="264" w:lineRule="auto"/>
      </w:pPr>
    </w:p>
    <w:p>
      <w:pPr>
        <w:spacing w:before="0" w:after="120" w:line="264" w:lineRule="auto"/>
      </w:pPr>
      <w:r>
        <w:rPr>
          <w:rFonts w:ascii="Arial" w:hAnsi="Arial" w:cs="Arial"/>
          <w:b w:val="0"/>
          <w:i/>
          <w:color w:val="5D6875"/>
          <w:sz w:val="17"/>
        </w:rPr>
        <w:t>Bu süreler başlangıç önerisidir; kullanım analitiği ve kurum politikasıyla kalibre edilmelidir.</w:t>
      </w:r>
    </w:p>
    <w:p>
      <w:pPr>
        <w:spacing w:before="0" w:after="120" w:line="264" w:lineRule="auto"/>
      </w:pPr>
      <w:r>
        <w:rPr>
          <w:rFonts w:ascii="Arial" w:hAnsi="Arial" w:cs="Arial"/>
          <w:b/>
          <w:color w:val="5D6875"/>
          <w:sz w:val="17"/>
        </w:rPr>
        <w:t xml:space="preserve">Dayanak: </w:t>
      </w:r>
      <w:r>
        <w:rPr>
          <w:rFonts w:ascii="Arial" w:hAnsi="Arial" w:cs="Arial"/>
          <w:i/>
          <w:color w:val="5D6875"/>
          <w:sz w:val="17"/>
        </w:rPr>
        <w:t>OWASP ASVS 5.0.x, Authentication, Session Management, Forgot Password ve MFA rehberleri; NIST SP 800-63B; Next.js production/data security rehberleri [Kaynak 2-8].</w:t>
      </w:r>
    </w:p>
    <w:p>
      <w:pPr>
        <w:pStyle w:val="Heading2"/>
      </w:pPr>
      <w:r>
        <w:rPr>
          <w:rFonts w:ascii="Arial" w:hAnsi="Arial" w:cs="Arial"/>
          <w:b/>
          <w:color w:val="2E74B5"/>
          <w:sz w:val="26"/>
        </w:rPr>
        <w:t>4.5 P1 — Gözlemlenebilirlik, sağlık kontrolleri ve SRE</w:t>
      </w:r>
    </w:p>
    <w:p>
      <w:pPr>
        <w:spacing w:before="0" w:after="120" w:line="264" w:lineRule="auto"/>
      </w:pPr>
      <w:r>
        <w:rPr>
          <w:rFonts w:ascii="Arial" w:hAnsi="Arial" w:cs="Arial"/>
          <w:b w:val="0"/>
          <w:i w:val="0"/>
          <w:color w:val="20262E"/>
          <w:sz w:val="21"/>
        </w:rPr>
        <w:t>Sağlık kontrolü tek bir /health yanıtından ibaret olmamalıdır. Liveness process'in çalıştığını, readiness trafiğe hazır olduğunu, startup ise migration ve temel bağımlılıkların tamamlandığını ayrı ayrı göstermelidir.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2200"/>
        <w:gridCol w:w="3300"/>
        <w:gridCol w:w="3860"/>
      </w:tblGrid>
      <w:tr>
        <w:trPr>
          <w:tblHeader w:val="true"/>
        </w:trPr>
        <w:tc>
          <w:tcPr>
            <w:tcW w:type="dxa" w:w="22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Uç</w:t>
            </w:r>
          </w:p>
        </w:tc>
        <w:tc>
          <w:tcPr>
            <w:tcW w:type="dxa" w:w="3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Kontrol</w:t>
            </w:r>
          </w:p>
        </w:tc>
        <w:tc>
          <w:tcPr>
            <w:tcW w:type="dxa" w:w="38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Davranış</w:t>
            </w:r>
          </w:p>
        </w:tc>
      </w:tr>
      <w:tr>
        <w:trPr>
          <w:cantSplit/>
        </w:trPr>
        <w:tc>
          <w:tcPr>
            <w:tcW w:type="dxa" w:w="2200"/>
            <w:vAlign w:val="center"/>
          </w:tcPr>
          <w:p>
            <w:pPr>
              <w:spacing w:after="0" w:line="259" w:lineRule="auto"/>
              <w:jc w:val="left"/>
            </w:pPr>
            <w:r>
              <w:rPr>
                <w:rFonts w:ascii="Arial" w:hAnsi="Arial" w:cs="Arial"/>
                <w:color w:val="20262E"/>
                <w:sz w:val="17"/>
              </w:rPr>
              <w:t>/api/health/live</w:t>
            </w:r>
          </w:p>
        </w:tc>
        <w:tc>
          <w:tcPr>
            <w:tcW w:type="dxa" w:w="3300"/>
            <w:vAlign w:val="center"/>
          </w:tcPr>
          <w:p>
            <w:pPr>
              <w:spacing w:after="0" w:line="259" w:lineRule="auto"/>
              <w:jc w:val="left"/>
            </w:pPr>
            <w:r>
              <w:rPr>
                <w:rFonts w:ascii="Arial" w:hAnsi="Arial" w:cs="Arial"/>
                <w:color w:val="20262E"/>
                <w:sz w:val="17"/>
              </w:rPr>
              <w:t>Yalnızca process/event loop</w:t>
            </w:r>
          </w:p>
        </w:tc>
        <w:tc>
          <w:tcPr>
            <w:tcW w:type="dxa" w:w="3860"/>
            <w:vAlign w:val="center"/>
          </w:tcPr>
          <w:p>
            <w:pPr>
              <w:spacing w:after="0" w:line="259" w:lineRule="auto"/>
              <w:jc w:val="left"/>
            </w:pPr>
            <w:r>
              <w:rPr>
                <w:rFonts w:ascii="Arial" w:hAnsi="Arial" w:cs="Arial"/>
                <w:color w:val="20262E"/>
                <w:sz w:val="17"/>
              </w:rPr>
              <w:t>Hızlı 200/503; dış bağımlılık çağırmaz</w:t>
            </w:r>
          </w:p>
        </w:tc>
      </w:tr>
      <w:tr>
        <w:trPr>
          <w:cantSplit/>
        </w:trPr>
        <w:tc>
          <w:tcPr>
            <w:tcW w:type="dxa" w:w="2200"/>
            <w:vAlign w:val="center"/>
          </w:tcPr>
          <w:p>
            <w:pPr>
              <w:spacing w:after="0" w:line="259" w:lineRule="auto"/>
              <w:jc w:val="left"/>
            </w:pPr>
            <w:r>
              <w:rPr>
                <w:rFonts w:ascii="Arial" w:hAnsi="Arial" w:cs="Arial"/>
                <w:color w:val="20262E"/>
                <w:sz w:val="17"/>
              </w:rPr>
              <w:t>/api/health/ready</w:t>
            </w:r>
          </w:p>
        </w:tc>
        <w:tc>
          <w:tcPr>
            <w:tcW w:type="dxa" w:w="3300"/>
            <w:vAlign w:val="center"/>
          </w:tcPr>
          <w:p>
            <w:pPr>
              <w:spacing w:after="0" w:line="259" w:lineRule="auto"/>
              <w:jc w:val="left"/>
            </w:pPr>
            <w:r>
              <w:rPr>
                <w:rFonts w:ascii="Arial" w:hAnsi="Arial" w:cs="Arial"/>
                <w:color w:val="20262E"/>
                <w:sz w:val="17"/>
              </w:rPr>
              <w:t>DB bağlantısı, migration sürümü, zorunlu yapılandırma</w:t>
            </w:r>
          </w:p>
        </w:tc>
        <w:tc>
          <w:tcPr>
            <w:tcW w:type="dxa" w:w="3860"/>
            <w:vAlign w:val="center"/>
          </w:tcPr>
          <w:p>
            <w:pPr>
              <w:spacing w:after="0" w:line="259" w:lineRule="auto"/>
              <w:jc w:val="left"/>
            </w:pPr>
            <w:r>
              <w:rPr>
                <w:rFonts w:ascii="Arial" w:hAnsi="Arial" w:cs="Arial"/>
                <w:color w:val="20262E"/>
                <w:sz w:val="17"/>
              </w:rPr>
              <w:t>Load balancer readiness; ayrıntı sızdırmaz</w:t>
            </w:r>
          </w:p>
        </w:tc>
      </w:tr>
      <w:tr>
        <w:trPr>
          <w:cantSplit/>
        </w:trPr>
        <w:tc>
          <w:tcPr>
            <w:tcW w:type="dxa" w:w="2200"/>
            <w:vAlign w:val="center"/>
          </w:tcPr>
          <w:p>
            <w:pPr>
              <w:spacing w:after="0" w:line="259" w:lineRule="auto"/>
              <w:jc w:val="left"/>
            </w:pPr>
            <w:r>
              <w:rPr>
                <w:rFonts w:ascii="Arial" w:hAnsi="Arial" w:cs="Arial"/>
                <w:color w:val="20262E"/>
                <w:sz w:val="17"/>
              </w:rPr>
              <w:t>/api/health/startup</w:t>
            </w:r>
          </w:p>
        </w:tc>
        <w:tc>
          <w:tcPr>
            <w:tcW w:type="dxa" w:w="3300"/>
            <w:vAlign w:val="center"/>
          </w:tcPr>
          <w:p>
            <w:pPr>
              <w:spacing w:after="0" w:line="259" w:lineRule="auto"/>
              <w:jc w:val="left"/>
            </w:pPr>
            <w:r>
              <w:rPr>
                <w:rFonts w:ascii="Arial" w:hAnsi="Arial" w:cs="Arial"/>
                <w:color w:val="20262E"/>
                <w:sz w:val="17"/>
              </w:rPr>
              <w:t>Başlangıç ve release tamamlanması</w:t>
            </w:r>
          </w:p>
        </w:tc>
        <w:tc>
          <w:tcPr>
            <w:tcW w:type="dxa" w:w="3860"/>
            <w:vAlign w:val="center"/>
          </w:tcPr>
          <w:p>
            <w:pPr>
              <w:spacing w:after="0" w:line="259" w:lineRule="auto"/>
              <w:jc w:val="left"/>
            </w:pPr>
            <w:r>
              <w:rPr>
                <w:rFonts w:ascii="Arial" w:hAnsi="Arial" w:cs="Arial"/>
                <w:color w:val="20262E"/>
                <w:sz w:val="17"/>
              </w:rPr>
              <w:t>Migration bitmeden trafik almaz</w:t>
            </w:r>
          </w:p>
        </w:tc>
      </w:tr>
      <w:tr>
        <w:trPr>
          <w:cantSplit/>
        </w:trPr>
        <w:tc>
          <w:tcPr>
            <w:tcW w:type="dxa" w:w="2200"/>
            <w:vAlign w:val="center"/>
          </w:tcPr>
          <w:p>
            <w:pPr>
              <w:spacing w:after="0" w:line="259" w:lineRule="auto"/>
              <w:jc w:val="left"/>
            </w:pPr>
            <w:r>
              <w:rPr>
                <w:rFonts w:ascii="Arial" w:hAnsi="Arial" w:cs="Arial"/>
                <w:color w:val="20262E"/>
                <w:sz w:val="17"/>
              </w:rPr>
              <w:t>/api/admin/diagnostics</w:t>
            </w:r>
          </w:p>
        </w:tc>
        <w:tc>
          <w:tcPr>
            <w:tcW w:type="dxa" w:w="3300"/>
            <w:vAlign w:val="center"/>
          </w:tcPr>
          <w:p>
            <w:pPr>
              <w:spacing w:after="0" w:line="259" w:lineRule="auto"/>
              <w:jc w:val="left"/>
            </w:pPr>
            <w:r>
              <w:rPr>
                <w:rFonts w:ascii="Arial" w:hAnsi="Arial" w:cs="Arial"/>
                <w:color w:val="20262E"/>
                <w:sz w:val="17"/>
              </w:rPr>
              <w:t>Kuyruk, backup, sürüm, bağlantı ayrıntısı</w:t>
            </w:r>
          </w:p>
        </w:tc>
        <w:tc>
          <w:tcPr>
            <w:tcW w:type="dxa" w:w="3860"/>
            <w:vAlign w:val="center"/>
          </w:tcPr>
          <w:p>
            <w:pPr>
              <w:spacing w:after="0" w:line="259" w:lineRule="auto"/>
              <w:jc w:val="left"/>
            </w:pPr>
            <w:r>
              <w:rPr>
                <w:rFonts w:ascii="Arial" w:hAnsi="Arial" w:cs="Arial"/>
                <w:color w:val="20262E"/>
                <w:sz w:val="17"/>
              </w:rPr>
              <w:t>Yalnızca yetkili admin; audit kayıtlı</w:t>
            </w:r>
          </w:p>
        </w:tc>
      </w:tr>
    </w:tbl>
    <w:p>
      <w:pPr>
        <w:spacing w:before="0" w:after="80" w:line="264" w:lineRule="auto"/>
      </w:pPr>
    </w:p>
    <w:p>
      <w:pPr>
        <w:pStyle w:val="Heading3"/>
      </w:pPr>
      <w:r>
        <w:rPr>
          <w:rFonts w:ascii="Arial" w:hAnsi="Arial" w:cs="Arial"/>
          <w:b/>
          <w:color w:val="1F4D78"/>
          <w:sz w:val="23"/>
        </w:rPr>
        <w:t>Toplanacak sinyaller</w:t>
      </w:r>
    </w:p>
    <w:p>
      <w:pPr>
        <w:keepLines/>
        <w:numPr>
          <w:ilvl w:val="0"/>
          <w:numId w:val="90"/>
        </w:numPr>
        <w:spacing w:after="100" w:line="280" w:lineRule="auto"/>
      </w:pPr>
      <w:r>
        <w:rPr>
          <w:rFonts w:ascii="Arial" w:hAnsi="Arial" w:cs="Arial"/>
          <w:color w:val="20262E"/>
          <w:sz w:val="21"/>
        </w:rPr>
        <w:t>Metrikler: istek sayısı, hata oranı, p50/p95/p99 süre, auth başarısızlığı, rate limit, vaka başlatma/tamamlama, skor gecikmesi, DB pool, migration ve backup sonucu.</w:t>
      </w:r>
    </w:p>
    <w:p>
      <w:pPr>
        <w:keepLines/>
        <w:numPr>
          <w:ilvl w:val="0"/>
          <w:numId w:val="90"/>
        </w:numPr>
        <w:spacing w:after="100" w:line="280" w:lineRule="auto"/>
      </w:pPr>
      <w:r>
        <w:rPr>
          <w:rFonts w:ascii="Arial" w:hAnsi="Arial" w:cs="Arial"/>
          <w:color w:val="20262E"/>
          <w:sz w:val="21"/>
        </w:rPr>
        <w:t>İzler: request id/trace id ile Next.js route → domain service → PostgreSQL → kuyruk zinciri; yavaş vaka değerlendirmesinin nerede kaldığı görülebilmeli.</w:t>
      </w:r>
    </w:p>
    <w:p>
      <w:pPr>
        <w:keepLines/>
        <w:numPr>
          <w:ilvl w:val="0"/>
          <w:numId w:val="90"/>
        </w:numPr>
        <w:spacing w:after="100" w:line="280" w:lineRule="auto"/>
      </w:pPr>
      <w:r>
        <w:rPr>
          <w:rFonts w:ascii="Arial" w:hAnsi="Arial" w:cs="Arial"/>
          <w:color w:val="20262E"/>
          <w:sz w:val="21"/>
        </w:rPr>
        <w:t>Loglar: JSON formatı; timestamp, level, service, environment, commit, trace_id, event_name, outcome. Şifre, token, connection string, ham serbest klinik metin ve tam e-posta loglanmamalı.</w:t>
      </w:r>
    </w:p>
    <w:p>
      <w:pPr>
        <w:keepLines/>
        <w:numPr>
          <w:ilvl w:val="0"/>
          <w:numId w:val="90"/>
        </w:numPr>
        <w:spacing w:after="100" w:line="280" w:lineRule="auto"/>
      </w:pPr>
      <w:r>
        <w:rPr>
          <w:rFonts w:ascii="Arial" w:hAnsi="Arial" w:cs="Arial"/>
          <w:color w:val="20262E"/>
          <w:sz w:val="21"/>
        </w:rPr>
        <w:t>Alarmlar: readiness düşmesi, 5xx artışı, auth saldırı paterni, DB pool tükenmesi, migration uyumsuzluğu, backup/restore başarısızlığı ve kalite pipeline'ında kritik vaka artışı.</w:t>
      </w:r>
    </w:p>
    <w:p>
      <w:pPr>
        <w:spacing w:before="0" w:after="120" w:line="264" w:lineRule="auto"/>
      </w:pPr>
      <w:r>
        <w:rPr>
          <w:rFonts w:ascii="Arial" w:hAnsi="Arial" w:cs="Arial"/>
          <w:b/>
          <w:color w:val="5D6875"/>
          <w:sz w:val="17"/>
        </w:rPr>
        <w:t xml:space="preserve">Dayanak: </w:t>
      </w:r>
      <w:r>
        <w:rPr>
          <w:rFonts w:ascii="Arial" w:hAnsi="Arial" w:cs="Arial"/>
          <w:i/>
          <w:color w:val="5D6875"/>
          <w:sz w:val="17"/>
        </w:rPr>
        <w:t>OpenTelemetry traces/metrics/logs yaklaşımı ve OWASP güvenli logging rehberi [Kaynak 10-11].</w:t>
      </w:r>
    </w:p>
    <w:p>
      <w:pPr>
        <w:pStyle w:val="Heading2"/>
      </w:pPr>
      <w:r>
        <w:rPr>
          <w:rFonts w:ascii="Arial" w:hAnsi="Arial" w:cs="Arial"/>
          <w:b/>
          <w:color w:val="2E74B5"/>
          <w:sz w:val="26"/>
        </w:rPr>
        <w:t>4.6 P1 — Test stratejisi ve release kapıları</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600"/>
        <w:gridCol w:w="5850"/>
        <w:gridCol w:w="1910"/>
      </w:tblGrid>
      <w:tr>
        <w:trPr>
          <w:tblHeader w:val="true"/>
        </w:trPr>
        <w:tc>
          <w:tcPr>
            <w:tcW w:type="dxa" w:w="16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Katman</w:t>
            </w:r>
          </w:p>
        </w:tc>
        <w:tc>
          <w:tcPr>
            <w:tcW w:type="dxa" w:w="585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Örnek kapsam</w:t>
            </w:r>
          </w:p>
        </w:tc>
        <w:tc>
          <w:tcPr>
            <w:tcW w:type="dxa" w:w="191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Çalışma sıklığı</w:t>
            </w:r>
          </w:p>
        </w:tc>
      </w:tr>
      <w:tr>
        <w:trPr>
          <w:cantSplit/>
        </w:trPr>
        <w:tc>
          <w:tcPr>
            <w:tcW w:type="dxa" w:w="1600"/>
            <w:vAlign w:val="center"/>
          </w:tcPr>
          <w:p>
            <w:pPr>
              <w:spacing w:after="0" w:line="259" w:lineRule="auto"/>
              <w:jc w:val="left"/>
            </w:pPr>
            <w:r>
              <w:rPr>
                <w:rFonts w:ascii="Arial" w:hAnsi="Arial" w:cs="Arial"/>
                <w:color w:val="20262E"/>
                <w:sz w:val="17"/>
              </w:rPr>
              <w:t>Birim</w:t>
            </w:r>
          </w:p>
        </w:tc>
        <w:tc>
          <w:tcPr>
            <w:tcW w:type="dxa" w:w="5850"/>
            <w:vAlign w:val="center"/>
          </w:tcPr>
          <w:p>
            <w:pPr>
              <w:spacing w:after="0" w:line="259" w:lineRule="auto"/>
              <w:jc w:val="left"/>
            </w:pPr>
            <w:r>
              <w:rPr>
                <w:rFonts w:ascii="Arial" w:hAnsi="Arial" w:cs="Arial"/>
                <w:color w:val="20262E"/>
                <w:sz w:val="17"/>
              </w:rPr>
              <w:t>Skor, test normalizasyonu, yayın kuralları, rol policy'leri</w:t>
            </w:r>
          </w:p>
        </w:tc>
        <w:tc>
          <w:tcPr>
            <w:tcW w:type="dxa" w:w="1910"/>
            <w:vAlign w:val="center"/>
          </w:tcPr>
          <w:p>
            <w:pPr>
              <w:spacing w:after="0" w:line="259" w:lineRule="auto"/>
              <w:jc w:val="center"/>
            </w:pPr>
            <w:r>
              <w:rPr>
                <w:rFonts w:ascii="Arial" w:hAnsi="Arial" w:cs="Arial"/>
                <w:color w:val="20262E"/>
                <w:sz w:val="17"/>
              </w:rPr>
              <w:t>Her PR</w:t>
            </w:r>
          </w:p>
        </w:tc>
      </w:tr>
      <w:tr>
        <w:trPr>
          <w:cantSplit/>
        </w:trPr>
        <w:tc>
          <w:tcPr>
            <w:tcW w:type="dxa" w:w="1600"/>
            <w:vAlign w:val="center"/>
          </w:tcPr>
          <w:p>
            <w:pPr>
              <w:spacing w:after="0" w:line="259" w:lineRule="auto"/>
              <w:jc w:val="left"/>
            </w:pPr>
            <w:r>
              <w:rPr>
                <w:rFonts w:ascii="Arial" w:hAnsi="Arial" w:cs="Arial"/>
                <w:color w:val="20262E"/>
                <w:sz w:val="17"/>
              </w:rPr>
              <w:t>Property/invariant</w:t>
            </w:r>
          </w:p>
        </w:tc>
        <w:tc>
          <w:tcPr>
            <w:tcW w:type="dxa" w:w="5850"/>
            <w:vAlign w:val="center"/>
          </w:tcPr>
          <w:p>
            <w:pPr>
              <w:spacing w:after="0" w:line="259" w:lineRule="auto"/>
              <w:jc w:val="left"/>
            </w:pPr>
            <w:r>
              <w:rPr>
                <w:rFonts w:ascii="Arial" w:hAnsi="Arial" w:cs="Arial"/>
                <w:color w:val="20262E"/>
                <w:sz w:val="17"/>
              </w:rPr>
              <w:t>Aynı input + sürüm = aynı skor; kritik red flag asla pozitif puanla maskelenmez</w:t>
            </w:r>
          </w:p>
        </w:tc>
        <w:tc>
          <w:tcPr>
            <w:tcW w:type="dxa" w:w="1910"/>
            <w:vAlign w:val="center"/>
          </w:tcPr>
          <w:p>
            <w:pPr>
              <w:spacing w:after="0" w:line="259" w:lineRule="auto"/>
              <w:jc w:val="center"/>
            </w:pPr>
            <w:r>
              <w:rPr>
                <w:rFonts w:ascii="Arial" w:hAnsi="Arial" w:cs="Arial"/>
                <w:color w:val="20262E"/>
                <w:sz w:val="17"/>
              </w:rPr>
              <w:t>Her PR</w:t>
            </w:r>
          </w:p>
        </w:tc>
      </w:tr>
      <w:tr>
        <w:trPr>
          <w:cantSplit/>
        </w:trPr>
        <w:tc>
          <w:tcPr>
            <w:tcW w:type="dxa" w:w="1600"/>
            <w:vAlign w:val="center"/>
          </w:tcPr>
          <w:p>
            <w:pPr>
              <w:spacing w:after="0" w:line="259" w:lineRule="auto"/>
              <w:jc w:val="left"/>
            </w:pPr>
            <w:r>
              <w:rPr>
                <w:rFonts w:ascii="Arial" w:hAnsi="Arial" w:cs="Arial"/>
                <w:color w:val="20262E"/>
                <w:sz w:val="17"/>
              </w:rPr>
              <w:t>Entegrasyon</w:t>
            </w:r>
          </w:p>
        </w:tc>
        <w:tc>
          <w:tcPr>
            <w:tcW w:type="dxa" w:w="5850"/>
            <w:vAlign w:val="center"/>
          </w:tcPr>
          <w:p>
            <w:pPr>
              <w:spacing w:after="0" w:line="259" w:lineRule="auto"/>
              <w:jc w:val="left"/>
            </w:pPr>
            <w:r>
              <w:rPr>
                <w:rFonts w:ascii="Arial" w:hAnsi="Arial" w:cs="Arial"/>
                <w:color w:val="20262E"/>
                <w:sz w:val="17"/>
              </w:rPr>
              <w:t>PostgreSQL 16; advisory lock; import; session revocation; audit</w:t>
            </w:r>
          </w:p>
        </w:tc>
        <w:tc>
          <w:tcPr>
            <w:tcW w:type="dxa" w:w="1910"/>
            <w:vAlign w:val="center"/>
          </w:tcPr>
          <w:p>
            <w:pPr>
              <w:spacing w:after="0" w:line="259" w:lineRule="auto"/>
              <w:jc w:val="center"/>
            </w:pPr>
            <w:r>
              <w:rPr>
                <w:rFonts w:ascii="Arial" w:hAnsi="Arial" w:cs="Arial"/>
                <w:color w:val="20262E"/>
                <w:sz w:val="17"/>
              </w:rPr>
              <w:t>Her PR</w:t>
            </w:r>
          </w:p>
        </w:tc>
      </w:tr>
      <w:tr>
        <w:trPr>
          <w:cantSplit/>
        </w:trPr>
        <w:tc>
          <w:tcPr>
            <w:tcW w:type="dxa" w:w="1600"/>
            <w:vAlign w:val="center"/>
          </w:tcPr>
          <w:p>
            <w:pPr>
              <w:spacing w:after="0" w:line="259" w:lineRule="auto"/>
              <w:jc w:val="left"/>
            </w:pPr>
            <w:r>
              <w:rPr>
                <w:rFonts w:ascii="Arial" w:hAnsi="Arial" w:cs="Arial"/>
                <w:color w:val="20262E"/>
                <w:sz w:val="17"/>
              </w:rPr>
              <w:t>Tarayıcı E2E</w:t>
            </w:r>
          </w:p>
        </w:tc>
        <w:tc>
          <w:tcPr>
            <w:tcW w:type="dxa" w:w="5850"/>
            <w:vAlign w:val="center"/>
          </w:tcPr>
          <w:p>
            <w:pPr>
              <w:spacing w:after="0" w:line="259" w:lineRule="auto"/>
              <w:jc w:val="left"/>
            </w:pPr>
            <w:r>
              <w:rPr>
                <w:rFonts w:ascii="Arial" w:hAnsi="Arial" w:cs="Arial"/>
                <w:color w:val="20262E"/>
                <w:sz w:val="17"/>
              </w:rPr>
              <w:t>Kayıt/doğrulama/giriş/çıkış; mobil nav; vaka; profil; admin/doktor yetkisi</w:t>
            </w:r>
          </w:p>
        </w:tc>
        <w:tc>
          <w:tcPr>
            <w:tcW w:type="dxa" w:w="1910"/>
            <w:vAlign w:val="center"/>
          </w:tcPr>
          <w:p>
            <w:pPr>
              <w:spacing w:after="0" w:line="259" w:lineRule="auto"/>
              <w:jc w:val="center"/>
            </w:pPr>
            <w:r>
              <w:rPr>
                <w:rFonts w:ascii="Arial" w:hAnsi="Arial" w:cs="Arial"/>
                <w:color w:val="20262E"/>
                <w:sz w:val="17"/>
              </w:rPr>
              <w:t>Her PR veya ana branch</w:t>
            </w:r>
          </w:p>
        </w:tc>
      </w:tr>
      <w:tr>
        <w:trPr>
          <w:cantSplit/>
        </w:trPr>
        <w:tc>
          <w:tcPr>
            <w:tcW w:type="dxa" w:w="1600"/>
            <w:vAlign w:val="center"/>
          </w:tcPr>
          <w:p>
            <w:pPr>
              <w:spacing w:after="0" w:line="259" w:lineRule="auto"/>
              <w:jc w:val="left"/>
            </w:pPr>
            <w:r>
              <w:rPr>
                <w:rFonts w:ascii="Arial" w:hAnsi="Arial" w:cs="Arial"/>
                <w:color w:val="20262E"/>
                <w:sz w:val="17"/>
              </w:rPr>
              <w:t>Deploy kabul</w:t>
            </w:r>
          </w:p>
        </w:tc>
        <w:tc>
          <w:tcPr>
            <w:tcW w:type="dxa" w:w="5850"/>
            <w:vAlign w:val="center"/>
          </w:tcPr>
          <w:p>
            <w:pPr>
              <w:spacing w:after="0" w:line="259" w:lineRule="auto"/>
              <w:jc w:val="left"/>
            </w:pPr>
            <w:r>
              <w:rPr>
                <w:rFonts w:ascii="Arial" w:hAnsi="Arial" w:cs="Arial"/>
                <w:color w:val="20262E"/>
                <w:sz w:val="17"/>
              </w:rPr>
              <w:t>Coolify-benzeri başlangıç; migration; readiness; eski sürümle uyum</w:t>
            </w:r>
          </w:p>
        </w:tc>
        <w:tc>
          <w:tcPr>
            <w:tcW w:type="dxa" w:w="1910"/>
            <w:vAlign w:val="center"/>
          </w:tcPr>
          <w:p>
            <w:pPr>
              <w:spacing w:after="0" w:line="259" w:lineRule="auto"/>
              <w:jc w:val="center"/>
            </w:pPr>
            <w:r>
              <w:rPr>
                <w:rFonts w:ascii="Arial" w:hAnsi="Arial" w:cs="Arial"/>
                <w:color w:val="20262E"/>
                <w:sz w:val="17"/>
              </w:rPr>
              <w:t>Release adayı</w:t>
            </w:r>
          </w:p>
        </w:tc>
      </w:tr>
      <w:tr>
        <w:trPr>
          <w:cantSplit/>
        </w:trPr>
        <w:tc>
          <w:tcPr>
            <w:tcW w:type="dxa" w:w="1600"/>
            <w:vAlign w:val="center"/>
          </w:tcPr>
          <w:p>
            <w:pPr>
              <w:spacing w:after="0" w:line="259" w:lineRule="auto"/>
              <w:jc w:val="left"/>
            </w:pPr>
            <w:r>
              <w:rPr>
                <w:rFonts w:ascii="Arial" w:hAnsi="Arial" w:cs="Arial"/>
                <w:color w:val="20262E"/>
                <w:sz w:val="17"/>
              </w:rPr>
              <w:t>Yük/eşzamanlılık</w:t>
            </w:r>
          </w:p>
        </w:tc>
        <w:tc>
          <w:tcPr>
            <w:tcW w:type="dxa" w:w="5850"/>
            <w:vAlign w:val="center"/>
          </w:tcPr>
          <w:p>
            <w:pPr>
              <w:spacing w:after="0" w:line="259" w:lineRule="auto"/>
              <w:jc w:val="left"/>
            </w:pPr>
            <w:r>
              <w:rPr>
                <w:rFonts w:ascii="Arial" w:hAnsi="Arial" w:cs="Arial"/>
                <w:color w:val="20262E"/>
                <w:sz w:val="17"/>
              </w:rPr>
              <w:t>Vaka start/complete, admin edit, rate limit, DB pool</w:t>
            </w:r>
          </w:p>
        </w:tc>
        <w:tc>
          <w:tcPr>
            <w:tcW w:type="dxa" w:w="1910"/>
            <w:vAlign w:val="center"/>
          </w:tcPr>
          <w:p>
            <w:pPr>
              <w:spacing w:after="0" w:line="259" w:lineRule="auto"/>
              <w:jc w:val="center"/>
            </w:pPr>
            <w:r>
              <w:rPr>
                <w:rFonts w:ascii="Arial" w:hAnsi="Arial" w:cs="Arial"/>
                <w:color w:val="20262E"/>
                <w:sz w:val="17"/>
              </w:rPr>
              <w:t>Haftalık + büyük release</w:t>
            </w:r>
          </w:p>
        </w:tc>
      </w:tr>
      <w:tr>
        <w:trPr>
          <w:cantSplit/>
        </w:trPr>
        <w:tc>
          <w:tcPr>
            <w:tcW w:type="dxa" w:w="1600"/>
            <w:vAlign w:val="center"/>
          </w:tcPr>
          <w:p>
            <w:pPr>
              <w:spacing w:after="0" w:line="259" w:lineRule="auto"/>
              <w:jc w:val="left"/>
            </w:pPr>
            <w:r>
              <w:rPr>
                <w:rFonts w:ascii="Arial" w:hAnsi="Arial" w:cs="Arial"/>
                <w:color w:val="20262E"/>
                <w:sz w:val="17"/>
              </w:rPr>
              <w:t>Geri yükleme</w:t>
            </w:r>
          </w:p>
        </w:tc>
        <w:tc>
          <w:tcPr>
            <w:tcW w:type="dxa" w:w="5850"/>
            <w:vAlign w:val="center"/>
          </w:tcPr>
          <w:p>
            <w:pPr>
              <w:spacing w:after="0" w:line="259" w:lineRule="auto"/>
              <w:jc w:val="left"/>
            </w:pPr>
            <w:r>
              <w:rPr>
                <w:rFonts w:ascii="Arial" w:hAnsi="Arial" w:cs="Arial"/>
                <w:color w:val="20262E"/>
                <w:sz w:val="17"/>
              </w:rPr>
              <w:t>Backup → yeni DB → migration → smoke/E2E</w:t>
            </w:r>
          </w:p>
        </w:tc>
        <w:tc>
          <w:tcPr>
            <w:tcW w:type="dxa" w:w="1910"/>
            <w:vAlign w:val="center"/>
          </w:tcPr>
          <w:p>
            <w:pPr>
              <w:spacing w:after="0" w:line="259" w:lineRule="auto"/>
              <w:jc w:val="center"/>
            </w:pPr>
            <w:r>
              <w:rPr>
                <w:rFonts w:ascii="Arial" w:hAnsi="Arial" w:cs="Arial"/>
                <w:color w:val="20262E"/>
                <w:sz w:val="17"/>
              </w:rPr>
              <w:t>Aylık</w:t>
            </w:r>
          </w:p>
        </w:tc>
      </w:tr>
      <w:tr>
        <w:trPr>
          <w:cantSplit/>
        </w:trPr>
        <w:tc>
          <w:tcPr>
            <w:tcW w:type="dxa" w:w="1600"/>
            <w:vAlign w:val="center"/>
          </w:tcPr>
          <w:p>
            <w:pPr>
              <w:spacing w:after="0" w:line="259" w:lineRule="auto"/>
              <w:jc w:val="left"/>
            </w:pPr>
            <w:r>
              <w:rPr>
                <w:rFonts w:ascii="Arial" w:hAnsi="Arial" w:cs="Arial"/>
                <w:color w:val="20262E"/>
                <w:sz w:val="17"/>
              </w:rPr>
              <w:t>Güvenlik</w:t>
            </w:r>
          </w:p>
        </w:tc>
        <w:tc>
          <w:tcPr>
            <w:tcW w:type="dxa" w:w="5850"/>
            <w:vAlign w:val="center"/>
          </w:tcPr>
          <w:p>
            <w:pPr>
              <w:spacing w:after="0" w:line="259" w:lineRule="auto"/>
              <w:jc w:val="left"/>
            </w:pPr>
            <w:r>
              <w:rPr>
                <w:rFonts w:ascii="Arial" w:hAnsi="Arial" w:cs="Arial"/>
                <w:color w:val="20262E"/>
                <w:sz w:val="17"/>
              </w:rPr>
              <w:t>ASVS kontrolleri, dependency/secret/SAST, yetki negatif testleri</w:t>
            </w:r>
          </w:p>
        </w:tc>
        <w:tc>
          <w:tcPr>
            <w:tcW w:type="dxa" w:w="1910"/>
            <w:vAlign w:val="center"/>
          </w:tcPr>
          <w:p>
            <w:pPr>
              <w:spacing w:after="0" w:line="259" w:lineRule="auto"/>
              <w:jc w:val="center"/>
            </w:pPr>
            <w:r>
              <w:rPr>
                <w:rFonts w:ascii="Arial" w:hAnsi="Arial" w:cs="Arial"/>
                <w:color w:val="20262E"/>
                <w:sz w:val="17"/>
              </w:rPr>
              <w:t>PR + periyodik</w:t>
            </w:r>
          </w:p>
        </w:tc>
      </w:tr>
    </w:tbl>
    <w:p>
      <w:pPr>
        <w:spacing w:before="0" w:after="80" w:line="264" w:lineRule="auto"/>
      </w:pPr>
    </w:p>
    <w:tbl>
      <w:tblPr>
        <w:tblW w:type="dxa" w:w="9360"/>
        <w:jc w:val="left"/>
        <w:tblLayout w:type="fixed"/>
        <w:tblLook w:firstColumn="1" w:firstRow="1" w:lastColumn="0" w:lastRow="0" w:noHBand="0" w:noVBand="1" w:val="04A0"/>
        <w:tblInd w:w="120" w:type="dxa"/>
        <w:tblBorders>
          <w:top w:val="single" w:sz="9" w:space="0" w:color="7A5A00"/>
          <w:left w:val="single" w:sz="9" w:space="0" w:color="7A5A00"/>
          <w:bottom w:val="single" w:sz="9" w:space="0" w:color="7A5A00"/>
          <w:right w:val="single" w:sz="9" w:space="0" w:color="7A5A00"/>
        </w:tblBorders>
      </w:tblPr>
      <w:tblGrid>
        <w:gridCol w:w="9360"/>
      </w:tblGrid>
      <w:tr>
        <w:trPr>
          <w:cantSplit/>
        </w:trPr>
        <w:tc>
          <w:tcPr>
            <w:tcW w:type="dxa" w:w="9360"/>
            <w:tcMar>
              <w:top w:w="80" w:type="dxa"/>
              <w:bottom w:w="80" w:type="dxa"/>
              <w:start w:w="120" w:type="dxa"/>
              <w:end w:w="120" w:type="dxa"/>
            </w:tcMar>
            <w:shd w:fill="FFF7DF" w:val="clear"/>
          </w:tcPr>
          <w:p>
            <w:pPr>
              <w:keepNext/>
              <w:spacing w:after="60"/>
            </w:pPr>
            <w:r>
              <w:rPr>
                <w:rFonts w:ascii="Arial" w:hAnsi="Arial" w:cs="Arial"/>
                <w:b/>
                <w:color w:val="7A5A00"/>
                <w:sz w:val="21"/>
              </w:rPr>
              <w:t>Release kuralı</w:t>
            </w:r>
          </w:p>
          <w:p>
            <w:pPr>
              <w:keepLines/>
              <w:spacing w:after="0" w:line="264" w:lineRule="auto"/>
            </w:pPr>
            <w:r>
              <w:rPr>
                <w:rFonts w:ascii="Arial" w:hAnsi="Arial" w:cs="Arial"/>
                <w:color w:val="20262E"/>
                <w:sz w:val="20"/>
              </w:rPr>
              <w:t>PostgreSQL entegrasyon testlerinin CI'da skip edilmesi kabul edilmemelidir. Production'a giden ana branch'te DB servisi zorunlu olmalı; skip yalnızca yerel hızlı geliştirme profiline ait kalmalıdır.</w:t>
            </w:r>
          </w:p>
        </w:tc>
      </w:tr>
    </w:tbl>
    <w:p>
      <w:pPr>
        <w:spacing w:before="0" w:after="80" w:line="264" w:lineRule="auto"/>
      </w:pPr>
    </w:p>
    <w:p>
      <w:pPr>
        <w:pStyle w:val="Heading2"/>
      </w:pPr>
      <w:r>
        <w:rPr>
          <w:rFonts w:ascii="Arial" w:hAnsi="Arial" w:cs="Arial"/>
          <w:b/>
          <w:color w:val="2E74B5"/>
          <w:sz w:val="26"/>
        </w:rPr>
        <w:t>4.7 P2 — JSON operasyon depolarını PostgreSQL'e taşıma</w:t>
      </w:r>
    </w:p>
    <w:p>
      <w:pPr>
        <w:spacing w:before="0" w:after="120" w:line="264" w:lineRule="auto"/>
      </w:pPr>
      <w:r>
        <w:rPr>
          <w:rFonts w:ascii="Arial" w:hAnsi="Arial" w:cs="Arial"/>
          <w:b w:val="0"/>
          <w:i w:val="0"/>
          <w:color w:val="20262E"/>
          <w:sz w:val="21"/>
        </w:rPr>
        <w:t>Kimlik cutover tamamlandıktan sonra operasyon verileri kademeli taşınmalıdır. Öncelik, eşzamanlı yazılan ve kullanıcı deneyimini doğrudan etkileyen kayıtlardır; statik seed katalogları repository'de kalabilir.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700"/>
        <w:gridCol w:w="3300"/>
        <w:gridCol w:w="5360"/>
      </w:tblGrid>
      <w:tr>
        <w:trPr>
          <w:tblHeader w:val="true"/>
        </w:trPr>
        <w:tc>
          <w:tcPr>
            <w:tcW w:type="dxa" w:w="7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Sıra</w:t>
            </w:r>
          </w:p>
        </w:tc>
        <w:tc>
          <w:tcPr>
            <w:tcW w:type="dxa" w:w="3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Veri</w:t>
            </w:r>
          </w:p>
        </w:tc>
        <w:tc>
          <w:tcPr>
            <w:tcW w:type="dxa" w:w="53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Neden</w:t>
            </w:r>
          </w:p>
        </w:tc>
      </w:tr>
      <w:tr>
        <w:trPr>
          <w:cantSplit/>
        </w:trPr>
        <w:tc>
          <w:tcPr>
            <w:tcW w:type="dxa" w:w="700"/>
            <w:vAlign w:val="center"/>
          </w:tcPr>
          <w:p>
            <w:pPr>
              <w:spacing w:after="0" w:line="259" w:lineRule="auto"/>
              <w:jc w:val="center"/>
            </w:pPr>
            <w:r>
              <w:rPr>
                <w:rFonts w:ascii="Arial" w:hAnsi="Arial" w:cs="Arial"/>
                <w:color w:val="20262E"/>
                <w:sz w:val="17"/>
              </w:rPr>
              <w:t>1</w:t>
            </w:r>
          </w:p>
        </w:tc>
        <w:tc>
          <w:tcPr>
            <w:tcW w:type="dxa" w:w="3300"/>
            <w:vAlign w:val="center"/>
          </w:tcPr>
          <w:p>
            <w:pPr>
              <w:spacing w:after="0" w:line="259" w:lineRule="auto"/>
              <w:jc w:val="left"/>
            </w:pPr>
            <w:r>
              <w:rPr>
                <w:rFonts w:ascii="Arial" w:hAnsi="Arial" w:cs="Arial"/>
                <w:color w:val="20262E"/>
                <w:sz w:val="17"/>
              </w:rPr>
              <w:t>Öğrenci denemeleri ve değerlendirmeler</w:t>
            </w:r>
          </w:p>
        </w:tc>
        <w:tc>
          <w:tcPr>
            <w:tcW w:type="dxa" w:w="5360"/>
            <w:vAlign w:val="center"/>
          </w:tcPr>
          <w:p>
            <w:pPr>
              <w:spacing w:after="0" w:line="259" w:lineRule="auto"/>
              <w:jc w:val="left"/>
            </w:pPr>
            <w:r>
              <w:rPr>
                <w:rFonts w:ascii="Arial" w:hAnsi="Arial" w:cs="Arial"/>
                <w:color w:val="20262E"/>
                <w:sz w:val="17"/>
              </w:rPr>
              <w:t>Eşzamanlılık, ilerleme ve raporlama için en yüksek değer</w:t>
            </w:r>
          </w:p>
        </w:tc>
      </w:tr>
      <w:tr>
        <w:trPr>
          <w:cantSplit/>
        </w:trPr>
        <w:tc>
          <w:tcPr>
            <w:tcW w:type="dxa" w:w="700"/>
            <w:vAlign w:val="center"/>
          </w:tcPr>
          <w:p>
            <w:pPr>
              <w:spacing w:after="0" w:line="259" w:lineRule="auto"/>
              <w:jc w:val="center"/>
            </w:pPr>
            <w:r>
              <w:rPr>
                <w:rFonts w:ascii="Arial" w:hAnsi="Arial" w:cs="Arial"/>
                <w:color w:val="20262E"/>
                <w:sz w:val="17"/>
              </w:rPr>
              <w:t>2</w:t>
            </w:r>
          </w:p>
        </w:tc>
        <w:tc>
          <w:tcPr>
            <w:tcW w:type="dxa" w:w="3300"/>
            <w:vAlign w:val="center"/>
          </w:tcPr>
          <w:p>
            <w:pPr>
              <w:spacing w:after="0" w:line="259" w:lineRule="auto"/>
              <w:jc w:val="left"/>
            </w:pPr>
            <w:r>
              <w:rPr>
                <w:rFonts w:ascii="Arial" w:hAnsi="Arial" w:cs="Arial"/>
                <w:color w:val="20262E"/>
                <w:sz w:val="17"/>
              </w:rPr>
              <w:t>Vaka kayıtları, sürümler ve onaylar</w:t>
            </w:r>
          </w:p>
        </w:tc>
        <w:tc>
          <w:tcPr>
            <w:tcW w:type="dxa" w:w="5360"/>
            <w:vAlign w:val="center"/>
          </w:tcPr>
          <w:p>
            <w:pPr>
              <w:spacing w:after="0" w:line="259" w:lineRule="auto"/>
              <w:jc w:val="left"/>
            </w:pPr>
            <w:r>
              <w:rPr>
                <w:rFonts w:ascii="Arial" w:hAnsi="Arial" w:cs="Arial"/>
                <w:color w:val="20262E"/>
                <w:sz w:val="17"/>
              </w:rPr>
              <w:t>Optimistic locking, değişiklik izi ve reviewer akışı</w:t>
            </w:r>
          </w:p>
        </w:tc>
      </w:tr>
      <w:tr>
        <w:trPr>
          <w:cantSplit/>
        </w:trPr>
        <w:tc>
          <w:tcPr>
            <w:tcW w:type="dxa" w:w="700"/>
            <w:vAlign w:val="center"/>
          </w:tcPr>
          <w:p>
            <w:pPr>
              <w:spacing w:after="0" w:line="259" w:lineRule="auto"/>
              <w:jc w:val="center"/>
            </w:pPr>
            <w:r>
              <w:rPr>
                <w:rFonts w:ascii="Arial" w:hAnsi="Arial" w:cs="Arial"/>
                <w:color w:val="20262E"/>
                <w:sz w:val="17"/>
              </w:rPr>
              <w:t>3</w:t>
            </w:r>
          </w:p>
        </w:tc>
        <w:tc>
          <w:tcPr>
            <w:tcW w:type="dxa" w:w="3300"/>
            <w:vAlign w:val="center"/>
          </w:tcPr>
          <w:p>
            <w:pPr>
              <w:spacing w:after="0" w:line="259" w:lineRule="auto"/>
              <w:jc w:val="left"/>
            </w:pPr>
            <w:r>
              <w:rPr>
                <w:rFonts w:ascii="Arial" w:hAnsi="Arial" w:cs="Arial"/>
                <w:color w:val="20262E"/>
                <w:sz w:val="17"/>
              </w:rPr>
              <w:t>Audit olayları</w:t>
            </w:r>
          </w:p>
        </w:tc>
        <w:tc>
          <w:tcPr>
            <w:tcW w:type="dxa" w:w="5360"/>
            <w:vAlign w:val="center"/>
          </w:tcPr>
          <w:p>
            <w:pPr>
              <w:spacing w:after="0" w:line="259" w:lineRule="auto"/>
              <w:jc w:val="left"/>
            </w:pPr>
            <w:r>
              <w:rPr>
                <w:rFonts w:ascii="Arial" w:hAnsi="Arial" w:cs="Arial"/>
                <w:color w:val="20262E"/>
                <w:sz w:val="17"/>
              </w:rPr>
              <w:t>Append-only, sorgulanabilir, retention kontrollü kayıt</w:t>
            </w:r>
          </w:p>
        </w:tc>
      </w:tr>
      <w:tr>
        <w:trPr>
          <w:cantSplit/>
        </w:trPr>
        <w:tc>
          <w:tcPr>
            <w:tcW w:type="dxa" w:w="700"/>
            <w:vAlign w:val="center"/>
          </w:tcPr>
          <w:p>
            <w:pPr>
              <w:spacing w:after="0" w:line="259" w:lineRule="auto"/>
              <w:jc w:val="center"/>
            </w:pPr>
            <w:r>
              <w:rPr>
                <w:rFonts w:ascii="Arial" w:hAnsi="Arial" w:cs="Arial"/>
                <w:color w:val="20262E"/>
                <w:sz w:val="17"/>
              </w:rPr>
              <w:t>4</w:t>
            </w:r>
          </w:p>
        </w:tc>
        <w:tc>
          <w:tcPr>
            <w:tcW w:type="dxa" w:w="3300"/>
            <w:vAlign w:val="center"/>
          </w:tcPr>
          <w:p>
            <w:pPr>
              <w:spacing w:after="0" w:line="259" w:lineRule="auto"/>
              <w:jc w:val="left"/>
            </w:pPr>
            <w:r>
              <w:rPr>
                <w:rFonts w:ascii="Arial" w:hAnsi="Arial" w:cs="Arial"/>
                <w:color w:val="20262E"/>
                <w:sz w:val="17"/>
              </w:rPr>
              <w:t>Sistem ayarları ve özellik bayrakları</w:t>
            </w:r>
          </w:p>
        </w:tc>
        <w:tc>
          <w:tcPr>
            <w:tcW w:type="dxa" w:w="5360"/>
            <w:vAlign w:val="center"/>
          </w:tcPr>
          <w:p>
            <w:pPr>
              <w:spacing w:after="0" w:line="259" w:lineRule="auto"/>
              <w:jc w:val="left"/>
            </w:pPr>
            <w:r>
              <w:rPr>
                <w:rFonts w:ascii="Arial" w:hAnsi="Arial" w:cs="Arial"/>
                <w:color w:val="20262E"/>
                <w:sz w:val="17"/>
              </w:rPr>
              <w:t>Sürümlü, yetkili ve denetlenebilir değişiklik</w:t>
            </w:r>
          </w:p>
        </w:tc>
      </w:tr>
      <w:tr>
        <w:trPr>
          <w:cantSplit/>
        </w:trPr>
        <w:tc>
          <w:tcPr>
            <w:tcW w:type="dxa" w:w="700"/>
            <w:vAlign w:val="center"/>
          </w:tcPr>
          <w:p>
            <w:pPr>
              <w:spacing w:after="0" w:line="259" w:lineRule="auto"/>
              <w:jc w:val="center"/>
            </w:pPr>
            <w:r>
              <w:rPr>
                <w:rFonts w:ascii="Arial" w:hAnsi="Arial" w:cs="Arial"/>
                <w:color w:val="20262E"/>
                <w:sz w:val="17"/>
              </w:rPr>
              <w:t>5</w:t>
            </w:r>
          </w:p>
        </w:tc>
        <w:tc>
          <w:tcPr>
            <w:tcW w:type="dxa" w:w="3300"/>
            <w:vAlign w:val="center"/>
          </w:tcPr>
          <w:p>
            <w:pPr>
              <w:spacing w:after="0" w:line="259" w:lineRule="auto"/>
              <w:jc w:val="left"/>
            </w:pPr>
            <w:r>
              <w:rPr>
                <w:rFonts w:ascii="Arial" w:hAnsi="Arial" w:cs="Arial"/>
                <w:color w:val="20262E"/>
                <w:sz w:val="17"/>
              </w:rPr>
              <w:t>Geri bildirim ve analitik olaylar</w:t>
            </w:r>
          </w:p>
        </w:tc>
        <w:tc>
          <w:tcPr>
            <w:tcW w:type="dxa" w:w="5360"/>
            <w:vAlign w:val="center"/>
          </w:tcPr>
          <w:p>
            <w:pPr>
              <w:spacing w:after="0" w:line="259" w:lineRule="auto"/>
              <w:jc w:val="left"/>
            </w:pPr>
            <w:r>
              <w:rPr>
                <w:rFonts w:ascii="Arial" w:hAnsi="Arial" w:cs="Arial"/>
                <w:color w:val="20262E"/>
                <w:sz w:val="17"/>
              </w:rPr>
              <w:t>Cohort ve ürün analitiği; kişisel veri minimizasyonu</w:t>
            </w:r>
          </w:p>
        </w:tc>
      </w:tr>
      <w:tr>
        <w:trPr>
          <w:cantSplit/>
        </w:trPr>
        <w:tc>
          <w:tcPr>
            <w:tcW w:type="dxa" w:w="700"/>
            <w:vAlign w:val="center"/>
          </w:tcPr>
          <w:p>
            <w:pPr>
              <w:spacing w:after="0" w:line="259" w:lineRule="auto"/>
              <w:jc w:val="center"/>
            </w:pPr>
            <w:r>
              <w:rPr>
                <w:rFonts w:ascii="Arial" w:hAnsi="Arial" w:cs="Arial"/>
                <w:color w:val="20262E"/>
                <w:sz w:val="17"/>
              </w:rPr>
              <w:t>6</w:t>
            </w:r>
          </w:p>
        </w:tc>
        <w:tc>
          <w:tcPr>
            <w:tcW w:type="dxa" w:w="3300"/>
            <w:vAlign w:val="center"/>
          </w:tcPr>
          <w:p>
            <w:pPr>
              <w:spacing w:after="0" w:line="259" w:lineRule="auto"/>
              <w:jc w:val="left"/>
            </w:pPr>
            <w:r>
              <w:rPr>
                <w:rFonts w:ascii="Arial" w:hAnsi="Arial" w:cs="Arial"/>
                <w:color w:val="20262E"/>
                <w:sz w:val="17"/>
              </w:rPr>
              <w:t>Backup indeksi / iş kayıtları</w:t>
            </w:r>
          </w:p>
        </w:tc>
        <w:tc>
          <w:tcPr>
            <w:tcW w:type="dxa" w:w="5360"/>
            <w:vAlign w:val="center"/>
          </w:tcPr>
          <w:p>
            <w:pPr>
              <w:spacing w:after="0" w:line="259" w:lineRule="auto"/>
              <w:jc w:val="left"/>
            </w:pPr>
            <w:r>
              <w:rPr>
                <w:rFonts w:ascii="Arial" w:hAnsi="Arial" w:cs="Arial"/>
                <w:color w:val="20262E"/>
                <w:sz w:val="17"/>
              </w:rPr>
              <w:t>İş durumu, hata, yeniden deneme ve kanıt</w:t>
            </w:r>
          </w:p>
        </w:tc>
      </w:tr>
    </w:tbl>
    <w:p>
      <w:pPr>
        <w:spacing w:before="0" w:after="80" w:line="264" w:lineRule="auto"/>
      </w:pPr>
    </w:p>
    <w:p>
      <w:pPr>
        <w:keepLines/>
        <w:numPr>
          <w:ilvl w:val="0"/>
          <w:numId w:val="90"/>
        </w:numPr>
        <w:spacing w:after="100" w:line="280" w:lineRule="auto"/>
      </w:pPr>
      <w:r>
        <w:rPr>
          <w:rFonts w:ascii="Arial" w:hAnsi="Arial" w:cs="Arial"/>
          <w:color w:val="20262E"/>
          <w:sz w:val="21"/>
        </w:rPr>
        <w:t>Vaka içeriğinin esnek klinik gövdesi sürümlü JSONB olabilir; kimlik, durum, tarih, reviewer ve ilişki alanları relational tutulmalıdır.</w:t>
      </w:r>
    </w:p>
    <w:p>
      <w:pPr>
        <w:keepLines/>
        <w:numPr>
          <w:ilvl w:val="0"/>
          <w:numId w:val="90"/>
        </w:numPr>
        <w:spacing w:after="100" w:line="280" w:lineRule="auto"/>
      </w:pPr>
      <w:r>
        <w:rPr>
          <w:rFonts w:ascii="Arial" w:hAnsi="Arial" w:cs="Arial"/>
          <w:color w:val="20262E"/>
          <w:sz w:val="21"/>
        </w:rPr>
        <w:t>Admin düzenlemesinde version veya updated_at tabanlı optimistic concurrency kullanılarak bir doktorun diğerinin değişikliğini sessizce ezmesi önlenmelidir.</w:t>
      </w:r>
    </w:p>
    <w:p>
      <w:pPr>
        <w:keepLines/>
        <w:numPr>
          <w:ilvl w:val="0"/>
          <w:numId w:val="90"/>
        </w:numPr>
        <w:spacing w:after="100" w:line="280" w:lineRule="auto"/>
      </w:pPr>
      <w:r>
        <w:rPr>
          <w:rFonts w:ascii="Arial" w:hAnsi="Arial" w:cs="Arial"/>
          <w:color w:val="20262E"/>
          <w:sz w:val="21"/>
        </w:rPr>
        <w:t>Vaka tamamlama, skor, detaylar ve öğrenci istatistik güncellemesi tek transaction veya güvenilir outbox ile tutarlı yapılmalıdır.</w:t>
      </w:r>
    </w:p>
    <w:p>
      <w:pPr>
        <w:keepLines/>
        <w:numPr>
          <w:ilvl w:val="0"/>
          <w:numId w:val="90"/>
        </w:numPr>
        <w:spacing w:after="100" w:line="280" w:lineRule="auto"/>
      </w:pPr>
      <w:r>
        <w:rPr>
          <w:rFonts w:ascii="Arial" w:hAnsi="Arial" w:cs="Arial"/>
          <w:color w:val="20262E"/>
          <w:sz w:val="21"/>
        </w:rPr>
        <w:t>PDF, export ve ETL işleri request içinde bekletilmemeli; idempotent arka plan işine dönüştürülmelidir.</w:t>
      </w:r>
    </w:p>
    <w:p>
      <w:pPr>
        <w:pStyle w:val="Heading2"/>
      </w:pPr>
      <w:r>
        <w:rPr>
          <w:rFonts w:ascii="Arial" w:hAnsi="Arial" w:cs="Arial"/>
          <w:b/>
          <w:color w:val="2E74B5"/>
          <w:sz w:val="26"/>
        </w:rPr>
        <w:t>4.8 P2 — Öğrenci deneyimini geliştirme</w:t>
      </w:r>
    </w:p>
    <w:p>
      <w:pPr>
        <w:spacing w:before="0" w:after="120" w:line="264" w:lineRule="auto"/>
      </w:pPr>
      <w:r>
        <w:rPr>
          <w:rFonts w:ascii="Arial" w:hAnsi="Arial" w:cs="Arial"/>
          <w:b w:val="0"/>
          <w:i w:val="0"/>
          <w:color w:val="20262E"/>
          <w:sz w:val="21"/>
        </w:rPr>
        <w:t>Yeni öğrenci özelliklerinin amacı puanı oyunlaştırmak değil, klinik akıl yürütmeyi görünür ve tekrar edilebilir hâle getirmek olmalıdır. En yüksek değer, öğrencinin 'neyi kaçırdım?' sorusundan 'bir sonraki vakada neyi farklı yapacağım?' sorusuna geçmesidir.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800"/>
        <w:gridCol w:w="7560"/>
      </w:tblGrid>
      <w:tr>
        <w:trPr>
          <w:tblHeader w:val="true"/>
        </w:trPr>
        <w:tc>
          <w:tcPr>
            <w:tcW w:type="dxa" w:w="18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Mevcut alan</w:t>
            </w:r>
          </w:p>
        </w:tc>
        <w:tc>
          <w:tcPr>
            <w:tcW w:type="dxa" w:w="75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Önerilen geliştirme</w:t>
            </w:r>
          </w:p>
        </w:tc>
      </w:tr>
      <w:tr>
        <w:trPr>
          <w:cantSplit/>
        </w:trPr>
        <w:tc>
          <w:tcPr>
            <w:tcW w:type="dxa" w:w="1800"/>
            <w:vAlign w:val="center"/>
          </w:tcPr>
          <w:p>
            <w:pPr>
              <w:spacing w:after="0" w:line="259" w:lineRule="auto"/>
              <w:jc w:val="left"/>
            </w:pPr>
            <w:r>
              <w:rPr>
                <w:rFonts w:ascii="Arial" w:hAnsi="Arial" w:cs="Arial"/>
                <w:color w:val="20262E"/>
                <w:sz w:val="17"/>
              </w:rPr>
              <w:t>Vaka seçimi</w:t>
            </w:r>
          </w:p>
        </w:tc>
        <w:tc>
          <w:tcPr>
            <w:tcW w:type="dxa" w:w="7560"/>
            <w:vAlign w:val="center"/>
          </w:tcPr>
          <w:p>
            <w:pPr>
              <w:spacing w:after="0" w:line="259" w:lineRule="auto"/>
              <w:jc w:val="left"/>
            </w:pPr>
            <w:r>
              <w:rPr>
                <w:rFonts w:ascii="Arial" w:hAnsi="Arial" w:cs="Arial"/>
                <w:color w:val="20262E"/>
                <w:sz w:val="17"/>
              </w:rPr>
              <w:t>Poliklinik ortalamasına ek olarak beceri bazlı mastery haritası; red flag, anamnez, test seçimi ve tanı kalibrasyonuna göre bir sonraki vaka</w:t>
            </w:r>
          </w:p>
        </w:tc>
      </w:tr>
      <w:tr>
        <w:trPr>
          <w:cantSplit/>
        </w:trPr>
        <w:tc>
          <w:tcPr>
            <w:tcW w:type="dxa" w:w="1800"/>
            <w:vAlign w:val="center"/>
          </w:tcPr>
          <w:p>
            <w:pPr>
              <w:spacing w:after="0" w:line="259" w:lineRule="auto"/>
              <w:jc w:val="left"/>
            </w:pPr>
            <w:r>
              <w:rPr>
                <w:rFonts w:ascii="Arial" w:hAnsi="Arial" w:cs="Arial"/>
                <w:color w:val="20262E"/>
                <w:sz w:val="17"/>
              </w:rPr>
              <w:t>Anamnez</w:t>
            </w:r>
          </w:p>
        </w:tc>
        <w:tc>
          <w:tcPr>
            <w:tcW w:type="dxa" w:w="7560"/>
            <w:vAlign w:val="center"/>
          </w:tcPr>
          <w:p>
            <w:pPr>
              <w:spacing w:after="0" w:line="259" w:lineRule="auto"/>
              <w:jc w:val="left"/>
            </w:pPr>
            <w:r>
              <w:rPr>
                <w:rFonts w:ascii="Arial" w:hAnsi="Arial" w:cs="Arial"/>
                <w:color w:val="20262E"/>
                <w:sz w:val="17"/>
              </w:rPr>
              <w:t>Soruları kategori bazında görünür kılmadan arka planda etiketleme; belirsiz soruda netleştirme; tekrar sorular için nazik uyarı</w:t>
            </w:r>
          </w:p>
        </w:tc>
      </w:tr>
      <w:tr>
        <w:trPr>
          <w:cantSplit/>
        </w:trPr>
        <w:tc>
          <w:tcPr>
            <w:tcW w:type="dxa" w:w="1800"/>
            <w:vAlign w:val="center"/>
          </w:tcPr>
          <w:p>
            <w:pPr>
              <w:spacing w:after="0" w:line="259" w:lineRule="auto"/>
              <w:jc w:val="left"/>
            </w:pPr>
            <w:r>
              <w:rPr>
                <w:rFonts w:ascii="Arial" w:hAnsi="Arial" w:cs="Arial"/>
                <w:color w:val="20262E"/>
                <w:sz w:val="17"/>
              </w:rPr>
              <w:t>Test isteme</w:t>
            </w:r>
          </w:p>
        </w:tc>
        <w:tc>
          <w:tcPr>
            <w:tcW w:type="dxa" w:w="7560"/>
            <w:vAlign w:val="center"/>
          </w:tcPr>
          <w:p>
            <w:pPr>
              <w:spacing w:after="0" w:line="259" w:lineRule="auto"/>
              <w:jc w:val="left"/>
            </w:pPr>
            <w:r>
              <w:rPr>
                <w:rFonts w:ascii="Arial" w:hAnsi="Arial" w:cs="Arial"/>
                <w:color w:val="20262E"/>
                <w:sz w:val="17"/>
              </w:rPr>
              <w:t>Kanonik eşleşmeyi sipariş öncesi gösterme; belirsiz eşleşmede onay; gerekçe sorma seçeneği; maliyet/zaman etkisi</w:t>
            </w:r>
          </w:p>
        </w:tc>
      </w:tr>
      <w:tr>
        <w:trPr>
          <w:cantSplit/>
        </w:trPr>
        <w:tc>
          <w:tcPr>
            <w:tcW w:type="dxa" w:w="1800"/>
            <w:vAlign w:val="center"/>
          </w:tcPr>
          <w:p>
            <w:pPr>
              <w:spacing w:after="0" w:line="259" w:lineRule="auto"/>
              <w:jc w:val="left"/>
            </w:pPr>
            <w:r>
              <w:rPr>
                <w:rFonts w:ascii="Arial" w:hAnsi="Arial" w:cs="Arial"/>
                <w:color w:val="20262E"/>
                <w:sz w:val="17"/>
              </w:rPr>
              <w:t>Klinik akıl yürütme</w:t>
            </w:r>
          </w:p>
        </w:tc>
        <w:tc>
          <w:tcPr>
            <w:tcW w:type="dxa" w:w="7560"/>
            <w:vAlign w:val="center"/>
          </w:tcPr>
          <w:p>
            <w:pPr>
              <w:spacing w:after="0" w:line="259" w:lineRule="auto"/>
              <w:jc w:val="left"/>
            </w:pPr>
            <w:r>
              <w:rPr>
                <w:rFonts w:ascii="Arial" w:hAnsi="Arial" w:cs="Arial"/>
                <w:color w:val="20262E"/>
                <w:sz w:val="17"/>
              </w:rPr>
              <w:t>Problem temsili, ayırıcı tanı listesi, destekleyen/karşı çıkan bulgu ve güven yüzdesi alanları</w:t>
            </w:r>
          </w:p>
        </w:tc>
      </w:tr>
      <w:tr>
        <w:trPr>
          <w:cantSplit/>
        </w:trPr>
        <w:tc>
          <w:tcPr>
            <w:tcW w:type="dxa" w:w="1800"/>
            <w:vAlign w:val="center"/>
          </w:tcPr>
          <w:p>
            <w:pPr>
              <w:spacing w:after="0" w:line="259" w:lineRule="auto"/>
              <w:jc w:val="left"/>
            </w:pPr>
            <w:r>
              <w:rPr>
                <w:rFonts w:ascii="Arial" w:hAnsi="Arial" w:cs="Arial"/>
                <w:color w:val="20262E"/>
                <w:sz w:val="17"/>
              </w:rPr>
              <w:t>Geri bildirim</w:t>
            </w:r>
          </w:p>
        </w:tc>
        <w:tc>
          <w:tcPr>
            <w:tcW w:type="dxa" w:w="7560"/>
            <w:vAlign w:val="center"/>
          </w:tcPr>
          <w:p>
            <w:pPr>
              <w:spacing w:after="0" w:line="259" w:lineRule="auto"/>
              <w:jc w:val="left"/>
            </w:pPr>
            <w:r>
              <w:rPr>
                <w:rFonts w:ascii="Arial" w:hAnsi="Arial" w:cs="Arial"/>
                <w:color w:val="20262E"/>
                <w:sz w:val="17"/>
              </w:rPr>
              <w:t>Önce en kritik 3 gelişim noktası; sonra kanıt haritası, ideal yol farkı ve kısa düzeltici mini-vaka</w:t>
            </w:r>
          </w:p>
        </w:tc>
      </w:tr>
      <w:tr>
        <w:trPr>
          <w:cantSplit/>
        </w:trPr>
        <w:tc>
          <w:tcPr>
            <w:tcW w:type="dxa" w:w="1800"/>
            <w:vAlign w:val="center"/>
          </w:tcPr>
          <w:p>
            <w:pPr>
              <w:spacing w:after="0" w:line="259" w:lineRule="auto"/>
              <w:jc w:val="left"/>
            </w:pPr>
            <w:r>
              <w:rPr>
                <w:rFonts w:ascii="Arial" w:hAnsi="Arial" w:cs="Arial"/>
                <w:color w:val="20262E"/>
                <w:sz w:val="17"/>
              </w:rPr>
              <w:t>Süreklilik</w:t>
            </w:r>
          </w:p>
        </w:tc>
        <w:tc>
          <w:tcPr>
            <w:tcW w:type="dxa" w:w="7560"/>
            <w:vAlign w:val="center"/>
          </w:tcPr>
          <w:p>
            <w:pPr>
              <w:spacing w:after="0" w:line="259" w:lineRule="auto"/>
              <w:jc w:val="left"/>
            </w:pPr>
            <w:r>
              <w:rPr>
                <w:rFonts w:ascii="Arial" w:hAnsi="Arial" w:cs="Arial"/>
                <w:color w:val="20262E"/>
                <w:sz w:val="17"/>
              </w:rPr>
              <w:t>Otomatik kayıt, kaldığı yerden devam, cihazlar arası session güvenliği, erişilebilir klavye akışı</w:t>
            </w:r>
          </w:p>
        </w:tc>
      </w:tr>
      <w:tr>
        <w:trPr>
          <w:cantSplit/>
        </w:trPr>
        <w:tc>
          <w:tcPr>
            <w:tcW w:type="dxa" w:w="1800"/>
            <w:vAlign w:val="center"/>
          </w:tcPr>
          <w:p>
            <w:pPr>
              <w:spacing w:after="0" w:line="259" w:lineRule="auto"/>
              <w:jc w:val="left"/>
            </w:pPr>
            <w:r>
              <w:rPr>
                <w:rFonts w:ascii="Arial" w:hAnsi="Arial" w:cs="Arial"/>
                <w:color w:val="20262E"/>
                <w:sz w:val="17"/>
              </w:rPr>
              <w:t>Modlar</w:t>
            </w:r>
          </w:p>
        </w:tc>
        <w:tc>
          <w:tcPr>
            <w:tcW w:type="dxa" w:w="7560"/>
            <w:vAlign w:val="center"/>
          </w:tcPr>
          <w:p>
            <w:pPr>
              <w:spacing w:after="0" w:line="259" w:lineRule="auto"/>
              <w:jc w:val="left"/>
            </w:pPr>
            <w:r>
              <w:rPr>
                <w:rFonts w:ascii="Arial" w:hAnsi="Arial" w:cs="Arial"/>
                <w:color w:val="20262E"/>
                <w:sz w:val="17"/>
              </w:rPr>
              <w:t>Pratikte ipucu ve açıklama; sınav modunda sınırlı geri bildirim, zaman ve deneme politikası</w:t>
            </w:r>
          </w:p>
        </w:tc>
      </w:tr>
      <w:tr>
        <w:trPr>
          <w:cantSplit/>
        </w:trPr>
        <w:tc>
          <w:tcPr>
            <w:tcW w:type="dxa" w:w="1800"/>
            <w:vAlign w:val="center"/>
          </w:tcPr>
          <w:p>
            <w:pPr>
              <w:spacing w:after="0" w:line="259" w:lineRule="auto"/>
              <w:jc w:val="left"/>
            </w:pPr>
            <w:r>
              <w:rPr>
                <w:rFonts w:ascii="Arial" w:hAnsi="Arial" w:cs="Arial"/>
                <w:color w:val="20262E"/>
                <w:sz w:val="17"/>
              </w:rPr>
              <w:t>Motivasyon</w:t>
            </w:r>
          </w:p>
        </w:tc>
        <w:tc>
          <w:tcPr>
            <w:tcW w:type="dxa" w:w="7560"/>
            <w:vAlign w:val="center"/>
          </w:tcPr>
          <w:p>
            <w:pPr>
              <w:spacing w:after="0" w:line="259" w:lineRule="auto"/>
              <w:jc w:val="left"/>
            </w:pPr>
            <w:r>
              <w:rPr>
                <w:rFonts w:ascii="Arial" w:hAnsi="Arial" w:cs="Arial"/>
                <w:color w:val="20262E"/>
                <w:sz w:val="17"/>
              </w:rPr>
              <w:t>Rozetten önce haftalık hedef, ilerleme serisi ve mastery artışı; puan avcılığını önleyen tasarım</w:t>
            </w:r>
          </w:p>
        </w:tc>
      </w:tr>
    </w:tbl>
    <w:p>
      <w:pPr>
        <w:spacing w:before="0" w:after="80" w:line="264" w:lineRule="auto"/>
      </w:pPr>
    </w:p>
    <w:p>
      <w:pPr>
        <w:pStyle w:val="Heading3"/>
      </w:pPr>
      <w:r>
        <w:rPr>
          <w:rFonts w:ascii="Arial" w:hAnsi="Arial" w:cs="Arial"/>
          <w:b/>
          <w:color w:val="1F4D78"/>
          <w:sz w:val="23"/>
        </w:rPr>
        <w:t>Öneri motoru için güvenli başlangıç</w:t>
      </w:r>
    </w:p>
    <w:p>
      <w:pPr>
        <w:keepLines/>
        <w:numPr>
          <w:ilvl w:val="0"/>
          <w:numId w:val="90"/>
        </w:numPr>
        <w:spacing w:after="100" w:line="280" w:lineRule="auto"/>
      </w:pPr>
      <w:r>
        <w:rPr>
          <w:rFonts w:ascii="Arial" w:hAnsi="Arial" w:cs="Arial"/>
          <w:color w:val="20262E"/>
          <w:sz w:val="21"/>
        </w:rPr>
        <w:t>İlk sürüm kural tabanlı olmalı: son N denemede en düşük beceri + güvenlik önceliği + tekrar çeşitliliği.</w:t>
      </w:r>
    </w:p>
    <w:p>
      <w:pPr>
        <w:keepLines/>
        <w:numPr>
          <w:ilvl w:val="0"/>
          <w:numId w:val="90"/>
        </w:numPr>
        <w:spacing w:after="100" w:line="280" w:lineRule="auto"/>
      </w:pPr>
      <w:r>
        <w:rPr>
          <w:rFonts w:ascii="Arial" w:hAnsi="Arial" w:cs="Arial"/>
          <w:color w:val="20262E"/>
          <w:sz w:val="21"/>
        </w:rPr>
        <w:t>Önerinin nedeni kullanıcıya açıklanmalı: 'Son üç vakada red flag taraması düşük olduğu için'.</w:t>
      </w:r>
    </w:p>
    <w:p>
      <w:pPr>
        <w:keepLines/>
        <w:numPr>
          <w:ilvl w:val="0"/>
          <w:numId w:val="90"/>
        </w:numPr>
        <w:spacing w:after="100" w:line="280" w:lineRule="auto"/>
      </w:pPr>
      <w:r>
        <w:rPr>
          <w:rFonts w:ascii="Arial" w:hAnsi="Arial" w:cs="Arial"/>
          <w:color w:val="20262E"/>
          <w:sz w:val="21"/>
        </w:rPr>
        <w:t>Soğuk başlangıçta seviye, sınıf ve poliklinik hedefi kullanılmalı; az veride makine öğrenmesi iddiası yapılmamalı.</w:t>
      </w:r>
    </w:p>
    <w:p>
      <w:pPr>
        <w:keepLines/>
        <w:numPr>
          <w:ilvl w:val="0"/>
          <w:numId w:val="90"/>
        </w:numPr>
        <w:spacing w:after="100" w:line="280" w:lineRule="auto"/>
      </w:pPr>
      <w:r>
        <w:rPr>
          <w:rFonts w:ascii="Arial" w:hAnsi="Arial" w:cs="Arial"/>
          <w:color w:val="20262E"/>
          <w:sz w:val="21"/>
        </w:rPr>
        <w:t>Öğrenci öneriyi reddedebilmeli; seçim davranışı sonraki öneriyi etkileyebilir ama zorunlu akış olmamalıdır.</w:t>
      </w:r>
    </w:p>
    <w:p>
      <w:pPr>
        <w:pStyle w:val="Heading2"/>
      </w:pPr>
      <w:r>
        <w:rPr>
          <w:rFonts w:ascii="Arial" w:hAnsi="Arial" w:cs="Arial"/>
          <w:b/>
          <w:color w:val="2E74B5"/>
          <w:sz w:val="26"/>
        </w:rPr>
        <w:t>4.9 P2 — Öğretim üyesi, sınıf ve kurumsal kullanım</w:t>
      </w:r>
    </w:p>
    <w:p>
      <w:pPr>
        <w:spacing w:before="0" w:after="100" w:line="264" w:lineRule="auto"/>
      </w:pPr>
      <w:r>
        <w:rPr>
          <w:rFonts w:ascii="Arial" w:hAnsi="Arial" w:cs="Arial"/>
          <w:b/>
          <w:color w:val="0B2545"/>
          <w:sz w:val="21"/>
        </w:rPr>
        <w:t xml:space="preserve">Cohort/sınıf: </w:t>
      </w:r>
      <w:r>
        <w:rPr>
          <w:rFonts w:ascii="Arial" w:hAnsi="Arial" w:cs="Arial"/>
          <w:color w:val="20262E"/>
          <w:sz w:val="21"/>
        </w:rPr>
        <w:t>Öğretim üyesi sınıf oluşturur; öğrenciyi davet eder veya LMS ile eşler; rol ve kurum kapsamı uygulanır.</w:t>
      </w:r>
    </w:p>
    <w:p>
      <w:pPr>
        <w:spacing w:before="0" w:after="100" w:line="264" w:lineRule="auto"/>
      </w:pPr>
      <w:r>
        <w:rPr>
          <w:rFonts w:ascii="Arial" w:hAnsi="Arial" w:cs="Arial"/>
          <w:b/>
          <w:color w:val="0B2545"/>
          <w:sz w:val="21"/>
        </w:rPr>
        <w:t xml:space="preserve">Görev: </w:t>
      </w:r>
      <w:r>
        <w:rPr>
          <w:rFonts w:ascii="Arial" w:hAnsi="Arial" w:cs="Arial"/>
          <w:color w:val="20262E"/>
          <w:sz w:val="21"/>
        </w:rPr>
        <w:t>Vaka seti, son tarih, deneme hakkı, pratik/sınav modu ve açıklama yayın zamanı belirlenir.</w:t>
      </w:r>
    </w:p>
    <w:p>
      <w:pPr>
        <w:spacing w:before="0" w:after="100" w:line="264" w:lineRule="auto"/>
      </w:pPr>
      <w:r>
        <w:rPr>
          <w:rFonts w:ascii="Arial" w:hAnsi="Arial" w:cs="Arial"/>
          <w:b/>
          <w:color w:val="0B2545"/>
          <w:sz w:val="21"/>
        </w:rPr>
        <w:t xml:space="preserve">Rubrik kilidi: </w:t>
      </w:r>
      <w:r>
        <w:rPr>
          <w:rFonts w:ascii="Arial" w:hAnsi="Arial" w:cs="Arial"/>
          <w:color w:val="20262E"/>
          <w:sz w:val="21"/>
        </w:rPr>
        <w:t>Atama yayınlandığında rubrik sürümü sabitlenir; değişiklik yeni sürüm ve yeni görev üretir.</w:t>
      </w:r>
    </w:p>
    <w:p>
      <w:pPr>
        <w:spacing w:before="0" w:after="100" w:line="264" w:lineRule="auto"/>
      </w:pPr>
      <w:r>
        <w:rPr>
          <w:rFonts w:ascii="Arial" w:hAnsi="Arial" w:cs="Arial"/>
          <w:b/>
          <w:color w:val="0B2545"/>
          <w:sz w:val="21"/>
        </w:rPr>
        <w:t xml:space="preserve">Geri bildirim: </w:t>
      </w:r>
      <w:r>
        <w:rPr>
          <w:rFonts w:ascii="Arial" w:hAnsi="Arial" w:cs="Arial"/>
          <w:color w:val="20262E"/>
          <w:sz w:val="21"/>
        </w:rPr>
        <w:t>Öğretim üyesi deneme üzerine yorum ve yapılandırılmış not ekler; öğrenci gördüğünde durum kaydı oluşur.</w:t>
      </w:r>
    </w:p>
    <w:p>
      <w:pPr>
        <w:spacing w:before="0" w:after="100" w:line="264" w:lineRule="auto"/>
      </w:pPr>
      <w:r>
        <w:rPr>
          <w:rFonts w:ascii="Arial" w:hAnsi="Arial" w:cs="Arial"/>
          <w:b/>
          <w:color w:val="0B2545"/>
          <w:sz w:val="21"/>
        </w:rPr>
        <w:t xml:space="preserve">Sınıf analitiği: </w:t>
      </w:r>
      <w:r>
        <w:rPr>
          <w:rFonts w:ascii="Arial" w:hAnsi="Arial" w:cs="Arial"/>
          <w:color w:val="20262E"/>
          <w:sz w:val="21"/>
        </w:rPr>
        <w:t>Beceri dağılımı, sık kaçan red flag, gereksiz test paterni ve vaka güçlüğü; küçük grupta yeniden kimliklendirmeyi önleyen eşik.</w:t>
      </w:r>
    </w:p>
    <w:p>
      <w:pPr>
        <w:spacing w:before="0" w:after="100" w:line="264" w:lineRule="auto"/>
      </w:pPr>
      <w:r>
        <w:rPr>
          <w:rFonts w:ascii="Arial" w:hAnsi="Arial" w:cs="Arial"/>
          <w:b/>
          <w:color w:val="0B2545"/>
          <w:sz w:val="21"/>
        </w:rPr>
        <w:t xml:space="preserve">İçerik atama: </w:t>
      </w:r>
      <w:r>
        <w:rPr>
          <w:rFonts w:ascii="Arial" w:hAnsi="Arial" w:cs="Arial"/>
          <w:color w:val="20262E"/>
          <w:sz w:val="21"/>
        </w:rPr>
        <w:t>Taslak/aktif/arşiv durumuna ek olarak kuruma özel koleksiyon ve paylaşılan vaka paketi.</w:t>
      </w:r>
    </w:p>
    <w:p>
      <w:pPr>
        <w:spacing w:before="0" w:after="100" w:line="264" w:lineRule="auto"/>
      </w:pPr>
      <w:r>
        <w:rPr>
          <w:rFonts w:ascii="Arial" w:hAnsi="Arial" w:cs="Arial"/>
          <w:b/>
          <w:color w:val="0B2545"/>
          <w:sz w:val="21"/>
        </w:rPr>
        <w:t xml:space="preserve">Entegrasyon: </w:t>
      </w:r>
      <w:r>
        <w:rPr>
          <w:rFonts w:ascii="Arial" w:hAnsi="Arial" w:cs="Arial"/>
          <w:color w:val="20262E"/>
          <w:sz w:val="21"/>
        </w:rPr>
        <w:t>LTI 1.3/Advantage ile launch, rol ve not dönüşü; Caliper ile standart öğrenme olayları.</w:t>
      </w:r>
    </w:p>
    <w:p>
      <w:pPr>
        <w:spacing w:before="0" w:after="120" w:line="264" w:lineRule="auto"/>
      </w:pPr>
      <w:r>
        <w:rPr>
          <w:rFonts w:ascii="Arial" w:hAnsi="Arial" w:cs="Arial"/>
          <w:b/>
          <w:color w:val="5D6875"/>
          <w:sz w:val="17"/>
        </w:rPr>
        <w:t xml:space="preserve">Dayanak: </w:t>
      </w:r>
      <w:r>
        <w:rPr>
          <w:rFonts w:ascii="Arial" w:hAnsi="Arial" w:cs="Arial"/>
          <w:i/>
          <w:color w:val="5D6875"/>
          <w:sz w:val="17"/>
        </w:rPr>
        <w:t>1EdTech LTI ve Caliper Analytics standartları [Kaynak 14-15].</w:t>
      </w:r>
    </w:p>
    <w:p>
      <w:pPr>
        <w:pStyle w:val="Heading2"/>
      </w:pPr>
      <w:r>
        <w:rPr>
          <w:rFonts w:ascii="Arial" w:hAnsi="Arial" w:cs="Arial"/>
          <w:b/>
          <w:color w:val="2E74B5"/>
          <w:sz w:val="26"/>
        </w:rPr>
        <w:t>4.10 P2 — İçerik yaşam döngüsü ve klinik yönetişim</w:t>
      </w:r>
    </w:p>
    <w:p>
      <w:pPr>
        <w:spacing w:before="0" w:after="120" w:line="264" w:lineRule="auto"/>
      </w:pPr>
      <w:r>
        <w:rPr>
          <w:rFonts w:ascii="Arial" w:hAnsi="Arial" w:cs="Arial"/>
          <w:b w:val="0"/>
          <w:i w:val="0"/>
          <w:color w:val="20262E"/>
          <w:sz w:val="21"/>
        </w:rPr>
        <w:t>Bugünkü kalite kuyruğu iyi bir başlangıçtır. Bir sonraki aşama, kalite denetimini tek seferlik kontrol listesinden değişmez ve sorumlusu belli bir yaşam döngüsüne dönüştürmektir.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550"/>
        <w:gridCol w:w="2300"/>
        <w:gridCol w:w="5510"/>
      </w:tblGrid>
      <w:tr>
        <w:trPr>
          <w:tblHeader w:val="true"/>
        </w:trPr>
        <w:tc>
          <w:tcPr>
            <w:tcW w:type="dxa" w:w="155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Durum</w:t>
            </w:r>
          </w:p>
        </w:tc>
        <w:tc>
          <w:tcPr>
            <w:tcW w:type="dxa" w:w="2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Sorumlu</w:t>
            </w:r>
          </w:p>
        </w:tc>
        <w:tc>
          <w:tcPr>
            <w:tcW w:type="dxa" w:w="551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Zorunlu kontrol</w:t>
            </w:r>
          </w:p>
        </w:tc>
      </w:tr>
      <w:tr>
        <w:trPr>
          <w:cantSplit/>
        </w:trPr>
        <w:tc>
          <w:tcPr>
            <w:tcW w:type="dxa" w:w="1550"/>
            <w:vAlign w:val="center"/>
          </w:tcPr>
          <w:p>
            <w:pPr>
              <w:spacing w:after="0" w:line="259" w:lineRule="auto"/>
              <w:jc w:val="left"/>
            </w:pPr>
            <w:r>
              <w:rPr>
                <w:rFonts w:ascii="Arial" w:hAnsi="Arial" w:cs="Arial"/>
                <w:color w:val="20262E"/>
                <w:sz w:val="17"/>
              </w:rPr>
              <w:t>Taslak</w:t>
            </w:r>
          </w:p>
        </w:tc>
        <w:tc>
          <w:tcPr>
            <w:tcW w:type="dxa" w:w="2300"/>
            <w:vAlign w:val="center"/>
          </w:tcPr>
          <w:p>
            <w:pPr>
              <w:spacing w:after="0" w:line="259" w:lineRule="auto"/>
              <w:jc w:val="left"/>
            </w:pPr>
            <w:r>
              <w:rPr>
                <w:rFonts w:ascii="Arial" w:hAnsi="Arial" w:cs="Arial"/>
                <w:color w:val="20262E"/>
                <w:sz w:val="17"/>
              </w:rPr>
              <w:t>Yazar düzenler</w:t>
            </w:r>
          </w:p>
        </w:tc>
        <w:tc>
          <w:tcPr>
            <w:tcW w:type="dxa" w:w="5510"/>
            <w:vAlign w:val="center"/>
          </w:tcPr>
          <w:p>
            <w:pPr>
              <w:spacing w:after="0" w:line="259" w:lineRule="auto"/>
              <w:jc w:val="left"/>
            </w:pPr>
            <w:r>
              <w:rPr>
                <w:rFonts w:ascii="Arial" w:hAnsi="Arial" w:cs="Arial"/>
                <w:color w:val="20262E"/>
                <w:sz w:val="17"/>
              </w:rPr>
              <w:t>Şema, zorunlu alan, test/vital birimi, çelişki, kaynak</w:t>
            </w:r>
          </w:p>
        </w:tc>
      </w:tr>
      <w:tr>
        <w:trPr>
          <w:cantSplit/>
        </w:trPr>
        <w:tc>
          <w:tcPr>
            <w:tcW w:type="dxa" w:w="1550"/>
            <w:vAlign w:val="center"/>
          </w:tcPr>
          <w:p>
            <w:pPr>
              <w:spacing w:after="0" w:line="259" w:lineRule="auto"/>
              <w:jc w:val="left"/>
            </w:pPr>
            <w:r>
              <w:rPr>
                <w:rFonts w:ascii="Arial" w:hAnsi="Arial" w:cs="Arial"/>
                <w:color w:val="20262E"/>
                <w:sz w:val="17"/>
              </w:rPr>
              <w:t>İncelemede</w:t>
            </w:r>
          </w:p>
        </w:tc>
        <w:tc>
          <w:tcPr>
            <w:tcW w:type="dxa" w:w="2300"/>
            <w:vAlign w:val="center"/>
          </w:tcPr>
          <w:p>
            <w:pPr>
              <w:spacing w:after="0" w:line="259" w:lineRule="auto"/>
              <w:jc w:val="left"/>
            </w:pPr>
            <w:r>
              <w:rPr>
                <w:rFonts w:ascii="Arial" w:hAnsi="Arial" w:cs="Arial"/>
                <w:color w:val="20262E"/>
                <w:sz w:val="17"/>
              </w:rPr>
              <w:t>Bağımsız doktor inceler</w:t>
            </w:r>
          </w:p>
        </w:tc>
        <w:tc>
          <w:tcPr>
            <w:tcW w:type="dxa" w:w="5510"/>
            <w:vAlign w:val="center"/>
          </w:tcPr>
          <w:p>
            <w:pPr>
              <w:spacing w:after="0" w:line="259" w:lineRule="auto"/>
              <w:jc w:val="left"/>
            </w:pPr>
            <w:r>
              <w:rPr>
                <w:rFonts w:ascii="Arial" w:hAnsi="Arial" w:cs="Arial"/>
                <w:color w:val="20262E"/>
                <w:sz w:val="17"/>
              </w:rPr>
              <w:t>Klinik doğruluk, pedagojik hedef, red flag, ideal yol</w:t>
            </w:r>
          </w:p>
        </w:tc>
      </w:tr>
      <w:tr>
        <w:trPr>
          <w:cantSplit/>
        </w:trPr>
        <w:tc>
          <w:tcPr>
            <w:tcW w:type="dxa" w:w="1550"/>
            <w:vAlign w:val="center"/>
          </w:tcPr>
          <w:p>
            <w:pPr>
              <w:spacing w:after="0" w:line="259" w:lineRule="auto"/>
              <w:jc w:val="left"/>
            </w:pPr>
            <w:r>
              <w:rPr>
                <w:rFonts w:ascii="Arial" w:hAnsi="Arial" w:cs="Arial"/>
                <w:color w:val="20262E"/>
                <w:sz w:val="17"/>
              </w:rPr>
              <w:t>Onaylı</w:t>
            </w:r>
          </w:p>
        </w:tc>
        <w:tc>
          <w:tcPr>
            <w:tcW w:type="dxa" w:w="2300"/>
            <w:vAlign w:val="center"/>
          </w:tcPr>
          <w:p>
            <w:pPr>
              <w:spacing w:after="0" w:line="259" w:lineRule="auto"/>
              <w:jc w:val="left"/>
            </w:pPr>
            <w:r>
              <w:rPr>
                <w:rFonts w:ascii="Arial" w:hAnsi="Arial" w:cs="Arial"/>
                <w:color w:val="20262E"/>
                <w:sz w:val="17"/>
              </w:rPr>
              <w:t>Reviewer imzası + checksum</w:t>
            </w:r>
          </w:p>
        </w:tc>
        <w:tc>
          <w:tcPr>
            <w:tcW w:type="dxa" w:w="5510"/>
            <w:vAlign w:val="center"/>
          </w:tcPr>
          <w:p>
            <w:pPr>
              <w:spacing w:after="0" w:line="259" w:lineRule="auto"/>
              <w:jc w:val="left"/>
            </w:pPr>
            <w:r>
              <w:rPr>
                <w:rFonts w:ascii="Arial" w:hAnsi="Arial" w:cs="Arial"/>
                <w:color w:val="20262E"/>
                <w:sz w:val="17"/>
              </w:rPr>
              <w:t>Yazar kendi vakasını tek başına yayımlayamaz; karar değişmez izde</w:t>
            </w:r>
          </w:p>
        </w:tc>
      </w:tr>
      <w:tr>
        <w:trPr>
          <w:cantSplit/>
        </w:trPr>
        <w:tc>
          <w:tcPr>
            <w:tcW w:type="dxa" w:w="1550"/>
            <w:vAlign w:val="center"/>
          </w:tcPr>
          <w:p>
            <w:pPr>
              <w:spacing w:after="0" w:line="259" w:lineRule="auto"/>
              <w:jc w:val="left"/>
            </w:pPr>
            <w:r>
              <w:rPr>
                <w:rFonts w:ascii="Arial" w:hAnsi="Arial" w:cs="Arial"/>
                <w:color w:val="20262E"/>
                <w:sz w:val="17"/>
              </w:rPr>
              <w:t>Yayında</w:t>
            </w:r>
          </w:p>
        </w:tc>
        <w:tc>
          <w:tcPr>
            <w:tcW w:type="dxa" w:w="2300"/>
            <w:vAlign w:val="center"/>
          </w:tcPr>
          <w:p>
            <w:pPr>
              <w:spacing w:after="0" w:line="259" w:lineRule="auto"/>
              <w:jc w:val="left"/>
            </w:pPr>
            <w:r>
              <w:rPr>
                <w:rFonts w:ascii="Arial" w:hAnsi="Arial" w:cs="Arial"/>
                <w:color w:val="20262E"/>
                <w:sz w:val="17"/>
              </w:rPr>
              <w:t>Öğrenciye görünür</w:t>
            </w:r>
          </w:p>
        </w:tc>
        <w:tc>
          <w:tcPr>
            <w:tcW w:type="dxa" w:w="5510"/>
            <w:vAlign w:val="center"/>
          </w:tcPr>
          <w:p>
            <w:pPr>
              <w:spacing w:after="0" w:line="259" w:lineRule="auto"/>
              <w:jc w:val="left"/>
            </w:pPr>
            <w:r>
              <w:rPr>
                <w:rFonts w:ascii="Arial" w:hAnsi="Arial" w:cs="Arial"/>
                <w:color w:val="20262E"/>
                <w:sz w:val="17"/>
              </w:rPr>
              <w:t>Sürüm kilidi; deneme başladığında vaka/rubrik checksum kaydı</w:t>
            </w:r>
          </w:p>
        </w:tc>
      </w:tr>
      <w:tr>
        <w:trPr>
          <w:cantSplit/>
        </w:trPr>
        <w:tc>
          <w:tcPr>
            <w:tcW w:type="dxa" w:w="1550"/>
            <w:vAlign w:val="center"/>
          </w:tcPr>
          <w:p>
            <w:pPr>
              <w:spacing w:after="0" w:line="259" w:lineRule="auto"/>
              <w:jc w:val="left"/>
            </w:pPr>
            <w:r>
              <w:rPr>
                <w:rFonts w:ascii="Arial" w:hAnsi="Arial" w:cs="Arial"/>
                <w:color w:val="20262E"/>
                <w:sz w:val="17"/>
              </w:rPr>
              <w:t>Gözden geçirme zamanı</w:t>
            </w:r>
          </w:p>
        </w:tc>
        <w:tc>
          <w:tcPr>
            <w:tcW w:type="dxa" w:w="2300"/>
            <w:vAlign w:val="center"/>
          </w:tcPr>
          <w:p>
            <w:pPr>
              <w:spacing w:after="0" w:line="259" w:lineRule="auto"/>
              <w:jc w:val="left"/>
            </w:pPr>
            <w:r>
              <w:rPr>
                <w:rFonts w:ascii="Arial" w:hAnsi="Arial" w:cs="Arial"/>
                <w:color w:val="20262E"/>
                <w:sz w:val="17"/>
              </w:rPr>
              <w:t>Planlı yeniden inceleme</w:t>
            </w:r>
          </w:p>
        </w:tc>
        <w:tc>
          <w:tcPr>
            <w:tcW w:type="dxa" w:w="5510"/>
            <w:vAlign w:val="center"/>
          </w:tcPr>
          <w:p>
            <w:pPr>
              <w:spacing w:after="0" w:line="259" w:lineRule="auto"/>
              <w:jc w:val="left"/>
            </w:pPr>
            <w:r>
              <w:rPr>
                <w:rFonts w:ascii="Arial" w:hAnsi="Arial" w:cs="Arial"/>
                <w:color w:val="20262E"/>
                <w:sz w:val="17"/>
              </w:rPr>
              <w:t>Kaynak güncelliği, performans/itiraz, klinik kural değişimi</w:t>
            </w:r>
          </w:p>
        </w:tc>
      </w:tr>
      <w:tr>
        <w:trPr>
          <w:cantSplit/>
        </w:trPr>
        <w:tc>
          <w:tcPr>
            <w:tcW w:type="dxa" w:w="1550"/>
            <w:vAlign w:val="center"/>
          </w:tcPr>
          <w:p>
            <w:pPr>
              <w:spacing w:after="0" w:line="259" w:lineRule="auto"/>
              <w:jc w:val="left"/>
            </w:pPr>
            <w:r>
              <w:rPr>
                <w:rFonts w:ascii="Arial" w:hAnsi="Arial" w:cs="Arial"/>
                <w:color w:val="20262E"/>
                <w:sz w:val="17"/>
              </w:rPr>
              <w:t>Arşiv/geri çekme</w:t>
            </w:r>
          </w:p>
        </w:tc>
        <w:tc>
          <w:tcPr>
            <w:tcW w:type="dxa" w:w="2300"/>
            <w:vAlign w:val="center"/>
          </w:tcPr>
          <w:p>
            <w:pPr>
              <w:spacing w:after="0" w:line="259" w:lineRule="auto"/>
              <w:jc w:val="left"/>
            </w:pPr>
            <w:r>
              <w:rPr>
                <w:rFonts w:ascii="Arial" w:hAnsi="Arial" w:cs="Arial"/>
                <w:color w:val="20262E"/>
                <w:sz w:val="17"/>
              </w:rPr>
              <w:t>Yeni denemeye kapalı</w:t>
            </w:r>
          </w:p>
        </w:tc>
        <w:tc>
          <w:tcPr>
            <w:tcW w:type="dxa" w:w="5510"/>
            <w:vAlign w:val="center"/>
          </w:tcPr>
          <w:p>
            <w:pPr>
              <w:spacing w:after="0" w:line="259" w:lineRule="auto"/>
              <w:jc w:val="left"/>
            </w:pPr>
            <w:r>
              <w:rPr>
                <w:rFonts w:ascii="Arial" w:hAnsi="Arial" w:cs="Arial"/>
                <w:color w:val="20262E"/>
                <w:sz w:val="17"/>
              </w:rPr>
              <w:t>Geçmiş denemeler aynı sürümle görüntülenebilir</w:t>
            </w:r>
          </w:p>
        </w:tc>
      </w:tr>
    </w:tbl>
    <w:p>
      <w:pPr>
        <w:spacing w:before="0" w:after="80" w:line="264" w:lineRule="auto"/>
      </w:pPr>
    </w:p>
    <w:p>
      <w:pPr>
        <w:keepLines/>
        <w:numPr>
          <w:ilvl w:val="0"/>
          <w:numId w:val="90"/>
        </w:numPr>
        <w:spacing w:after="100" w:line="280" w:lineRule="auto"/>
      </w:pPr>
      <w:r>
        <w:rPr>
          <w:rFonts w:ascii="Arial" w:hAnsi="Arial" w:cs="Arial"/>
          <w:color w:val="20262E"/>
          <w:sz w:val="21"/>
        </w:rPr>
        <w:t>Her vaka sürümünde klinik kaynak, kaynak tarihi, son klinik gözden geçirme, reviewer, eğitim hedefi ve checksum bulunmalıdır.</w:t>
      </w:r>
    </w:p>
    <w:p>
      <w:pPr>
        <w:keepLines/>
        <w:numPr>
          <w:ilvl w:val="0"/>
          <w:numId w:val="90"/>
        </w:numPr>
        <w:spacing w:after="100" w:line="280" w:lineRule="auto"/>
      </w:pPr>
      <w:r>
        <w:rPr>
          <w:rFonts w:ascii="Arial" w:hAnsi="Arial" w:cs="Arial"/>
          <w:color w:val="20262E"/>
          <w:sz w:val="21"/>
        </w:rPr>
        <w:t>Admin import ekranı önce dry-run göstermeli: eklenecek/değişecek/silinecek alanlar, çakışmalar ve yayın engelleri. Kullanıcı onayından sonra idempotent uygulama yapılmalıdır.</w:t>
      </w:r>
    </w:p>
    <w:p>
      <w:pPr>
        <w:keepLines/>
        <w:numPr>
          <w:ilvl w:val="0"/>
          <w:numId w:val="90"/>
        </w:numPr>
        <w:spacing w:after="100" w:line="280" w:lineRule="auto"/>
      </w:pPr>
      <w:r>
        <w:rPr>
          <w:rFonts w:ascii="Arial" w:hAnsi="Arial" w:cs="Arial"/>
          <w:color w:val="20262E"/>
          <w:sz w:val="21"/>
        </w:rPr>
        <w:t>Laboratuvar sonucu için provenance saklanmalıdır: statik, referans kütüphanesinden üretilmiş veya vaka override. Üretim seed'i kayıtlıysa aynı vaka tekrar üretilebilir.</w:t>
      </w:r>
    </w:p>
    <w:p>
      <w:pPr>
        <w:keepLines/>
        <w:numPr>
          <w:ilvl w:val="0"/>
          <w:numId w:val="90"/>
        </w:numPr>
        <w:spacing w:after="100" w:line="280" w:lineRule="auto"/>
      </w:pPr>
      <w:r>
        <w:rPr>
          <w:rFonts w:ascii="Arial" w:hAnsi="Arial" w:cs="Arial"/>
          <w:color w:val="20262E"/>
          <w:sz w:val="21"/>
        </w:rPr>
        <w:t>Alias/synonym kataloğu sürümlenmeli; çözülemeyen test ifadeleri kalite kuyruğuna düşmeli ancak otomatik olarak canlı sözlüğe eklenmemelidir.</w:t>
      </w:r>
    </w:p>
    <w:p>
      <w:pPr>
        <w:keepLines/>
        <w:numPr>
          <w:ilvl w:val="0"/>
          <w:numId w:val="90"/>
        </w:numPr>
        <w:spacing w:after="100" w:line="280" w:lineRule="auto"/>
      </w:pPr>
      <w:r>
        <w:rPr>
          <w:rFonts w:ascii="Arial" w:hAnsi="Arial" w:cs="Arial"/>
          <w:color w:val="20262E"/>
          <w:sz w:val="21"/>
        </w:rPr>
        <w:t>Yeterli örneklem oluştuğunda vaka güçlüğü, ayırt edicilik, tamamlanma süresi ve itiraz oranı izlenmeli; küçük örneklemde istatistik yanıltıcı olarak sunulmamalıdır.</w:t>
      </w:r>
    </w:p>
    <w:p>
      <w:pPr>
        <w:pStyle w:val="Heading2"/>
      </w:pPr>
      <w:r>
        <w:rPr>
          <w:rFonts w:ascii="Arial" w:hAnsi="Arial" w:cs="Arial"/>
          <w:b/>
          <w:color w:val="2E74B5"/>
          <w:sz w:val="26"/>
        </w:rPr>
        <w:t>4.11 P3 — AI destekli sanal hasta ve değerlendirme</w:t>
      </w:r>
    </w:p>
    <w:p>
      <w:pPr>
        <w:spacing w:before="0" w:after="120" w:line="264" w:lineRule="auto"/>
      </w:pPr>
      <w:r>
        <w:rPr>
          <w:rFonts w:ascii="Arial" w:hAnsi="Arial" w:cs="Arial"/>
          <w:b w:val="0"/>
          <w:i w:val="0"/>
          <w:color w:val="20262E"/>
          <w:sz w:val="21"/>
        </w:rPr>
        <w:t>Üretken AI kullanılacaksa en doğru rol, deterministik vaka ve rubrik çekirdeğinin yerine geçmek değil; dilsel hasta etkileşimini doğal hâle getirmek, içerik yazımına taslak desteği vermek ve geri bildirimi açıklamaktır.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800"/>
        <w:gridCol w:w="7560"/>
      </w:tblGrid>
      <w:tr>
        <w:trPr>
          <w:tblHeader w:val="true"/>
        </w:trPr>
        <w:tc>
          <w:tcPr>
            <w:tcW w:type="dxa" w:w="18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Kullanım</w:t>
            </w:r>
          </w:p>
        </w:tc>
        <w:tc>
          <w:tcPr>
            <w:tcW w:type="dxa" w:w="75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Kontrol</w:t>
            </w:r>
          </w:p>
        </w:tc>
      </w:tr>
      <w:tr>
        <w:trPr>
          <w:cantSplit/>
        </w:trPr>
        <w:tc>
          <w:tcPr>
            <w:tcW w:type="dxa" w:w="1800"/>
            <w:vAlign w:val="center"/>
          </w:tcPr>
          <w:p>
            <w:pPr>
              <w:spacing w:after="0" w:line="259" w:lineRule="auto"/>
              <w:jc w:val="left"/>
            </w:pPr>
            <w:r>
              <w:rPr>
                <w:rFonts w:ascii="Arial" w:hAnsi="Arial" w:cs="Arial"/>
                <w:color w:val="20262E"/>
                <w:sz w:val="17"/>
              </w:rPr>
              <w:t>Sanal hasta</w:t>
            </w:r>
          </w:p>
        </w:tc>
        <w:tc>
          <w:tcPr>
            <w:tcW w:type="dxa" w:w="7560"/>
            <w:vAlign w:val="center"/>
          </w:tcPr>
          <w:p>
            <w:pPr>
              <w:spacing w:after="0" w:line="259" w:lineRule="auto"/>
              <w:jc w:val="left"/>
            </w:pPr>
            <w:r>
              <w:rPr>
                <w:rFonts w:ascii="Arial" w:hAnsi="Arial" w:cs="Arial"/>
                <w:color w:val="20262E"/>
                <w:sz w:val="17"/>
              </w:rPr>
              <w:t>Yanıt yalnızca vaka fact set'inden; açıklanan fact_id'leri şemalı çıktı; bilinmeyen soruda güvenli fallback</w:t>
            </w:r>
          </w:p>
        </w:tc>
      </w:tr>
      <w:tr>
        <w:trPr>
          <w:cantSplit/>
        </w:trPr>
        <w:tc>
          <w:tcPr>
            <w:tcW w:type="dxa" w:w="1800"/>
            <w:vAlign w:val="center"/>
          </w:tcPr>
          <w:p>
            <w:pPr>
              <w:spacing w:after="0" w:line="259" w:lineRule="auto"/>
              <w:jc w:val="left"/>
            </w:pPr>
            <w:r>
              <w:rPr>
                <w:rFonts w:ascii="Arial" w:hAnsi="Arial" w:cs="Arial"/>
                <w:color w:val="20262E"/>
                <w:sz w:val="17"/>
              </w:rPr>
              <w:t>Tutarlılık</w:t>
            </w:r>
          </w:p>
        </w:tc>
        <w:tc>
          <w:tcPr>
            <w:tcW w:type="dxa" w:w="7560"/>
            <w:vAlign w:val="center"/>
          </w:tcPr>
          <w:p>
            <w:pPr>
              <w:spacing w:after="0" w:line="259" w:lineRule="auto"/>
              <w:jc w:val="left"/>
            </w:pPr>
            <w:r>
              <w:rPr>
                <w:rFonts w:ascii="Arial" w:hAnsi="Arial" w:cs="Arial"/>
                <w:color w:val="20262E"/>
                <w:sz w:val="17"/>
              </w:rPr>
              <w:t>Aynı vaka durumu için çelişki testi; yaş/cinsiyet/zaman/vital tutarlılığı; gizli tanıyı erken sızdırmama</w:t>
            </w:r>
          </w:p>
        </w:tc>
      </w:tr>
      <w:tr>
        <w:trPr>
          <w:cantSplit/>
        </w:trPr>
        <w:tc>
          <w:tcPr>
            <w:tcW w:type="dxa" w:w="1800"/>
            <w:vAlign w:val="center"/>
          </w:tcPr>
          <w:p>
            <w:pPr>
              <w:spacing w:after="0" w:line="259" w:lineRule="auto"/>
              <w:jc w:val="left"/>
            </w:pPr>
            <w:r>
              <w:rPr>
                <w:rFonts w:ascii="Arial" w:hAnsi="Arial" w:cs="Arial"/>
                <w:color w:val="20262E"/>
                <w:sz w:val="17"/>
              </w:rPr>
              <w:t>Skor</w:t>
            </w:r>
          </w:p>
        </w:tc>
        <w:tc>
          <w:tcPr>
            <w:tcW w:type="dxa" w:w="7560"/>
            <w:vAlign w:val="center"/>
          </w:tcPr>
          <w:p>
            <w:pPr>
              <w:spacing w:after="0" w:line="259" w:lineRule="auto"/>
              <w:jc w:val="left"/>
            </w:pPr>
            <w:r>
              <w:rPr>
                <w:rFonts w:ascii="Arial" w:hAnsi="Arial" w:cs="Arial"/>
                <w:color w:val="20262E"/>
                <w:sz w:val="17"/>
              </w:rPr>
              <w:t>Nihai skor deterministic engine'de; AI açıklama önerir fakat puanı tek başına değiştiremez</w:t>
            </w:r>
          </w:p>
        </w:tc>
      </w:tr>
      <w:tr>
        <w:trPr>
          <w:cantSplit/>
        </w:trPr>
        <w:tc>
          <w:tcPr>
            <w:tcW w:type="dxa" w:w="1800"/>
            <w:vAlign w:val="center"/>
          </w:tcPr>
          <w:p>
            <w:pPr>
              <w:spacing w:after="0" w:line="259" w:lineRule="auto"/>
              <w:jc w:val="left"/>
            </w:pPr>
            <w:r>
              <w:rPr>
                <w:rFonts w:ascii="Arial" w:hAnsi="Arial" w:cs="Arial"/>
                <w:color w:val="20262E"/>
                <w:sz w:val="17"/>
              </w:rPr>
              <w:t>İçerik yazımı</w:t>
            </w:r>
          </w:p>
        </w:tc>
        <w:tc>
          <w:tcPr>
            <w:tcW w:type="dxa" w:w="7560"/>
            <w:vAlign w:val="center"/>
          </w:tcPr>
          <w:p>
            <w:pPr>
              <w:spacing w:after="0" w:line="259" w:lineRule="auto"/>
              <w:jc w:val="left"/>
            </w:pPr>
            <w:r>
              <w:rPr>
                <w:rFonts w:ascii="Arial" w:hAnsi="Arial" w:cs="Arial"/>
                <w:color w:val="20262E"/>
                <w:sz w:val="17"/>
              </w:rPr>
              <w:t>AI taslak üretir; klinik reviewer onayı ve kaynak doğrulaması olmadan yayınlanamaz</w:t>
            </w:r>
          </w:p>
        </w:tc>
      </w:tr>
      <w:tr>
        <w:trPr>
          <w:cantSplit/>
        </w:trPr>
        <w:tc>
          <w:tcPr>
            <w:tcW w:type="dxa" w:w="1800"/>
            <w:vAlign w:val="center"/>
          </w:tcPr>
          <w:p>
            <w:pPr>
              <w:spacing w:after="0" w:line="259" w:lineRule="auto"/>
              <w:jc w:val="left"/>
            </w:pPr>
            <w:r>
              <w:rPr>
                <w:rFonts w:ascii="Arial" w:hAnsi="Arial" w:cs="Arial"/>
                <w:color w:val="20262E"/>
                <w:sz w:val="17"/>
              </w:rPr>
              <w:t>Güvenlik</w:t>
            </w:r>
          </w:p>
        </w:tc>
        <w:tc>
          <w:tcPr>
            <w:tcW w:type="dxa" w:w="7560"/>
            <w:vAlign w:val="center"/>
          </w:tcPr>
          <w:p>
            <w:pPr>
              <w:spacing w:after="0" w:line="259" w:lineRule="auto"/>
              <w:jc w:val="left"/>
            </w:pPr>
            <w:r>
              <w:rPr>
                <w:rFonts w:ascii="Arial" w:hAnsi="Arial" w:cs="Arial"/>
                <w:color w:val="20262E"/>
                <w:sz w:val="17"/>
              </w:rPr>
              <w:t>Prompt injection filtreleri; araç allowlist'i; minimum yetki; serbest metinden komut üretmeme</w:t>
            </w:r>
          </w:p>
        </w:tc>
      </w:tr>
      <w:tr>
        <w:trPr>
          <w:cantSplit/>
        </w:trPr>
        <w:tc>
          <w:tcPr>
            <w:tcW w:type="dxa" w:w="1800"/>
            <w:vAlign w:val="center"/>
          </w:tcPr>
          <w:p>
            <w:pPr>
              <w:spacing w:after="0" w:line="259" w:lineRule="auto"/>
              <w:jc w:val="left"/>
            </w:pPr>
            <w:r>
              <w:rPr>
                <w:rFonts w:ascii="Arial" w:hAnsi="Arial" w:cs="Arial"/>
                <w:color w:val="20262E"/>
                <w:sz w:val="17"/>
              </w:rPr>
              <w:t>İzlenebilirlik</w:t>
            </w:r>
          </w:p>
        </w:tc>
        <w:tc>
          <w:tcPr>
            <w:tcW w:type="dxa" w:w="7560"/>
            <w:vAlign w:val="center"/>
          </w:tcPr>
          <w:p>
            <w:pPr>
              <w:spacing w:after="0" w:line="259" w:lineRule="auto"/>
              <w:jc w:val="left"/>
            </w:pPr>
            <w:r>
              <w:rPr>
                <w:rFonts w:ascii="Arial" w:hAnsi="Arial" w:cs="Arial"/>
                <w:color w:val="20262E"/>
                <w:sz w:val="17"/>
              </w:rPr>
              <w:t>Model, prompt ve knowledge sürümü; latency/cost; groundedness ve hata etiketi; tekrar oynatılabilir golden set</w:t>
            </w:r>
          </w:p>
        </w:tc>
      </w:tr>
      <w:tr>
        <w:trPr>
          <w:cantSplit/>
        </w:trPr>
        <w:tc>
          <w:tcPr>
            <w:tcW w:type="dxa" w:w="1800"/>
            <w:vAlign w:val="center"/>
          </w:tcPr>
          <w:p>
            <w:pPr>
              <w:spacing w:after="0" w:line="259" w:lineRule="auto"/>
              <w:jc w:val="left"/>
            </w:pPr>
            <w:r>
              <w:rPr>
                <w:rFonts w:ascii="Arial" w:hAnsi="Arial" w:cs="Arial"/>
                <w:color w:val="20262E"/>
                <w:sz w:val="17"/>
              </w:rPr>
              <w:t>Gizlilik</w:t>
            </w:r>
          </w:p>
        </w:tc>
        <w:tc>
          <w:tcPr>
            <w:tcW w:type="dxa" w:w="7560"/>
            <w:vAlign w:val="center"/>
          </w:tcPr>
          <w:p>
            <w:pPr>
              <w:spacing w:after="0" w:line="259" w:lineRule="auto"/>
              <w:jc w:val="left"/>
            </w:pPr>
            <w:r>
              <w:rPr>
                <w:rFonts w:ascii="Arial" w:hAnsi="Arial" w:cs="Arial"/>
                <w:color w:val="20262E"/>
                <w:sz w:val="17"/>
              </w:rPr>
              <w:t>Öğrenci veya kısıtlı veri sağlayıcıya gereksiz gönderilmez; retention ve veri işleme sözleşmesi açık</w:t>
            </w:r>
          </w:p>
        </w:tc>
      </w:tr>
    </w:tbl>
    <w:p>
      <w:pPr>
        <w:spacing w:before="0" w:after="80" w:line="264" w:lineRule="auto"/>
      </w:pPr>
    </w:p>
    <w:p>
      <w:pPr>
        <w:pStyle w:val="Heading3"/>
      </w:pPr>
      <w:r>
        <w:rPr>
          <w:rFonts w:ascii="Arial" w:hAnsi="Arial" w:cs="Arial"/>
          <w:b/>
          <w:color w:val="1F4D78"/>
          <w:sz w:val="23"/>
        </w:rPr>
        <w:t>AI yayın kapısı</w:t>
      </w:r>
    </w:p>
    <w:p>
      <w:pPr>
        <w:keepLines/>
        <w:numPr>
          <w:ilvl w:val="0"/>
          <w:numId w:val="90"/>
        </w:numPr>
        <w:spacing w:after="100" w:line="280" w:lineRule="auto"/>
      </w:pPr>
      <w:r>
        <w:rPr>
          <w:rFonts w:ascii="Arial" w:hAnsi="Arial" w:cs="Arial"/>
          <w:color w:val="20262E"/>
          <w:sz w:val="21"/>
        </w:rPr>
        <w:t>En az bir sabit golden vaka setinde fact doğruluğu, çelişki, red flag sızıntısı ve uygunsuz yönlendirme ölçülmeli.</w:t>
      </w:r>
    </w:p>
    <w:p>
      <w:pPr>
        <w:keepLines/>
        <w:numPr>
          <w:ilvl w:val="0"/>
          <w:numId w:val="90"/>
        </w:numPr>
        <w:spacing w:after="100" w:line="280" w:lineRule="auto"/>
      </w:pPr>
      <w:r>
        <w:rPr>
          <w:rFonts w:ascii="Arial" w:hAnsi="Arial" w:cs="Arial"/>
          <w:color w:val="20262E"/>
          <w:sz w:val="21"/>
        </w:rPr>
        <w:t>Model/prompt değişikliği uygulama release'i gibi değerlendirilip regressionsız kabul edilmelidir.</w:t>
      </w:r>
    </w:p>
    <w:p>
      <w:pPr>
        <w:keepLines/>
        <w:numPr>
          <w:ilvl w:val="0"/>
          <w:numId w:val="90"/>
        </w:numPr>
        <w:spacing w:after="100" w:line="280" w:lineRule="auto"/>
      </w:pPr>
      <w:r>
        <w:rPr>
          <w:rFonts w:ascii="Arial" w:hAnsi="Arial" w:cs="Arial"/>
          <w:color w:val="20262E"/>
          <w:sz w:val="21"/>
        </w:rPr>
        <w:t>Belirsiz veya grounded olmayan yanıt, uydurmak yerine vaka tarafından cevaplanamayan güvenli mesajla sonuçlanmalıdır.</w:t>
      </w:r>
    </w:p>
    <w:p>
      <w:pPr>
        <w:keepLines/>
        <w:numPr>
          <w:ilvl w:val="0"/>
          <w:numId w:val="90"/>
        </w:numPr>
        <w:spacing w:after="100" w:line="280" w:lineRule="auto"/>
      </w:pPr>
      <w:r>
        <w:rPr>
          <w:rFonts w:ascii="Arial" w:hAnsi="Arial" w:cs="Arial"/>
          <w:color w:val="20262E"/>
          <w:sz w:val="21"/>
        </w:rPr>
        <w:t>Klinik içerik üretiminde human-in-the-loop atlanamaz; reviewer kararı kayıt altına alınmalıdır.</w:t>
      </w:r>
    </w:p>
    <w:p>
      <w:pPr>
        <w:spacing w:before="0" w:after="120" w:line="264" w:lineRule="auto"/>
      </w:pPr>
      <w:r>
        <w:rPr>
          <w:rFonts w:ascii="Arial" w:hAnsi="Arial" w:cs="Arial"/>
          <w:b/>
          <w:color w:val="5D6875"/>
          <w:sz w:val="17"/>
        </w:rPr>
        <w:t xml:space="preserve">Dayanak: </w:t>
      </w:r>
      <w:r>
        <w:rPr>
          <w:rFonts w:ascii="Arial" w:hAnsi="Arial" w:cs="Arial"/>
          <w:i/>
          <w:color w:val="5D6875"/>
          <w:sz w:val="17"/>
        </w:rPr>
        <w:t>NIST AI RMF ve Generative AI Profile [Kaynak 16].</w:t>
      </w:r>
    </w:p>
    <w:p>
      <w:pPr>
        <w:pStyle w:val="Heading2"/>
      </w:pPr>
      <w:r>
        <w:rPr>
          <w:rFonts w:ascii="Arial" w:hAnsi="Arial" w:cs="Arial"/>
          <w:b/>
          <w:color w:val="2E74B5"/>
          <w:sz w:val="26"/>
        </w:rPr>
        <w:t>4.12 P3 — MIMIC-III/MIMIC-IV veri yönetişimi</w:t>
      </w:r>
    </w:p>
    <w:p>
      <w:pPr>
        <w:spacing w:before="0" w:after="120" w:line="264" w:lineRule="auto"/>
      </w:pPr>
      <w:r>
        <w:rPr>
          <w:rFonts w:ascii="Arial" w:hAnsi="Arial" w:cs="Arial"/>
          <w:b w:val="0"/>
          <w:i w:val="0"/>
          <w:color w:val="20262E"/>
          <w:sz w:val="21"/>
        </w:rPr>
        <w:t>MIMIC entegrasyonu ana uygulama geliştirmesinden ayrı bir araştırma ve veri yönetişimi projesi olmalıdır. Ham credentialed veri uygulama runtime'ına, kullanıcıya açık dosya alanına veya kontrolsüz üçüncü taraf servisine taşınmamalıdır.</w:t>
      </w:r>
    </w:p>
    <w:p>
      <w:pPr>
        <w:keepLines/>
        <w:numPr>
          <w:ilvl w:val="0"/>
          <w:numId w:val="90"/>
        </w:numPr>
        <w:spacing w:after="100" w:line="280" w:lineRule="auto"/>
      </w:pPr>
      <w:r>
        <w:rPr>
          <w:rFonts w:ascii="Arial" w:hAnsi="Arial" w:cs="Arial"/>
          <w:color w:val="20262E"/>
          <w:sz w:val="21"/>
        </w:rPr>
        <w:t>Üç bölge kur: restricted/raw (erişim sınırlı), normalized/research (minimum alan + lineage), educational/published (uzman onaylı, sentetikleştirilmiş veya uygun türev).</w:t>
      </w:r>
    </w:p>
    <w:p>
      <w:pPr>
        <w:keepLines/>
        <w:numPr>
          <w:ilvl w:val="0"/>
          <w:numId w:val="90"/>
        </w:numPr>
        <w:spacing w:after="100" w:line="280" w:lineRule="auto"/>
      </w:pPr>
      <w:r>
        <w:rPr>
          <w:rFonts w:ascii="Arial" w:hAnsi="Arial" w:cs="Arial"/>
          <w:color w:val="20262E"/>
          <w:sz w:val="21"/>
        </w:rPr>
        <w:t>Her episode için kaynak sürüm, ETL commit'i, eşleme tablosu sürümü, de-identification kontrolü ve reviewer kararı sakla.</w:t>
      </w:r>
    </w:p>
    <w:p>
      <w:pPr>
        <w:keepLines/>
        <w:numPr>
          <w:ilvl w:val="0"/>
          <w:numId w:val="90"/>
        </w:numPr>
        <w:spacing w:after="100" w:line="280" w:lineRule="auto"/>
      </w:pPr>
      <w:r>
        <w:rPr>
          <w:rFonts w:ascii="Arial" w:hAnsi="Arial" w:cs="Arial"/>
          <w:color w:val="20262E"/>
          <w:sz w:val="21"/>
        </w:rPr>
        <w:t>ICD/LOINC eşlemelerinde kapsanamayan, çok anlamlı veya düşük güvenli kayıtları otomatik yayımlama; karantina kuyruğuna al.</w:t>
      </w:r>
    </w:p>
    <w:p>
      <w:pPr>
        <w:keepLines/>
        <w:numPr>
          <w:ilvl w:val="0"/>
          <w:numId w:val="90"/>
        </w:numPr>
        <w:spacing w:after="100" w:line="280" w:lineRule="auto"/>
      </w:pPr>
      <w:r>
        <w:rPr>
          <w:rFonts w:ascii="Arial" w:hAnsi="Arial" w:cs="Arial"/>
          <w:color w:val="20262E"/>
          <w:sz w:val="21"/>
        </w:rPr>
        <w:t>MIMIC-III hazırlığı korunabilir; yeni yatırım için MIMIC-IV'ün kapsam ve şema avantajlarını ayrı ADR ile karşılaştır. Bu, doğrudan geçiş kararı değil değerlendirme kapısıdır.</w:t>
      </w:r>
    </w:p>
    <w:p>
      <w:pPr>
        <w:keepLines/>
        <w:numPr>
          <w:ilvl w:val="0"/>
          <w:numId w:val="90"/>
        </w:numPr>
        <w:spacing w:after="100" w:line="280" w:lineRule="auto"/>
      </w:pPr>
      <w:r>
        <w:rPr>
          <w:rFonts w:ascii="Arial" w:hAnsi="Arial" w:cs="Arial"/>
          <w:color w:val="20262E"/>
          <w:sz w:val="21"/>
        </w:rPr>
        <w:t>LLM kullanımı için imzalanmış DUA'nın güncel koşulları ve PhysioNet'in güncel duyurusu uygulanmalı; uygunluk kanıtlanana kadar restricted veri üçüncü taraf API'lerine gönderilmemelidir.</w:t>
      </w:r>
    </w:p>
    <w:p>
      <w:pPr>
        <w:keepLines/>
        <w:numPr>
          <w:ilvl w:val="0"/>
          <w:numId w:val="90"/>
        </w:numPr>
        <w:spacing w:after="100" w:line="280" w:lineRule="auto"/>
      </w:pPr>
      <w:r>
        <w:rPr>
          <w:rFonts w:ascii="Arial" w:hAnsi="Arial" w:cs="Arial"/>
          <w:color w:val="20262E"/>
          <w:sz w:val="21"/>
        </w:rPr>
        <w:t>Yayınlanacak eğitim vakaları ham satır kopyası olmamalı; klinik uzman tarafından gözden geçirilmiş, eğitim amacı açık ve yeniden kimliklendirme riski değerlendirilmiş olmalıdır.</w:t>
      </w:r>
    </w:p>
    <w:p>
      <w:pPr>
        <w:spacing w:before="0" w:after="120" w:line="264" w:lineRule="auto"/>
      </w:pPr>
      <w:r>
        <w:rPr>
          <w:rFonts w:ascii="Arial" w:hAnsi="Arial" w:cs="Arial"/>
          <w:b/>
          <w:color w:val="5D6875"/>
          <w:sz w:val="17"/>
        </w:rPr>
        <w:t xml:space="preserve">Dayanak: </w:t>
      </w:r>
      <w:r>
        <w:rPr>
          <w:rFonts w:ascii="Arial" w:hAnsi="Arial" w:cs="Arial"/>
          <w:i/>
          <w:color w:val="5D6875"/>
          <w:sz w:val="17"/>
        </w:rPr>
        <w:t>PhysioNet MIMIC erişim/DUA ve LLM sorumlu kullanım duyuruları [Kaynak 17-19].</w:t>
      </w:r>
    </w:p>
    <w:p>
      <w:pPr>
        <w:pStyle w:val="Heading2"/>
      </w:pPr>
      <w:r>
        <w:rPr>
          <w:rFonts w:ascii="Arial" w:hAnsi="Arial" w:cs="Arial"/>
          <w:b/>
          <w:color w:val="2E74B5"/>
          <w:sz w:val="26"/>
        </w:rPr>
        <w:t>4.13 P2 — Erişilebilirlik, mobil ve kullanıcı güvenliği</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700"/>
        <w:gridCol w:w="7660"/>
      </w:tblGrid>
      <w:tr>
        <w:trPr>
          <w:tblHeader w:val="true"/>
        </w:trPr>
        <w:tc>
          <w:tcPr>
            <w:tcW w:type="dxa" w:w="17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Alan</w:t>
            </w:r>
          </w:p>
        </w:tc>
        <w:tc>
          <w:tcPr>
            <w:tcW w:type="dxa" w:w="76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Kabul hedefi</w:t>
            </w:r>
          </w:p>
        </w:tc>
      </w:tr>
      <w:tr>
        <w:trPr>
          <w:cantSplit/>
        </w:trPr>
        <w:tc>
          <w:tcPr>
            <w:tcW w:type="dxa" w:w="1700"/>
            <w:vAlign w:val="center"/>
          </w:tcPr>
          <w:p>
            <w:pPr>
              <w:spacing w:after="0" w:line="259" w:lineRule="auto"/>
              <w:jc w:val="left"/>
            </w:pPr>
            <w:r>
              <w:rPr>
                <w:rFonts w:ascii="Arial" w:hAnsi="Arial" w:cs="Arial"/>
                <w:color w:val="20262E"/>
                <w:sz w:val="17"/>
              </w:rPr>
              <w:t>Klavye</w:t>
            </w:r>
          </w:p>
        </w:tc>
        <w:tc>
          <w:tcPr>
            <w:tcW w:type="dxa" w:w="7660"/>
            <w:vAlign w:val="center"/>
          </w:tcPr>
          <w:p>
            <w:pPr>
              <w:spacing w:after="0" w:line="259" w:lineRule="auto"/>
              <w:jc w:val="left"/>
            </w:pPr>
            <w:r>
              <w:rPr>
                <w:rFonts w:ascii="Arial" w:hAnsi="Arial" w:cs="Arial"/>
                <w:color w:val="20262E"/>
                <w:sz w:val="17"/>
              </w:rPr>
              <w:t>Tüm vaka akışı, test arama, modal ve menüler klavyeyle; görünür focus; focus trap/return doğru</w:t>
            </w:r>
          </w:p>
        </w:tc>
      </w:tr>
      <w:tr>
        <w:trPr>
          <w:cantSplit/>
        </w:trPr>
        <w:tc>
          <w:tcPr>
            <w:tcW w:type="dxa" w:w="1700"/>
            <w:vAlign w:val="center"/>
          </w:tcPr>
          <w:p>
            <w:pPr>
              <w:spacing w:after="0" w:line="259" w:lineRule="auto"/>
              <w:jc w:val="left"/>
            </w:pPr>
            <w:r>
              <w:rPr>
                <w:rFonts w:ascii="Arial" w:hAnsi="Arial" w:cs="Arial"/>
                <w:color w:val="20262E"/>
                <w:sz w:val="17"/>
              </w:rPr>
              <w:t>Ekran okuyucu</w:t>
            </w:r>
          </w:p>
        </w:tc>
        <w:tc>
          <w:tcPr>
            <w:tcW w:type="dxa" w:w="7660"/>
            <w:vAlign w:val="center"/>
          </w:tcPr>
          <w:p>
            <w:pPr>
              <w:spacing w:after="0" w:line="259" w:lineRule="auto"/>
              <w:jc w:val="left"/>
            </w:pPr>
            <w:r>
              <w:rPr>
                <w:rFonts w:ascii="Arial" w:hAnsi="Arial" w:cs="Arial"/>
                <w:color w:val="20262E"/>
                <w:sz w:val="17"/>
              </w:rPr>
              <w:t>Form label, hata özeti, canlı test sonucu duyurusu, doğru heading sırası, tablo başlıkları</w:t>
            </w:r>
          </w:p>
        </w:tc>
      </w:tr>
      <w:tr>
        <w:trPr>
          <w:cantSplit/>
        </w:trPr>
        <w:tc>
          <w:tcPr>
            <w:tcW w:type="dxa" w:w="1700"/>
            <w:vAlign w:val="center"/>
          </w:tcPr>
          <w:p>
            <w:pPr>
              <w:spacing w:after="0" w:line="259" w:lineRule="auto"/>
              <w:jc w:val="left"/>
            </w:pPr>
            <w:r>
              <w:rPr>
                <w:rFonts w:ascii="Arial" w:hAnsi="Arial" w:cs="Arial"/>
                <w:color w:val="20262E"/>
                <w:sz w:val="17"/>
              </w:rPr>
              <w:t>Renk/kontrast</w:t>
            </w:r>
          </w:p>
        </w:tc>
        <w:tc>
          <w:tcPr>
            <w:tcW w:type="dxa" w:w="7660"/>
            <w:vAlign w:val="center"/>
          </w:tcPr>
          <w:p>
            <w:pPr>
              <w:spacing w:after="0" w:line="259" w:lineRule="auto"/>
              <w:jc w:val="left"/>
            </w:pPr>
            <w:r>
              <w:rPr>
                <w:rFonts w:ascii="Arial" w:hAnsi="Arial" w:cs="Arial"/>
                <w:color w:val="20262E"/>
                <w:sz w:val="17"/>
              </w:rPr>
              <w:t>Red flag ve başarı yalnız renkle anlatılmaz; WCAG 2.2 AA kontrast hedefi</w:t>
            </w:r>
          </w:p>
        </w:tc>
      </w:tr>
      <w:tr>
        <w:trPr>
          <w:cantSplit/>
        </w:trPr>
        <w:tc>
          <w:tcPr>
            <w:tcW w:type="dxa" w:w="1700"/>
            <w:vAlign w:val="center"/>
          </w:tcPr>
          <w:p>
            <w:pPr>
              <w:spacing w:after="0" w:line="259" w:lineRule="auto"/>
              <w:jc w:val="left"/>
            </w:pPr>
            <w:r>
              <w:rPr>
                <w:rFonts w:ascii="Arial" w:hAnsi="Arial" w:cs="Arial"/>
                <w:color w:val="20262E"/>
                <w:sz w:val="17"/>
              </w:rPr>
              <w:t>Zaman</w:t>
            </w:r>
          </w:p>
        </w:tc>
        <w:tc>
          <w:tcPr>
            <w:tcW w:type="dxa" w:w="7660"/>
            <w:vAlign w:val="center"/>
          </w:tcPr>
          <w:p>
            <w:pPr>
              <w:spacing w:after="0" w:line="259" w:lineRule="auto"/>
              <w:jc w:val="left"/>
            </w:pPr>
            <w:r>
              <w:rPr>
                <w:rFonts w:ascii="Arial" w:hAnsi="Arial" w:cs="Arial"/>
                <w:color w:val="20262E"/>
                <w:sz w:val="17"/>
              </w:rPr>
              <w:t>Sınav/pratik süreleri ayrılır; süre bitmeden uyarı ve izin verilen uzatma mekanizması</w:t>
            </w:r>
          </w:p>
        </w:tc>
      </w:tr>
      <w:tr>
        <w:trPr>
          <w:cantSplit/>
        </w:trPr>
        <w:tc>
          <w:tcPr>
            <w:tcW w:type="dxa" w:w="1700"/>
            <w:vAlign w:val="center"/>
          </w:tcPr>
          <w:p>
            <w:pPr>
              <w:spacing w:after="0" w:line="259" w:lineRule="auto"/>
              <w:jc w:val="left"/>
            </w:pPr>
            <w:r>
              <w:rPr>
                <w:rFonts w:ascii="Arial" w:hAnsi="Arial" w:cs="Arial"/>
                <w:color w:val="20262E"/>
                <w:sz w:val="17"/>
              </w:rPr>
              <w:t>Mobil</w:t>
            </w:r>
          </w:p>
        </w:tc>
        <w:tc>
          <w:tcPr>
            <w:tcW w:type="dxa" w:w="7660"/>
            <w:vAlign w:val="center"/>
          </w:tcPr>
          <w:p>
            <w:pPr>
              <w:spacing w:after="0" w:line="259" w:lineRule="auto"/>
              <w:jc w:val="left"/>
            </w:pPr>
            <w:r>
              <w:rPr>
                <w:rFonts w:ascii="Arial" w:hAnsi="Arial" w:cs="Arial"/>
                <w:color w:val="20262E"/>
                <w:sz w:val="17"/>
              </w:rPr>
              <w:t>Tek elle kullanılabilir ana aksiyonlar; büyük dokunma hedefi; yatay taşma yok; bağlantı kopunca taslak korunur</w:t>
            </w:r>
          </w:p>
        </w:tc>
      </w:tr>
      <w:tr>
        <w:trPr>
          <w:cantSplit/>
        </w:trPr>
        <w:tc>
          <w:tcPr>
            <w:tcW w:type="dxa" w:w="1700"/>
            <w:vAlign w:val="center"/>
          </w:tcPr>
          <w:p>
            <w:pPr>
              <w:spacing w:after="0" w:line="259" w:lineRule="auto"/>
              <w:jc w:val="left"/>
            </w:pPr>
            <w:r>
              <w:rPr>
                <w:rFonts w:ascii="Arial" w:hAnsi="Arial" w:cs="Arial"/>
                <w:color w:val="20262E"/>
                <w:sz w:val="17"/>
              </w:rPr>
              <w:t>Hata önleme</w:t>
            </w:r>
          </w:p>
        </w:tc>
        <w:tc>
          <w:tcPr>
            <w:tcW w:type="dxa" w:w="7660"/>
            <w:vAlign w:val="center"/>
          </w:tcPr>
          <w:p>
            <w:pPr>
              <w:spacing w:after="0" w:line="259" w:lineRule="auto"/>
              <w:jc w:val="left"/>
            </w:pPr>
            <w:r>
              <w:rPr>
                <w:rFonts w:ascii="Arial" w:hAnsi="Arial" w:cs="Arial"/>
                <w:color w:val="20262E"/>
                <w:sz w:val="17"/>
              </w:rPr>
              <w:t>Vaka bitirmede özet/teyit; geri döndürülebilir admin değişikliği; import dry-run</w:t>
            </w:r>
          </w:p>
        </w:tc>
      </w:tr>
      <w:tr>
        <w:trPr>
          <w:cantSplit/>
        </w:trPr>
        <w:tc>
          <w:tcPr>
            <w:tcW w:type="dxa" w:w="1700"/>
            <w:vAlign w:val="center"/>
          </w:tcPr>
          <w:p>
            <w:pPr>
              <w:spacing w:after="0" w:line="259" w:lineRule="auto"/>
              <w:jc w:val="left"/>
            </w:pPr>
            <w:r>
              <w:rPr>
                <w:rFonts w:ascii="Arial" w:hAnsi="Arial" w:cs="Arial"/>
                <w:color w:val="20262E"/>
                <w:sz w:val="17"/>
              </w:rPr>
              <w:t>Gerçek veri uyarısı</w:t>
            </w:r>
          </w:p>
        </w:tc>
        <w:tc>
          <w:tcPr>
            <w:tcW w:type="dxa" w:w="7660"/>
            <w:vAlign w:val="center"/>
          </w:tcPr>
          <w:p>
            <w:pPr>
              <w:spacing w:after="0" w:line="259" w:lineRule="auto"/>
              <w:jc w:val="left"/>
            </w:pPr>
            <w:r>
              <w:rPr>
                <w:rFonts w:ascii="Arial" w:hAnsi="Arial" w:cs="Arial"/>
                <w:color w:val="20262E"/>
                <w:sz w:val="17"/>
              </w:rPr>
              <w:t>Serbest metin alanlarında gerçek hasta bilgisi girmeme uyarısı ve politika; gerektiğinde pattern bazlı uyarı</w:t>
            </w:r>
          </w:p>
        </w:tc>
      </w:tr>
    </w:tbl>
    <w:p>
      <w:pPr>
        <w:spacing w:before="0" w:after="80" w:line="264" w:lineRule="auto"/>
      </w:pPr>
    </w:p>
    <w:p>
      <w:pPr>
        <w:spacing w:before="0" w:after="120" w:line="264" w:lineRule="auto"/>
      </w:pPr>
      <w:r>
        <w:rPr>
          <w:rFonts w:ascii="Arial" w:hAnsi="Arial" w:cs="Arial"/>
          <w:b/>
          <w:color w:val="5D6875"/>
          <w:sz w:val="17"/>
        </w:rPr>
        <w:t xml:space="preserve">Dayanak: </w:t>
      </w:r>
      <w:r>
        <w:rPr>
          <w:rFonts w:ascii="Arial" w:hAnsi="Arial" w:cs="Arial"/>
          <w:i/>
          <w:color w:val="5D6875"/>
          <w:sz w:val="17"/>
        </w:rPr>
        <w:t>W3C WCAG 2.2 [Kaynak 12].</w:t>
      </w:r>
    </w:p>
    <w:p>
      <w:pPr>
        <w:pStyle w:val="Heading2"/>
      </w:pPr>
      <w:r>
        <w:rPr>
          <w:rFonts w:ascii="Arial" w:hAnsi="Arial" w:cs="Arial"/>
          <w:b/>
          <w:color w:val="2E74B5"/>
          <w:sz w:val="26"/>
        </w:rPr>
        <w:t>4.14 P2 — Gizlilik, KVKK ve veri yaşam döngüsü</w:t>
      </w:r>
    </w:p>
    <w:p>
      <w:pPr>
        <w:spacing w:before="0" w:after="120" w:line="264" w:lineRule="auto"/>
      </w:pPr>
      <w:r>
        <w:rPr>
          <w:rFonts w:ascii="Arial" w:hAnsi="Arial" w:cs="Arial"/>
          <w:b w:val="0"/>
          <w:i w:val="0"/>
          <w:color w:val="20262E"/>
          <w:sz w:val="21"/>
        </w:rPr>
        <w:t>Sentetik vaka içeriği tek başına gerçek hasta verisi değildir; ancak öğrenci hesabı, performans, oturum ve öğretim üyesi yorumları kişisel veri niteliği taşıyabilir. Bu nedenle teknik güvenlik ile veri yaşam döngüsü birlikte tasarlanmalıdır.</w:t>
      </w:r>
    </w:p>
    <w:p>
      <w:pPr>
        <w:keepLines/>
        <w:numPr>
          <w:ilvl w:val="0"/>
          <w:numId w:val="90"/>
        </w:numPr>
        <w:spacing w:after="100" w:line="280" w:lineRule="auto"/>
      </w:pPr>
      <w:r>
        <w:rPr>
          <w:rFonts w:ascii="Arial" w:hAnsi="Arial" w:cs="Arial"/>
          <w:color w:val="20262E"/>
          <w:sz w:val="21"/>
        </w:rPr>
        <w:t>Veri envanteri: hangi alan neden toplanıyor, hukuki dayanak/amaç, erişen rol, saklama süresi, silme/anonimleştirme yöntemi ve dış aktarım.</w:t>
      </w:r>
    </w:p>
    <w:p>
      <w:pPr>
        <w:keepLines/>
        <w:numPr>
          <w:ilvl w:val="0"/>
          <w:numId w:val="90"/>
        </w:numPr>
        <w:spacing w:after="100" w:line="280" w:lineRule="auto"/>
      </w:pPr>
      <w:r>
        <w:rPr>
          <w:rFonts w:ascii="Arial" w:hAnsi="Arial" w:cs="Arial"/>
          <w:color w:val="20262E"/>
          <w:sz w:val="21"/>
        </w:rPr>
        <w:t>Aydınlatma ve ürün metni: kısa, anlaşılır ve katmanlı; eğitim simülasyonu sınırı ile gerçek hasta verisi girmeme kuralı açık.</w:t>
      </w:r>
    </w:p>
    <w:p>
      <w:pPr>
        <w:keepLines/>
        <w:numPr>
          <w:ilvl w:val="0"/>
          <w:numId w:val="90"/>
        </w:numPr>
        <w:spacing w:after="100" w:line="280" w:lineRule="auto"/>
      </w:pPr>
      <w:r>
        <w:rPr>
          <w:rFonts w:ascii="Arial" w:hAnsi="Arial" w:cs="Arial"/>
          <w:color w:val="20262E"/>
          <w:sz w:val="21"/>
        </w:rPr>
        <w:t>Retention: guest session, auth log, audit, deneme, öğretim üyesi yorumu, export ve backup için ayrı süre; backup silme zinciri ayrıca tanımlı.</w:t>
      </w:r>
    </w:p>
    <w:p>
      <w:pPr>
        <w:keepLines/>
        <w:numPr>
          <w:ilvl w:val="0"/>
          <w:numId w:val="90"/>
        </w:numPr>
        <w:spacing w:after="100" w:line="280" w:lineRule="auto"/>
      </w:pPr>
      <w:r>
        <w:rPr>
          <w:rFonts w:ascii="Arial" w:hAnsi="Arial" w:cs="Arial"/>
          <w:color w:val="20262E"/>
          <w:sz w:val="21"/>
        </w:rPr>
        <w:t>İlgili kişi talepleri: erişim, düzeltme, silme/anonimleştirme ve export için yetkili operasyon akışı; audit kaydı.</w:t>
      </w:r>
    </w:p>
    <w:p>
      <w:pPr>
        <w:keepLines/>
        <w:numPr>
          <w:ilvl w:val="0"/>
          <w:numId w:val="90"/>
        </w:numPr>
        <w:spacing w:after="100" w:line="280" w:lineRule="auto"/>
      </w:pPr>
      <w:r>
        <w:rPr>
          <w:rFonts w:ascii="Arial" w:hAnsi="Arial" w:cs="Arial"/>
          <w:color w:val="20262E"/>
          <w:sz w:val="21"/>
        </w:rPr>
        <w:t>Analitik: varsayılan olarak takma adlı/aggregate; küçük cohort'larda yeniden kimliklendirme riski nedeniyle minimum raporlama eşiği.</w:t>
      </w:r>
    </w:p>
    <w:p>
      <w:pPr>
        <w:keepLines/>
        <w:numPr>
          <w:ilvl w:val="0"/>
          <w:numId w:val="90"/>
        </w:numPr>
        <w:spacing w:after="100" w:line="280" w:lineRule="auto"/>
      </w:pPr>
      <w:r>
        <w:rPr>
          <w:rFonts w:ascii="Arial" w:hAnsi="Arial" w:cs="Arial"/>
          <w:color w:val="20262E"/>
          <w:sz w:val="21"/>
        </w:rPr>
        <w:t>Harici AI ve e-posta sağlayıcıları: veri akış diyagramı, saklama, yurt dışı aktarım ve sözleşme değerlendirmesi; secret değil yönetim kararı olarak kayıt.</w:t>
      </w:r>
    </w:p>
    <w:tbl>
      <w:tblPr>
        <w:tblW w:type="dxa" w:w="9360"/>
        <w:jc w:val="left"/>
        <w:tblLayout w:type="fixed"/>
        <w:tblLook w:firstColumn="1" w:firstRow="1" w:lastColumn="0" w:lastRow="0" w:noHBand="0" w:noVBand="1" w:val="04A0"/>
        <w:tblInd w:w="120" w:type="dxa"/>
        <w:tblBorders>
          <w:top w:val="single" w:sz="9" w:space="0" w:color="7A5A00"/>
          <w:left w:val="single" w:sz="9" w:space="0" w:color="7A5A00"/>
          <w:bottom w:val="single" w:sz="9" w:space="0" w:color="7A5A00"/>
          <w:right w:val="single" w:sz="9" w:space="0" w:color="7A5A00"/>
        </w:tblBorders>
      </w:tblPr>
      <w:tblGrid>
        <w:gridCol w:w="9360"/>
      </w:tblGrid>
      <w:tr>
        <w:trPr>
          <w:cantSplit/>
        </w:trPr>
        <w:tc>
          <w:tcPr>
            <w:tcW w:type="dxa" w:w="9360"/>
            <w:tcMar>
              <w:top w:w="80" w:type="dxa"/>
              <w:bottom w:w="80" w:type="dxa"/>
              <w:start w:w="120" w:type="dxa"/>
              <w:end w:w="120" w:type="dxa"/>
            </w:tcMar>
            <w:shd w:fill="FFF7DF" w:val="clear"/>
          </w:tcPr>
          <w:p>
            <w:pPr>
              <w:keepNext/>
              <w:spacing w:after="60"/>
            </w:pPr>
            <w:r>
              <w:rPr>
                <w:rFonts w:ascii="Arial" w:hAnsi="Arial" w:cs="Arial"/>
                <w:b/>
                <w:color w:val="7A5A00"/>
                <w:sz w:val="21"/>
              </w:rPr>
              <w:t>Hukuki not</w:t>
            </w:r>
          </w:p>
          <w:p>
            <w:pPr>
              <w:keepLines/>
              <w:spacing w:after="0" w:line="264" w:lineRule="auto"/>
            </w:pPr>
            <w:r>
              <w:rPr>
                <w:rFonts w:ascii="Arial" w:hAnsi="Arial" w:cs="Arial"/>
                <w:color w:val="20262E"/>
                <w:sz w:val="20"/>
              </w:rPr>
              <w:t>Bu bölüm hukuk görüşü değildir. Uygulamanın üniversite, kurum, kullanıcı yaşı ve sağlayıcılarına göre KVKK yükümlülükleri yetkili hukuk/uyum sorumlusu tarafından doğrulanmalıdır.</w:t>
            </w:r>
          </w:p>
        </w:tc>
      </w:tr>
    </w:tbl>
    <w:p>
      <w:pPr>
        <w:spacing w:before="0" w:after="80" w:line="264" w:lineRule="auto"/>
      </w:pPr>
    </w:p>
    <w:p>
      <w:pPr>
        <w:spacing w:before="0" w:after="120" w:line="264" w:lineRule="auto"/>
      </w:pPr>
      <w:r>
        <w:rPr>
          <w:rFonts w:ascii="Arial" w:hAnsi="Arial" w:cs="Arial"/>
          <w:b/>
          <w:color w:val="5D6875"/>
          <w:sz w:val="17"/>
        </w:rPr>
        <w:t xml:space="preserve">Dayanak: </w:t>
      </w:r>
      <w:r>
        <w:rPr>
          <w:rFonts w:ascii="Arial" w:hAnsi="Arial" w:cs="Arial"/>
          <w:i/>
          <w:color w:val="5D6875"/>
          <w:sz w:val="17"/>
        </w:rPr>
        <w:t>KVKK özel nitelikli veri ve kamu/üniversite veri güvenliği rehberleri [Kaynak 20-22].</w:t>
      </w:r>
    </w:p>
    <w:p>
      <w:pPr>
        <w:pStyle w:val="Heading1"/>
      </w:pPr>
      <w:r>
        <w:rPr>
          <w:rFonts w:ascii="Arial" w:hAnsi="Arial" w:cs="Arial"/>
          <w:b/>
          <w:color w:val="2E74B5"/>
          <w:sz w:val="32"/>
        </w:rPr>
        <w:t>5. Uygulama yol haritası</w:t>
      </w:r>
    </w:p>
    <w:p>
      <w:pPr>
        <w:spacing w:before="0" w:after="120" w:line="264" w:lineRule="auto"/>
      </w:pPr>
      <w:r>
        <w:rPr>
          <w:rFonts w:ascii="Arial" w:hAnsi="Arial" w:cs="Arial"/>
          <w:b w:val="0"/>
          <w:i w:val="0"/>
          <w:color w:val="20262E"/>
          <w:sz w:val="21"/>
        </w:rPr>
        <w:t>Aşağıdaki plan küçük bir çekirdek ekip (yaklaşık 3-4 yazılımcı, part-time DevOps ve klinik reviewer) varsayımıyla göreli sıralamadır. Süreler taahhüt değil; repository incelemesi ve mevcut operasyon yüküyle yeniden tahmin edilmelidir.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200"/>
        <w:gridCol w:w="1800"/>
        <w:gridCol w:w="4680"/>
        <w:gridCol w:w="1680"/>
      </w:tblGrid>
      <w:tr>
        <w:trPr>
          <w:tblHeader w:val="true"/>
        </w:trPr>
        <w:tc>
          <w:tcPr>
            <w:tcW w:type="dxa" w:w="12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6"/>
              </w:rPr>
              <w:t>Dönem</w:t>
            </w:r>
          </w:p>
        </w:tc>
        <w:tc>
          <w:tcPr>
            <w:tcW w:type="dxa" w:w="18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Tema</w:t>
            </w:r>
          </w:p>
        </w:tc>
        <w:tc>
          <w:tcPr>
            <w:tcW w:type="dxa" w:w="468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Teslimatlar</w:t>
            </w:r>
          </w:p>
        </w:tc>
        <w:tc>
          <w:tcPr>
            <w:tcW w:type="dxa" w:w="168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Çıkış sonucu</w:t>
            </w:r>
          </w:p>
        </w:tc>
      </w:tr>
      <w:tr>
        <w:trPr>
          <w:cantSplit/>
        </w:trPr>
        <w:tc>
          <w:tcPr>
            <w:tcW w:type="dxa" w:w="1200"/>
            <w:vAlign w:val="center"/>
          </w:tcPr>
          <w:p>
            <w:pPr>
              <w:spacing w:after="0" w:line="259" w:lineRule="auto"/>
              <w:jc w:val="center"/>
            </w:pPr>
            <w:r>
              <w:rPr>
                <w:rFonts w:ascii="Arial" w:hAnsi="Arial" w:cs="Arial"/>
                <w:color w:val="20262E"/>
                <w:sz w:val="16"/>
              </w:rPr>
              <w:t>0-2 hafta</w:t>
            </w:r>
          </w:p>
        </w:tc>
        <w:tc>
          <w:tcPr>
            <w:tcW w:type="dxa" w:w="1800"/>
            <w:vAlign w:val="center"/>
          </w:tcPr>
          <w:p>
            <w:pPr>
              <w:spacing w:after="0" w:line="259" w:lineRule="auto"/>
              <w:jc w:val="left"/>
            </w:pPr>
            <w:r>
              <w:rPr>
                <w:rFonts w:ascii="Arial" w:hAnsi="Arial" w:cs="Arial"/>
                <w:color w:val="20262E"/>
                <w:sz w:val="16"/>
              </w:rPr>
              <w:t>Temel görünürlük ve güvenlik ağı</w:t>
            </w:r>
          </w:p>
        </w:tc>
        <w:tc>
          <w:tcPr>
            <w:tcW w:type="dxa" w:w="4680"/>
            <w:vAlign w:val="center"/>
          </w:tcPr>
          <w:p>
            <w:pPr>
              <w:spacing w:after="0" w:line="259" w:lineRule="auto"/>
              <w:jc w:val="left"/>
            </w:pPr>
            <w:r>
              <w:rPr>
                <w:rFonts w:ascii="Arial" w:hAnsi="Arial" w:cs="Arial"/>
                <w:color w:val="20262E"/>
                <w:sz w:val="16"/>
              </w:rPr>
              <w:t>DB/migration envanteri; backup doğrulama; health iskeleti; OTel temel log/metric; P0 test planı</w:t>
            </w:r>
          </w:p>
        </w:tc>
        <w:tc>
          <w:tcPr>
            <w:tcW w:type="dxa" w:w="1680"/>
            <w:vAlign w:val="center"/>
          </w:tcPr>
          <w:p>
            <w:pPr>
              <w:spacing w:after="0" w:line="259" w:lineRule="auto"/>
              <w:jc w:val="left"/>
            </w:pPr>
            <w:r>
              <w:rPr>
                <w:rFonts w:ascii="Arial" w:hAnsi="Arial" w:cs="Arial"/>
                <w:color w:val="20262E"/>
                <w:sz w:val="16"/>
              </w:rPr>
              <w:t>Cutover'a hazır staging</w:t>
            </w:r>
          </w:p>
        </w:tc>
      </w:tr>
      <w:tr>
        <w:trPr>
          <w:cantSplit/>
        </w:trPr>
        <w:tc>
          <w:tcPr>
            <w:tcW w:type="dxa" w:w="1200"/>
            <w:vAlign w:val="center"/>
          </w:tcPr>
          <w:p>
            <w:pPr>
              <w:spacing w:after="0" w:line="259" w:lineRule="auto"/>
              <w:jc w:val="center"/>
            </w:pPr>
            <w:r>
              <w:rPr>
                <w:rFonts w:ascii="Arial" w:hAnsi="Arial" w:cs="Arial"/>
                <w:color w:val="20262E"/>
                <w:sz w:val="16"/>
              </w:rPr>
              <w:t>3-6 hafta</w:t>
            </w:r>
          </w:p>
        </w:tc>
        <w:tc>
          <w:tcPr>
            <w:tcW w:type="dxa" w:w="1800"/>
            <w:vAlign w:val="center"/>
          </w:tcPr>
          <w:p>
            <w:pPr>
              <w:spacing w:after="0" w:line="259" w:lineRule="auto"/>
              <w:jc w:val="left"/>
            </w:pPr>
            <w:r>
              <w:rPr>
                <w:rFonts w:ascii="Arial" w:hAnsi="Arial" w:cs="Arial"/>
                <w:color w:val="20262E"/>
                <w:sz w:val="16"/>
              </w:rPr>
              <w:t>Kimlik canary</w:t>
            </w:r>
          </w:p>
        </w:tc>
        <w:tc>
          <w:tcPr>
            <w:tcW w:type="dxa" w:w="4680"/>
            <w:vAlign w:val="center"/>
          </w:tcPr>
          <w:p>
            <w:pPr>
              <w:spacing w:after="0" w:line="259" w:lineRule="auto"/>
              <w:jc w:val="left"/>
            </w:pPr>
            <w:r>
              <w:rPr>
                <w:rFonts w:ascii="Arial" w:hAnsi="Arial" w:cs="Arial"/>
                <w:color w:val="20262E"/>
                <w:sz w:val="16"/>
              </w:rPr>
              <w:t>UserStore; shadow read; session tablosu; rate limit; reset/doğrulama; admin MFA; Playwright auth</w:t>
            </w:r>
          </w:p>
        </w:tc>
        <w:tc>
          <w:tcPr>
            <w:tcW w:type="dxa" w:w="1680"/>
            <w:vAlign w:val="center"/>
          </w:tcPr>
          <w:p>
            <w:pPr>
              <w:spacing w:after="0" w:line="259" w:lineRule="auto"/>
              <w:jc w:val="left"/>
            </w:pPr>
            <w:r>
              <w:rPr>
                <w:rFonts w:ascii="Arial" w:hAnsi="Arial" w:cs="Arial"/>
                <w:color w:val="20262E"/>
                <w:sz w:val="16"/>
              </w:rPr>
              <w:t>Düşük riskli PostgreSQL auth</w:t>
            </w:r>
          </w:p>
        </w:tc>
      </w:tr>
      <w:tr>
        <w:trPr>
          <w:cantSplit/>
        </w:trPr>
        <w:tc>
          <w:tcPr>
            <w:tcW w:type="dxa" w:w="1200"/>
            <w:vAlign w:val="center"/>
          </w:tcPr>
          <w:p>
            <w:pPr>
              <w:spacing w:after="0" w:line="259" w:lineRule="auto"/>
              <w:jc w:val="center"/>
            </w:pPr>
            <w:r>
              <w:rPr>
                <w:rFonts w:ascii="Arial" w:hAnsi="Arial" w:cs="Arial"/>
                <w:color w:val="20262E"/>
                <w:sz w:val="16"/>
              </w:rPr>
              <w:t>7-12 hafta</w:t>
            </w:r>
          </w:p>
        </w:tc>
        <w:tc>
          <w:tcPr>
            <w:tcW w:type="dxa" w:w="1800"/>
            <w:vAlign w:val="center"/>
          </w:tcPr>
          <w:p>
            <w:pPr>
              <w:spacing w:after="0" w:line="259" w:lineRule="auto"/>
              <w:jc w:val="left"/>
            </w:pPr>
            <w:r>
              <w:rPr>
                <w:rFonts w:ascii="Arial" w:hAnsi="Arial" w:cs="Arial"/>
                <w:color w:val="20262E"/>
                <w:sz w:val="16"/>
              </w:rPr>
              <w:t>Tam P0/P1 cutover</w:t>
            </w:r>
          </w:p>
        </w:tc>
        <w:tc>
          <w:tcPr>
            <w:tcW w:type="dxa" w:w="4680"/>
            <w:vAlign w:val="center"/>
          </w:tcPr>
          <w:p>
            <w:pPr>
              <w:spacing w:after="0" w:line="259" w:lineRule="auto"/>
              <w:jc w:val="left"/>
            </w:pPr>
            <w:r>
              <w:rPr>
                <w:rFonts w:ascii="Arial" w:hAnsi="Arial" w:cs="Arial"/>
                <w:color w:val="20262E"/>
                <w:sz w:val="16"/>
              </w:rPr>
              <w:t>Tüm auth PostgreSQL; release migration; restore tatbikatı; SLO/alarm; rol negatif E2E</w:t>
            </w:r>
          </w:p>
        </w:tc>
        <w:tc>
          <w:tcPr>
            <w:tcW w:type="dxa" w:w="1680"/>
            <w:vAlign w:val="center"/>
          </w:tcPr>
          <w:p>
            <w:pPr>
              <w:spacing w:after="0" w:line="259" w:lineRule="auto"/>
              <w:jc w:val="left"/>
            </w:pPr>
            <w:r>
              <w:rPr>
                <w:rFonts w:ascii="Arial" w:hAnsi="Arial" w:cs="Arial"/>
                <w:color w:val="20262E"/>
                <w:sz w:val="16"/>
              </w:rPr>
              <w:t>Üretim temeli tamam</w:t>
            </w:r>
          </w:p>
        </w:tc>
      </w:tr>
      <w:tr>
        <w:trPr>
          <w:cantSplit/>
        </w:trPr>
        <w:tc>
          <w:tcPr>
            <w:tcW w:type="dxa" w:w="1200"/>
            <w:vAlign w:val="center"/>
          </w:tcPr>
          <w:p>
            <w:pPr>
              <w:spacing w:after="0" w:line="259" w:lineRule="auto"/>
              <w:jc w:val="center"/>
            </w:pPr>
            <w:r>
              <w:rPr>
                <w:rFonts w:ascii="Arial" w:hAnsi="Arial" w:cs="Arial"/>
                <w:color w:val="20262E"/>
                <w:sz w:val="16"/>
              </w:rPr>
              <w:t>3-6 ay</w:t>
            </w:r>
          </w:p>
        </w:tc>
        <w:tc>
          <w:tcPr>
            <w:tcW w:type="dxa" w:w="1800"/>
            <w:vAlign w:val="center"/>
          </w:tcPr>
          <w:p>
            <w:pPr>
              <w:spacing w:after="0" w:line="259" w:lineRule="auto"/>
              <w:jc w:val="left"/>
            </w:pPr>
            <w:r>
              <w:rPr>
                <w:rFonts w:ascii="Arial" w:hAnsi="Arial" w:cs="Arial"/>
                <w:color w:val="20262E"/>
                <w:sz w:val="16"/>
              </w:rPr>
              <w:t>Ürün ve içerik</w:t>
            </w:r>
          </w:p>
        </w:tc>
        <w:tc>
          <w:tcPr>
            <w:tcW w:type="dxa" w:w="4680"/>
            <w:vAlign w:val="center"/>
          </w:tcPr>
          <w:p>
            <w:pPr>
              <w:spacing w:after="0" w:line="259" w:lineRule="auto"/>
              <w:jc w:val="left"/>
            </w:pPr>
            <w:r>
              <w:rPr>
                <w:rFonts w:ascii="Arial" w:hAnsi="Arial" w:cs="Arial"/>
                <w:color w:val="20262E"/>
                <w:sz w:val="16"/>
              </w:rPr>
              <w:t>Deneme/vaka DB migration; cohort/görev; rubric lock; adaptive öneri v1; WCAG düzeltmeleri; LTI pilot</w:t>
            </w:r>
          </w:p>
        </w:tc>
        <w:tc>
          <w:tcPr>
            <w:tcW w:type="dxa" w:w="1680"/>
            <w:vAlign w:val="center"/>
          </w:tcPr>
          <w:p>
            <w:pPr>
              <w:spacing w:after="0" w:line="259" w:lineRule="auto"/>
              <w:jc w:val="left"/>
            </w:pPr>
            <w:r>
              <w:rPr>
                <w:rFonts w:ascii="Arial" w:hAnsi="Arial" w:cs="Arial"/>
                <w:color w:val="20262E"/>
                <w:sz w:val="16"/>
              </w:rPr>
              <w:t>Kurumsal eğitim ürünü</w:t>
            </w:r>
          </w:p>
        </w:tc>
      </w:tr>
      <w:tr>
        <w:trPr>
          <w:cantSplit/>
        </w:trPr>
        <w:tc>
          <w:tcPr>
            <w:tcW w:type="dxa" w:w="1200"/>
            <w:vAlign w:val="center"/>
          </w:tcPr>
          <w:p>
            <w:pPr>
              <w:spacing w:after="0" w:line="259" w:lineRule="auto"/>
              <w:jc w:val="center"/>
            </w:pPr>
            <w:r>
              <w:rPr>
                <w:rFonts w:ascii="Arial" w:hAnsi="Arial" w:cs="Arial"/>
                <w:color w:val="20262E"/>
                <w:sz w:val="16"/>
              </w:rPr>
              <w:t>6-12 ay</w:t>
            </w:r>
          </w:p>
        </w:tc>
        <w:tc>
          <w:tcPr>
            <w:tcW w:type="dxa" w:w="1800"/>
            <w:vAlign w:val="center"/>
          </w:tcPr>
          <w:p>
            <w:pPr>
              <w:spacing w:after="0" w:line="259" w:lineRule="auto"/>
              <w:jc w:val="left"/>
            </w:pPr>
            <w:r>
              <w:rPr>
                <w:rFonts w:ascii="Arial" w:hAnsi="Arial" w:cs="Arial"/>
                <w:color w:val="20262E"/>
                <w:sz w:val="16"/>
              </w:rPr>
              <w:t>İleri yetenek</w:t>
            </w:r>
          </w:p>
        </w:tc>
        <w:tc>
          <w:tcPr>
            <w:tcW w:type="dxa" w:w="4680"/>
            <w:vAlign w:val="center"/>
          </w:tcPr>
          <w:p>
            <w:pPr>
              <w:spacing w:after="0" w:line="259" w:lineRule="auto"/>
              <w:jc w:val="left"/>
            </w:pPr>
            <w:r>
              <w:rPr>
                <w:rFonts w:ascii="Arial" w:hAnsi="Arial" w:cs="Arial"/>
                <w:color w:val="20262E"/>
                <w:sz w:val="16"/>
              </w:rPr>
              <w:t>AI sanal hasta pilotu; MIMIC izole ETL; psikometri; çoklu replica; ileri analitik</w:t>
            </w:r>
          </w:p>
        </w:tc>
        <w:tc>
          <w:tcPr>
            <w:tcW w:type="dxa" w:w="1680"/>
            <w:vAlign w:val="center"/>
          </w:tcPr>
          <w:p>
            <w:pPr>
              <w:spacing w:after="0" w:line="259" w:lineRule="auto"/>
              <w:jc w:val="left"/>
            </w:pPr>
            <w:r>
              <w:rPr>
                <w:rFonts w:ascii="Arial" w:hAnsi="Arial" w:cs="Arial"/>
                <w:color w:val="20262E"/>
                <w:sz w:val="16"/>
              </w:rPr>
              <w:t>Kontrollü farklılaşma</w:t>
            </w:r>
          </w:p>
        </w:tc>
      </w:tr>
    </w:tbl>
    <w:p>
      <w:pPr>
        <w:spacing w:before="0" w:after="80" w:line="264" w:lineRule="auto"/>
      </w:pPr>
    </w:p>
    <w:p>
      <w:pPr>
        <w:pStyle w:val="Heading2"/>
      </w:pPr>
      <w:r>
        <w:rPr>
          <w:rFonts w:ascii="Arial" w:hAnsi="Arial" w:cs="Arial"/>
          <w:b/>
          <w:color w:val="2E74B5"/>
          <w:sz w:val="26"/>
        </w:rPr>
        <w:t>Bağımlılık haritası</w:t>
      </w:r>
    </w:p>
    <w:p>
      <w:pPr>
        <w:keepLines/>
        <w:numPr>
          <w:ilvl w:val="0"/>
          <w:numId w:val="90"/>
        </w:numPr>
        <w:spacing w:after="100" w:line="280" w:lineRule="auto"/>
      </w:pPr>
      <w:r>
        <w:rPr>
          <w:rFonts w:ascii="Arial" w:hAnsi="Arial" w:cs="Arial"/>
          <w:color w:val="20262E"/>
          <w:sz w:val="21"/>
        </w:rPr>
        <w:t>PostgreSQL auth cutover → merkezi session → güvenli çoklu replica</w:t>
      </w:r>
    </w:p>
    <w:p>
      <w:pPr>
        <w:keepLines/>
        <w:numPr>
          <w:ilvl w:val="0"/>
          <w:numId w:val="90"/>
        </w:numPr>
        <w:spacing w:after="100" w:line="280" w:lineRule="auto"/>
      </w:pPr>
      <w:r>
        <w:rPr>
          <w:rFonts w:ascii="Arial" w:hAnsi="Arial" w:cs="Arial"/>
          <w:color w:val="20262E"/>
          <w:sz w:val="21"/>
        </w:rPr>
        <w:t>Release migration + readiness → otomatik deploy güveni</w:t>
      </w:r>
    </w:p>
    <w:p>
      <w:pPr>
        <w:keepLines/>
        <w:numPr>
          <w:ilvl w:val="0"/>
          <w:numId w:val="90"/>
        </w:numPr>
        <w:spacing w:after="100" w:line="280" w:lineRule="auto"/>
      </w:pPr>
      <w:r>
        <w:rPr>
          <w:rFonts w:ascii="Arial" w:hAnsi="Arial" w:cs="Arial"/>
          <w:color w:val="20262E"/>
          <w:sz w:val="21"/>
        </w:rPr>
        <w:t>Attempt/vaka DB migration → cohort analitiği → adaptive öneri</w:t>
      </w:r>
    </w:p>
    <w:p>
      <w:pPr>
        <w:keepLines/>
        <w:numPr>
          <w:ilvl w:val="0"/>
          <w:numId w:val="90"/>
        </w:numPr>
        <w:spacing w:after="100" w:line="280" w:lineRule="auto"/>
      </w:pPr>
      <w:r>
        <w:rPr>
          <w:rFonts w:ascii="Arial" w:hAnsi="Arial" w:cs="Arial"/>
          <w:color w:val="20262E"/>
          <w:sz w:val="21"/>
        </w:rPr>
        <w:t>Sürümlü vaka/rubrik → güvenilir geçmiş skor → psikometri</w:t>
      </w:r>
    </w:p>
    <w:p>
      <w:pPr>
        <w:keepLines/>
        <w:numPr>
          <w:ilvl w:val="0"/>
          <w:numId w:val="90"/>
        </w:numPr>
        <w:spacing w:after="100" w:line="280" w:lineRule="auto"/>
      </w:pPr>
      <w:r>
        <w:rPr>
          <w:rFonts w:ascii="Arial" w:hAnsi="Arial" w:cs="Arial"/>
          <w:color w:val="20262E"/>
          <w:sz w:val="21"/>
        </w:rPr>
        <w:t>OTel + SLO → performans baseline → kapasite ve maliyet optimizasyonu</w:t>
      </w:r>
    </w:p>
    <w:p>
      <w:pPr>
        <w:keepLines/>
        <w:numPr>
          <w:ilvl w:val="0"/>
          <w:numId w:val="90"/>
        </w:numPr>
        <w:spacing w:after="100" w:line="280" w:lineRule="auto"/>
      </w:pPr>
      <w:r>
        <w:rPr>
          <w:rFonts w:ascii="Arial" w:hAnsi="Arial" w:cs="Arial"/>
          <w:color w:val="20262E"/>
          <w:sz w:val="21"/>
        </w:rPr>
        <w:t>İçerik yaşam döngüsü → AI taslak desteği → kontrollü sanal hasta</w:t>
      </w:r>
    </w:p>
    <w:p>
      <w:pPr>
        <w:keepLines/>
        <w:numPr>
          <w:ilvl w:val="0"/>
          <w:numId w:val="90"/>
        </w:numPr>
        <w:spacing w:after="100" w:line="280" w:lineRule="auto"/>
      </w:pPr>
      <w:r>
        <w:rPr>
          <w:rFonts w:ascii="Arial" w:hAnsi="Arial" w:cs="Arial"/>
          <w:color w:val="20262E"/>
          <w:sz w:val="21"/>
        </w:rPr>
        <w:t>MIMIC veri yönetişimi → izole ETL → uygun eğitim türevi</w:t>
      </w:r>
    </w:p>
    <w:p>
      <w:pPr>
        <w:pStyle w:val="Heading2"/>
      </w:pPr>
      <w:r>
        <w:rPr>
          <w:rFonts w:ascii="Arial" w:hAnsi="Arial" w:cs="Arial"/>
          <w:b/>
          <w:color w:val="2E74B5"/>
          <w:sz w:val="26"/>
        </w:rPr>
        <w:t>Ekip çalışma biçimi</w:t>
      </w:r>
    </w:p>
    <w:p>
      <w:pPr>
        <w:keepLines/>
        <w:numPr>
          <w:ilvl w:val="0"/>
          <w:numId w:val="90"/>
        </w:numPr>
        <w:spacing w:after="100" w:line="280" w:lineRule="auto"/>
      </w:pPr>
      <w:r>
        <w:rPr>
          <w:rFonts w:ascii="Arial" w:hAnsi="Arial" w:cs="Arial"/>
          <w:color w:val="20262E"/>
          <w:sz w:val="21"/>
        </w:rPr>
        <w:t>Her epic için teknik owner, klinik owner ve kabul eden rol açıkça atanmalı.</w:t>
      </w:r>
    </w:p>
    <w:p>
      <w:pPr>
        <w:keepLines/>
        <w:numPr>
          <w:ilvl w:val="0"/>
          <w:numId w:val="90"/>
        </w:numPr>
        <w:spacing w:after="100" w:line="280" w:lineRule="auto"/>
      </w:pPr>
      <w:r>
        <w:rPr>
          <w:rFonts w:ascii="Arial" w:hAnsi="Arial" w:cs="Arial"/>
          <w:color w:val="20262E"/>
          <w:sz w:val="21"/>
        </w:rPr>
        <w:t>Mimari kararlar kısa ADR ile kayıt altına alınmalı: JSONB sınırı, rate-limit store, session modeli, LTI yaklaşımı, MIMIC-III/IV kararı.</w:t>
      </w:r>
    </w:p>
    <w:p>
      <w:pPr>
        <w:keepLines/>
        <w:numPr>
          <w:ilvl w:val="0"/>
          <w:numId w:val="90"/>
        </w:numPr>
        <w:spacing w:after="100" w:line="280" w:lineRule="auto"/>
      </w:pPr>
      <w:r>
        <w:rPr>
          <w:rFonts w:ascii="Arial" w:hAnsi="Arial" w:cs="Arial"/>
          <w:color w:val="20262E"/>
          <w:sz w:val="21"/>
        </w:rPr>
        <w:t>Her release'te migration, rollback, monitoring ve privacy etkisi PR şablonunda zorunlu alan olmalı.</w:t>
      </w:r>
    </w:p>
    <w:p>
      <w:pPr>
        <w:keepLines/>
        <w:numPr>
          <w:ilvl w:val="0"/>
          <w:numId w:val="90"/>
        </w:numPr>
        <w:spacing w:after="100" w:line="280" w:lineRule="auto"/>
      </w:pPr>
      <w:r>
        <w:rPr>
          <w:rFonts w:ascii="Arial" w:hAnsi="Arial" w:cs="Arial"/>
          <w:color w:val="20262E"/>
          <w:sz w:val="21"/>
        </w:rPr>
        <w:t>Klinik kurallar kod ve vaka sürümüyle birlikte test fixture'a bağlanmalı; sessiz kural değişikliği yapılmamalı.</w:t>
      </w:r>
    </w:p>
    <w:p>
      <w:pPr>
        <w:pStyle w:val="Heading1"/>
      </w:pPr>
      <w:r>
        <w:rPr>
          <w:rFonts w:ascii="Arial" w:hAnsi="Arial" w:cs="Arial"/>
          <w:b/>
          <w:color w:val="2E74B5"/>
          <w:sz w:val="32"/>
        </w:rPr>
        <w:t>6. KPI, SLI ve SLO seti</w:t>
      </w:r>
    </w:p>
    <w:p>
      <w:pPr>
        <w:spacing w:before="0" w:after="120" w:line="264" w:lineRule="auto"/>
      </w:pPr>
      <w:r>
        <w:rPr>
          <w:rFonts w:ascii="Arial" w:hAnsi="Arial" w:cs="Arial"/>
          <w:b w:val="0"/>
          <w:i w:val="0"/>
          <w:color w:val="20262E"/>
          <w:sz w:val="21"/>
        </w:rPr>
        <w:t>Hedefler başlangıç önerisidir. İlk dört hafta yalnızca baseline toplanmalı; ardından kullanıcı sayısı, ders takvimi ve altyapı bütçesine göre kesinleştirilmelidir.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2300"/>
        <w:gridCol w:w="4500"/>
        <w:gridCol w:w="2560"/>
      </w:tblGrid>
      <w:tr>
        <w:trPr>
          <w:tblHeader w:val="true"/>
        </w:trPr>
        <w:tc>
          <w:tcPr>
            <w:tcW w:type="dxa" w:w="2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Gösterge</w:t>
            </w:r>
          </w:p>
        </w:tc>
        <w:tc>
          <w:tcPr>
            <w:tcW w:type="dxa" w:w="45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Tanım</w:t>
            </w:r>
          </w:p>
        </w:tc>
        <w:tc>
          <w:tcPr>
            <w:tcW w:type="dxa" w:w="256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7"/>
              </w:rPr>
              <w:t>Başlangıç hedefi</w:t>
            </w:r>
          </w:p>
        </w:tc>
      </w:tr>
      <w:tr>
        <w:trPr>
          <w:cantSplit/>
        </w:trPr>
        <w:tc>
          <w:tcPr>
            <w:tcW w:type="dxa" w:w="2300"/>
            <w:vAlign w:val="center"/>
          </w:tcPr>
          <w:p>
            <w:pPr>
              <w:spacing w:after="0" w:line="259" w:lineRule="auto"/>
              <w:jc w:val="left"/>
            </w:pPr>
            <w:r>
              <w:rPr>
                <w:rFonts w:ascii="Arial" w:hAnsi="Arial" w:cs="Arial"/>
                <w:color w:val="20262E"/>
                <w:sz w:val="17"/>
              </w:rPr>
              <w:t>Aylık kullanılabilirlik</w:t>
            </w:r>
          </w:p>
        </w:tc>
        <w:tc>
          <w:tcPr>
            <w:tcW w:type="dxa" w:w="4500"/>
            <w:vAlign w:val="center"/>
          </w:tcPr>
          <w:p>
            <w:pPr>
              <w:spacing w:after="0" w:line="259" w:lineRule="auto"/>
              <w:jc w:val="left"/>
            </w:pPr>
            <w:r>
              <w:rPr>
                <w:rFonts w:ascii="Arial" w:hAnsi="Arial" w:cs="Arial"/>
                <w:color w:val="20262E"/>
                <w:sz w:val="17"/>
              </w:rPr>
              <w:t>Başarılı hazır istek / toplam uygun istek</w:t>
            </w:r>
          </w:p>
        </w:tc>
        <w:tc>
          <w:tcPr>
            <w:tcW w:type="dxa" w:w="2560"/>
            <w:vAlign w:val="center"/>
          </w:tcPr>
          <w:p>
            <w:pPr>
              <w:spacing w:after="0" w:line="259" w:lineRule="auto"/>
              <w:jc w:val="center"/>
            </w:pPr>
            <w:r>
              <w:rPr>
                <w:rFonts w:ascii="Arial" w:hAnsi="Arial" w:cs="Arial"/>
                <w:color w:val="20262E"/>
                <w:sz w:val="17"/>
              </w:rPr>
              <w:t>≥ %99,9</w:t>
            </w:r>
          </w:p>
        </w:tc>
      </w:tr>
      <w:tr>
        <w:trPr>
          <w:cantSplit/>
        </w:trPr>
        <w:tc>
          <w:tcPr>
            <w:tcW w:type="dxa" w:w="2300"/>
            <w:vAlign w:val="center"/>
          </w:tcPr>
          <w:p>
            <w:pPr>
              <w:spacing w:after="0" w:line="259" w:lineRule="auto"/>
              <w:jc w:val="left"/>
            </w:pPr>
            <w:r>
              <w:rPr>
                <w:rFonts w:ascii="Arial" w:hAnsi="Arial" w:cs="Arial"/>
                <w:color w:val="20262E"/>
                <w:sz w:val="17"/>
              </w:rPr>
              <w:t>API gecikmesi</w:t>
            </w:r>
          </w:p>
        </w:tc>
        <w:tc>
          <w:tcPr>
            <w:tcW w:type="dxa" w:w="4500"/>
            <w:vAlign w:val="center"/>
          </w:tcPr>
          <w:p>
            <w:pPr>
              <w:spacing w:after="0" w:line="259" w:lineRule="auto"/>
              <w:jc w:val="left"/>
            </w:pPr>
            <w:r>
              <w:rPr>
                <w:rFonts w:ascii="Arial" w:hAnsi="Arial" w:cs="Arial"/>
                <w:color w:val="20262E"/>
                <w:sz w:val="17"/>
              </w:rPr>
              <w:t>Kimlikli ana route p95</w:t>
            </w:r>
          </w:p>
        </w:tc>
        <w:tc>
          <w:tcPr>
            <w:tcW w:type="dxa" w:w="2560"/>
            <w:vAlign w:val="center"/>
          </w:tcPr>
          <w:p>
            <w:pPr>
              <w:spacing w:after="0" w:line="259" w:lineRule="auto"/>
              <w:jc w:val="center"/>
            </w:pPr>
            <w:r>
              <w:rPr>
                <w:rFonts w:ascii="Arial" w:hAnsi="Arial" w:cs="Arial"/>
                <w:color w:val="20262E"/>
                <w:sz w:val="17"/>
              </w:rPr>
              <w:t>&lt; 500 ms</w:t>
            </w:r>
          </w:p>
        </w:tc>
      </w:tr>
      <w:tr>
        <w:trPr>
          <w:cantSplit/>
        </w:trPr>
        <w:tc>
          <w:tcPr>
            <w:tcW w:type="dxa" w:w="2300"/>
            <w:vAlign w:val="center"/>
          </w:tcPr>
          <w:p>
            <w:pPr>
              <w:spacing w:after="0" w:line="259" w:lineRule="auto"/>
              <w:jc w:val="left"/>
            </w:pPr>
            <w:r>
              <w:rPr>
                <w:rFonts w:ascii="Arial" w:hAnsi="Arial" w:cs="Arial"/>
                <w:color w:val="20262E"/>
                <w:sz w:val="17"/>
              </w:rPr>
              <w:t>Vaka başlatma</w:t>
            </w:r>
          </w:p>
        </w:tc>
        <w:tc>
          <w:tcPr>
            <w:tcW w:type="dxa" w:w="4500"/>
            <w:vAlign w:val="center"/>
          </w:tcPr>
          <w:p>
            <w:pPr>
              <w:spacing w:after="0" w:line="259" w:lineRule="auto"/>
              <w:jc w:val="left"/>
            </w:pPr>
            <w:r>
              <w:rPr>
                <w:rFonts w:ascii="Arial" w:hAnsi="Arial" w:cs="Arial"/>
                <w:color w:val="20262E"/>
                <w:sz w:val="17"/>
              </w:rPr>
              <w:t>Start → kullanılabilir vaka p95</w:t>
            </w:r>
          </w:p>
        </w:tc>
        <w:tc>
          <w:tcPr>
            <w:tcW w:type="dxa" w:w="2560"/>
            <w:vAlign w:val="center"/>
          </w:tcPr>
          <w:p>
            <w:pPr>
              <w:spacing w:after="0" w:line="259" w:lineRule="auto"/>
              <w:jc w:val="center"/>
            </w:pPr>
            <w:r>
              <w:rPr>
                <w:rFonts w:ascii="Arial" w:hAnsi="Arial" w:cs="Arial"/>
                <w:color w:val="20262E"/>
                <w:sz w:val="17"/>
              </w:rPr>
              <w:t>&lt; 2 sn</w:t>
            </w:r>
          </w:p>
        </w:tc>
      </w:tr>
      <w:tr>
        <w:trPr>
          <w:cantSplit/>
        </w:trPr>
        <w:tc>
          <w:tcPr>
            <w:tcW w:type="dxa" w:w="2300"/>
            <w:vAlign w:val="center"/>
          </w:tcPr>
          <w:p>
            <w:pPr>
              <w:spacing w:after="0" w:line="259" w:lineRule="auto"/>
              <w:jc w:val="left"/>
            </w:pPr>
            <w:r>
              <w:rPr>
                <w:rFonts w:ascii="Arial" w:hAnsi="Arial" w:cs="Arial"/>
                <w:color w:val="20262E"/>
                <w:sz w:val="17"/>
              </w:rPr>
              <w:t>Değerlendirme</w:t>
            </w:r>
          </w:p>
        </w:tc>
        <w:tc>
          <w:tcPr>
            <w:tcW w:type="dxa" w:w="4500"/>
            <w:vAlign w:val="center"/>
          </w:tcPr>
          <w:p>
            <w:pPr>
              <w:spacing w:after="0" w:line="259" w:lineRule="auto"/>
              <w:jc w:val="left"/>
            </w:pPr>
            <w:r>
              <w:rPr>
                <w:rFonts w:ascii="Arial" w:hAnsi="Arial" w:cs="Arial"/>
                <w:color w:val="20262E"/>
                <w:sz w:val="17"/>
              </w:rPr>
              <w:t>Complete → sonuç p95</w:t>
            </w:r>
          </w:p>
        </w:tc>
        <w:tc>
          <w:tcPr>
            <w:tcW w:type="dxa" w:w="2560"/>
            <w:vAlign w:val="center"/>
          </w:tcPr>
          <w:p>
            <w:pPr>
              <w:spacing w:after="0" w:line="259" w:lineRule="auto"/>
              <w:jc w:val="center"/>
            </w:pPr>
            <w:r>
              <w:rPr>
                <w:rFonts w:ascii="Arial" w:hAnsi="Arial" w:cs="Arial"/>
                <w:color w:val="20262E"/>
                <w:sz w:val="17"/>
              </w:rPr>
              <w:t>&lt; 3 sn</w:t>
            </w:r>
          </w:p>
        </w:tc>
      </w:tr>
      <w:tr>
        <w:trPr>
          <w:cantSplit/>
        </w:trPr>
        <w:tc>
          <w:tcPr>
            <w:tcW w:type="dxa" w:w="2300"/>
            <w:vAlign w:val="center"/>
          </w:tcPr>
          <w:p>
            <w:pPr>
              <w:spacing w:after="0" w:line="259" w:lineRule="auto"/>
              <w:jc w:val="left"/>
            </w:pPr>
            <w:r>
              <w:rPr>
                <w:rFonts w:ascii="Arial" w:hAnsi="Arial" w:cs="Arial"/>
                <w:color w:val="20262E"/>
                <w:sz w:val="17"/>
              </w:rPr>
              <w:t>Sunucu hata oranı</w:t>
            </w:r>
          </w:p>
        </w:tc>
        <w:tc>
          <w:tcPr>
            <w:tcW w:type="dxa" w:w="4500"/>
            <w:vAlign w:val="center"/>
          </w:tcPr>
          <w:p>
            <w:pPr>
              <w:spacing w:after="0" w:line="259" w:lineRule="auto"/>
              <w:jc w:val="left"/>
            </w:pPr>
            <w:r>
              <w:rPr>
                <w:rFonts w:ascii="Arial" w:hAnsi="Arial" w:cs="Arial"/>
                <w:color w:val="20262E"/>
                <w:sz w:val="17"/>
              </w:rPr>
              <w:t>5xx / toplam istek</w:t>
            </w:r>
          </w:p>
        </w:tc>
        <w:tc>
          <w:tcPr>
            <w:tcW w:type="dxa" w:w="2560"/>
            <w:vAlign w:val="center"/>
          </w:tcPr>
          <w:p>
            <w:pPr>
              <w:spacing w:after="0" w:line="259" w:lineRule="auto"/>
              <w:jc w:val="center"/>
            </w:pPr>
            <w:r>
              <w:rPr>
                <w:rFonts w:ascii="Arial" w:hAnsi="Arial" w:cs="Arial"/>
                <w:color w:val="20262E"/>
                <w:sz w:val="17"/>
              </w:rPr>
              <w:t>&lt; %1; kritik akışta daha sıkı</w:t>
            </w:r>
          </w:p>
        </w:tc>
      </w:tr>
      <w:tr>
        <w:trPr>
          <w:cantSplit/>
        </w:trPr>
        <w:tc>
          <w:tcPr>
            <w:tcW w:type="dxa" w:w="2300"/>
            <w:vAlign w:val="center"/>
          </w:tcPr>
          <w:p>
            <w:pPr>
              <w:spacing w:after="0" w:line="259" w:lineRule="auto"/>
              <w:jc w:val="left"/>
            </w:pPr>
            <w:r>
              <w:rPr>
                <w:rFonts w:ascii="Arial" w:hAnsi="Arial" w:cs="Arial"/>
                <w:color w:val="20262E"/>
                <w:sz w:val="17"/>
              </w:rPr>
              <w:t>Auth güvenilirliği</w:t>
            </w:r>
          </w:p>
        </w:tc>
        <w:tc>
          <w:tcPr>
            <w:tcW w:type="dxa" w:w="4500"/>
            <w:vAlign w:val="center"/>
          </w:tcPr>
          <w:p>
            <w:pPr>
              <w:spacing w:after="0" w:line="259" w:lineRule="auto"/>
              <w:jc w:val="left"/>
            </w:pPr>
            <w:r>
              <w:rPr>
                <w:rFonts w:ascii="Arial" w:hAnsi="Arial" w:cs="Arial"/>
                <w:color w:val="20262E"/>
                <w:sz w:val="17"/>
              </w:rPr>
              <w:t>Geçerli girişlerin teknik hata oranı</w:t>
            </w:r>
          </w:p>
        </w:tc>
        <w:tc>
          <w:tcPr>
            <w:tcW w:type="dxa" w:w="2560"/>
            <w:vAlign w:val="center"/>
          </w:tcPr>
          <w:p>
            <w:pPr>
              <w:spacing w:after="0" w:line="259" w:lineRule="auto"/>
              <w:jc w:val="center"/>
            </w:pPr>
            <w:r>
              <w:rPr>
                <w:rFonts w:ascii="Arial" w:hAnsi="Arial" w:cs="Arial"/>
                <w:color w:val="20262E"/>
                <w:sz w:val="17"/>
              </w:rPr>
              <w:t>&lt; %0,5</w:t>
            </w:r>
          </w:p>
        </w:tc>
      </w:tr>
      <w:tr>
        <w:trPr>
          <w:cantSplit/>
        </w:trPr>
        <w:tc>
          <w:tcPr>
            <w:tcW w:type="dxa" w:w="2300"/>
            <w:vAlign w:val="center"/>
          </w:tcPr>
          <w:p>
            <w:pPr>
              <w:spacing w:after="0" w:line="259" w:lineRule="auto"/>
              <w:jc w:val="left"/>
            </w:pPr>
            <w:r>
              <w:rPr>
                <w:rFonts w:ascii="Arial" w:hAnsi="Arial" w:cs="Arial"/>
                <w:color w:val="20262E"/>
                <w:sz w:val="17"/>
              </w:rPr>
              <w:t>Migration</w:t>
            </w:r>
          </w:p>
        </w:tc>
        <w:tc>
          <w:tcPr>
            <w:tcW w:type="dxa" w:w="4500"/>
            <w:vAlign w:val="center"/>
          </w:tcPr>
          <w:p>
            <w:pPr>
              <w:spacing w:after="0" w:line="259" w:lineRule="auto"/>
              <w:jc w:val="left"/>
            </w:pPr>
            <w:r>
              <w:rPr>
                <w:rFonts w:ascii="Arial" w:hAnsi="Arial" w:cs="Arial"/>
                <w:color w:val="20262E"/>
                <w:sz w:val="17"/>
              </w:rPr>
              <w:t>Başarılı release migration / toplam</w:t>
            </w:r>
          </w:p>
        </w:tc>
        <w:tc>
          <w:tcPr>
            <w:tcW w:type="dxa" w:w="2560"/>
            <w:vAlign w:val="center"/>
          </w:tcPr>
          <w:p>
            <w:pPr>
              <w:spacing w:after="0" w:line="259" w:lineRule="auto"/>
              <w:jc w:val="center"/>
            </w:pPr>
            <w:r>
              <w:rPr>
                <w:rFonts w:ascii="Arial" w:hAnsi="Arial" w:cs="Arial"/>
                <w:color w:val="20262E"/>
                <w:sz w:val="17"/>
              </w:rPr>
              <w:t>%100; drift 0</w:t>
            </w:r>
          </w:p>
        </w:tc>
      </w:tr>
      <w:tr>
        <w:trPr>
          <w:cantSplit/>
        </w:trPr>
        <w:tc>
          <w:tcPr>
            <w:tcW w:type="dxa" w:w="2300"/>
            <w:vAlign w:val="center"/>
          </w:tcPr>
          <w:p>
            <w:pPr>
              <w:spacing w:after="0" w:line="259" w:lineRule="auto"/>
              <w:jc w:val="left"/>
            </w:pPr>
            <w:r>
              <w:rPr>
                <w:rFonts w:ascii="Arial" w:hAnsi="Arial" w:cs="Arial"/>
                <w:color w:val="20262E"/>
                <w:sz w:val="17"/>
              </w:rPr>
              <w:t>Backup</w:t>
            </w:r>
          </w:p>
        </w:tc>
        <w:tc>
          <w:tcPr>
            <w:tcW w:type="dxa" w:w="4500"/>
            <w:vAlign w:val="center"/>
          </w:tcPr>
          <w:p>
            <w:pPr>
              <w:spacing w:after="0" w:line="259" w:lineRule="auto"/>
              <w:jc w:val="left"/>
            </w:pPr>
            <w:r>
              <w:rPr>
                <w:rFonts w:ascii="Arial" w:hAnsi="Arial" w:cs="Arial"/>
                <w:color w:val="20262E"/>
                <w:sz w:val="17"/>
              </w:rPr>
              <w:t>Başarılı planlı backup</w:t>
            </w:r>
          </w:p>
        </w:tc>
        <w:tc>
          <w:tcPr>
            <w:tcW w:type="dxa" w:w="2560"/>
            <w:vAlign w:val="center"/>
          </w:tcPr>
          <w:p>
            <w:pPr>
              <w:spacing w:after="0" w:line="259" w:lineRule="auto"/>
              <w:jc w:val="center"/>
            </w:pPr>
            <w:r>
              <w:rPr>
                <w:rFonts w:ascii="Arial" w:hAnsi="Arial" w:cs="Arial"/>
                <w:color w:val="20262E"/>
                <w:sz w:val="17"/>
              </w:rPr>
              <w:t>%100</w:t>
            </w:r>
          </w:p>
        </w:tc>
      </w:tr>
      <w:tr>
        <w:trPr>
          <w:cantSplit/>
        </w:trPr>
        <w:tc>
          <w:tcPr>
            <w:tcW w:type="dxa" w:w="2300"/>
            <w:vAlign w:val="center"/>
          </w:tcPr>
          <w:p>
            <w:pPr>
              <w:spacing w:after="0" w:line="259" w:lineRule="auto"/>
              <w:jc w:val="left"/>
            </w:pPr>
            <w:r>
              <w:rPr>
                <w:rFonts w:ascii="Arial" w:hAnsi="Arial" w:cs="Arial"/>
                <w:color w:val="20262E"/>
                <w:sz w:val="17"/>
              </w:rPr>
              <w:t>Restore kanıtı</w:t>
            </w:r>
          </w:p>
        </w:tc>
        <w:tc>
          <w:tcPr>
            <w:tcW w:type="dxa" w:w="4500"/>
            <w:vAlign w:val="center"/>
          </w:tcPr>
          <w:p>
            <w:pPr>
              <w:spacing w:after="0" w:line="259" w:lineRule="auto"/>
              <w:jc w:val="left"/>
            </w:pPr>
            <w:r>
              <w:rPr>
                <w:rFonts w:ascii="Arial" w:hAnsi="Arial" w:cs="Arial"/>
                <w:color w:val="20262E"/>
                <w:sz w:val="17"/>
              </w:rPr>
              <w:t>Aylık tam restore + smoke</w:t>
            </w:r>
          </w:p>
        </w:tc>
        <w:tc>
          <w:tcPr>
            <w:tcW w:type="dxa" w:w="2560"/>
            <w:vAlign w:val="center"/>
          </w:tcPr>
          <w:p>
            <w:pPr>
              <w:spacing w:after="0" w:line="259" w:lineRule="auto"/>
              <w:jc w:val="center"/>
            </w:pPr>
            <w:r>
              <w:rPr>
                <w:rFonts w:ascii="Arial" w:hAnsi="Arial" w:cs="Arial"/>
                <w:color w:val="20262E"/>
                <w:sz w:val="17"/>
              </w:rPr>
              <w:t>Her ay 1 başarılı tatbikat</w:t>
            </w:r>
          </w:p>
        </w:tc>
      </w:tr>
      <w:tr>
        <w:trPr>
          <w:cantSplit/>
        </w:trPr>
        <w:tc>
          <w:tcPr>
            <w:tcW w:type="dxa" w:w="2300"/>
            <w:vAlign w:val="center"/>
          </w:tcPr>
          <w:p>
            <w:pPr>
              <w:spacing w:after="0" w:line="259" w:lineRule="auto"/>
              <w:jc w:val="left"/>
            </w:pPr>
            <w:r>
              <w:rPr>
                <w:rFonts w:ascii="Arial" w:hAnsi="Arial" w:cs="Arial"/>
                <w:color w:val="20262E"/>
                <w:sz w:val="17"/>
              </w:rPr>
              <w:t>RPO / RTO</w:t>
            </w:r>
          </w:p>
        </w:tc>
        <w:tc>
          <w:tcPr>
            <w:tcW w:type="dxa" w:w="4500"/>
            <w:vAlign w:val="center"/>
          </w:tcPr>
          <w:p>
            <w:pPr>
              <w:spacing w:after="0" w:line="259" w:lineRule="auto"/>
              <w:jc w:val="left"/>
            </w:pPr>
            <w:r>
              <w:rPr>
                <w:rFonts w:ascii="Arial" w:hAnsi="Arial" w:cs="Arial"/>
                <w:color w:val="20262E"/>
                <w:sz w:val="17"/>
              </w:rPr>
              <w:t>Ölçülen veri kaybı / geri dönüş</w:t>
            </w:r>
          </w:p>
        </w:tc>
        <w:tc>
          <w:tcPr>
            <w:tcW w:type="dxa" w:w="2560"/>
            <w:vAlign w:val="center"/>
          </w:tcPr>
          <w:p>
            <w:pPr>
              <w:spacing w:after="0" w:line="259" w:lineRule="auto"/>
              <w:jc w:val="center"/>
            </w:pPr>
            <w:r>
              <w:rPr>
                <w:rFonts w:ascii="Arial" w:hAnsi="Arial" w:cs="Arial"/>
                <w:color w:val="20262E"/>
                <w:sz w:val="17"/>
              </w:rPr>
              <w:t>≤ 24 saat / ≤ 4 saat başlangıç</w:t>
            </w:r>
          </w:p>
        </w:tc>
      </w:tr>
    </w:tbl>
    <w:p>
      <w:pPr>
        <w:spacing w:before="0" w:after="80" w:line="264" w:lineRule="auto"/>
      </w:pP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2300"/>
        <w:gridCol w:w="4300"/>
        <w:gridCol w:w="2760"/>
      </w:tblGrid>
      <w:tr>
        <w:trPr>
          <w:tblHeader w:val="true"/>
        </w:trPr>
        <w:tc>
          <w:tcPr>
            <w:tcW w:type="dxa" w:w="2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Ürün göstergesi</w:t>
            </w:r>
          </w:p>
        </w:tc>
        <w:tc>
          <w:tcPr>
            <w:tcW w:type="dxa" w:w="4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Tanım</w:t>
            </w:r>
          </w:p>
        </w:tc>
        <w:tc>
          <w:tcPr>
            <w:tcW w:type="dxa" w:w="27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Yorumlama</w:t>
            </w:r>
          </w:p>
        </w:tc>
      </w:tr>
      <w:tr>
        <w:trPr>
          <w:cantSplit/>
        </w:trPr>
        <w:tc>
          <w:tcPr>
            <w:tcW w:type="dxa" w:w="2300"/>
            <w:vAlign w:val="center"/>
          </w:tcPr>
          <w:p>
            <w:pPr>
              <w:spacing w:after="0" w:line="259" w:lineRule="auto"/>
              <w:jc w:val="left"/>
            </w:pPr>
            <w:r>
              <w:rPr>
                <w:rFonts w:ascii="Arial" w:hAnsi="Arial" w:cs="Arial"/>
                <w:color w:val="20262E"/>
                <w:sz w:val="17"/>
              </w:rPr>
              <w:t>Vaka tamamlama</w:t>
            </w:r>
          </w:p>
        </w:tc>
        <w:tc>
          <w:tcPr>
            <w:tcW w:type="dxa" w:w="4300"/>
            <w:vAlign w:val="center"/>
          </w:tcPr>
          <w:p>
            <w:pPr>
              <w:spacing w:after="0" w:line="259" w:lineRule="auto"/>
              <w:jc w:val="left"/>
            </w:pPr>
            <w:r>
              <w:rPr>
                <w:rFonts w:ascii="Arial" w:hAnsi="Arial" w:cs="Arial"/>
                <w:color w:val="20262E"/>
                <w:sz w:val="17"/>
              </w:rPr>
              <w:t>Başlayan öğrencilerin tamamladığı vaka oranı</w:t>
            </w:r>
          </w:p>
        </w:tc>
        <w:tc>
          <w:tcPr>
            <w:tcW w:type="dxa" w:w="2760"/>
            <w:vAlign w:val="center"/>
          </w:tcPr>
          <w:p>
            <w:pPr>
              <w:spacing w:after="0" w:line="259" w:lineRule="auto"/>
              <w:jc w:val="left"/>
            </w:pPr>
            <w:r>
              <w:rPr>
                <w:rFonts w:ascii="Arial" w:hAnsi="Arial" w:cs="Arial"/>
                <w:color w:val="20262E"/>
                <w:sz w:val="17"/>
              </w:rPr>
              <w:t>Trend; poliklinik ve cihaz kırılımı</w:t>
            </w:r>
          </w:p>
        </w:tc>
      </w:tr>
      <w:tr>
        <w:trPr>
          <w:cantSplit/>
        </w:trPr>
        <w:tc>
          <w:tcPr>
            <w:tcW w:type="dxa" w:w="2300"/>
            <w:vAlign w:val="center"/>
          </w:tcPr>
          <w:p>
            <w:pPr>
              <w:spacing w:after="0" w:line="259" w:lineRule="auto"/>
              <w:jc w:val="left"/>
            </w:pPr>
            <w:r>
              <w:rPr>
                <w:rFonts w:ascii="Arial" w:hAnsi="Arial" w:cs="Arial"/>
                <w:color w:val="20262E"/>
                <w:sz w:val="17"/>
              </w:rPr>
              <w:t>Geri dönüş</w:t>
            </w:r>
          </w:p>
        </w:tc>
        <w:tc>
          <w:tcPr>
            <w:tcW w:type="dxa" w:w="4300"/>
            <w:vAlign w:val="center"/>
          </w:tcPr>
          <w:p>
            <w:pPr>
              <w:spacing w:after="0" w:line="259" w:lineRule="auto"/>
              <w:jc w:val="left"/>
            </w:pPr>
            <w:r>
              <w:rPr>
                <w:rFonts w:ascii="Arial" w:hAnsi="Arial" w:cs="Arial"/>
                <w:color w:val="20262E"/>
                <w:sz w:val="17"/>
              </w:rPr>
              <w:t>7/30 gün içinde yeni vaka çözen öğrenci</w:t>
            </w:r>
          </w:p>
        </w:tc>
        <w:tc>
          <w:tcPr>
            <w:tcW w:type="dxa" w:w="2760"/>
            <w:vAlign w:val="center"/>
          </w:tcPr>
          <w:p>
            <w:pPr>
              <w:spacing w:after="0" w:line="259" w:lineRule="auto"/>
              <w:jc w:val="left"/>
            </w:pPr>
            <w:r>
              <w:rPr>
                <w:rFonts w:ascii="Arial" w:hAnsi="Arial" w:cs="Arial"/>
                <w:color w:val="20262E"/>
                <w:sz w:val="17"/>
              </w:rPr>
              <w:t>Cohort bazlı</w:t>
            </w:r>
          </w:p>
        </w:tc>
      </w:tr>
      <w:tr>
        <w:trPr>
          <w:cantSplit/>
        </w:trPr>
        <w:tc>
          <w:tcPr>
            <w:tcW w:type="dxa" w:w="2300"/>
            <w:vAlign w:val="center"/>
          </w:tcPr>
          <w:p>
            <w:pPr>
              <w:spacing w:after="0" w:line="259" w:lineRule="auto"/>
              <w:jc w:val="left"/>
            </w:pPr>
            <w:r>
              <w:rPr>
                <w:rFonts w:ascii="Arial" w:hAnsi="Arial" w:cs="Arial"/>
                <w:color w:val="20262E"/>
                <w:sz w:val="17"/>
              </w:rPr>
              <w:t>Güvenlik gelişimi</w:t>
            </w:r>
          </w:p>
        </w:tc>
        <w:tc>
          <w:tcPr>
            <w:tcW w:type="dxa" w:w="4300"/>
            <w:vAlign w:val="center"/>
          </w:tcPr>
          <w:p>
            <w:pPr>
              <w:spacing w:after="0" w:line="259" w:lineRule="auto"/>
              <w:jc w:val="left"/>
            </w:pPr>
            <w:r>
              <w:rPr>
                <w:rFonts w:ascii="Arial" w:hAnsi="Arial" w:cs="Arial"/>
                <w:color w:val="20262E"/>
                <w:sz w:val="17"/>
              </w:rPr>
              <w:t>Atlanan red flag/deneme trendi</w:t>
            </w:r>
          </w:p>
        </w:tc>
        <w:tc>
          <w:tcPr>
            <w:tcW w:type="dxa" w:w="2760"/>
            <w:vAlign w:val="center"/>
          </w:tcPr>
          <w:p>
            <w:pPr>
              <w:spacing w:after="0" w:line="259" w:lineRule="auto"/>
              <w:jc w:val="left"/>
            </w:pPr>
            <w:r>
              <w:rPr>
                <w:rFonts w:ascii="Arial" w:hAnsi="Arial" w:cs="Arial"/>
                <w:color w:val="20262E"/>
                <w:sz w:val="17"/>
              </w:rPr>
              <w:t>Kişinin kendi başlangıcına göre düşüş</w:t>
            </w:r>
          </w:p>
        </w:tc>
      </w:tr>
      <w:tr>
        <w:trPr>
          <w:cantSplit/>
        </w:trPr>
        <w:tc>
          <w:tcPr>
            <w:tcW w:type="dxa" w:w="2300"/>
            <w:vAlign w:val="center"/>
          </w:tcPr>
          <w:p>
            <w:pPr>
              <w:spacing w:after="0" w:line="259" w:lineRule="auto"/>
              <w:jc w:val="left"/>
            </w:pPr>
            <w:r>
              <w:rPr>
                <w:rFonts w:ascii="Arial" w:hAnsi="Arial" w:cs="Arial"/>
                <w:color w:val="20262E"/>
                <w:sz w:val="17"/>
              </w:rPr>
              <w:t>Tanı kalibrasyonu</w:t>
            </w:r>
          </w:p>
        </w:tc>
        <w:tc>
          <w:tcPr>
            <w:tcW w:type="dxa" w:w="4300"/>
            <w:vAlign w:val="center"/>
          </w:tcPr>
          <w:p>
            <w:pPr>
              <w:spacing w:after="0" w:line="259" w:lineRule="auto"/>
              <w:jc w:val="left"/>
            </w:pPr>
            <w:r>
              <w:rPr>
                <w:rFonts w:ascii="Arial" w:hAnsi="Arial" w:cs="Arial"/>
                <w:color w:val="20262E"/>
                <w:sz w:val="17"/>
              </w:rPr>
              <w:t>Güven ile doğruluk arasındaki fark</w:t>
            </w:r>
          </w:p>
        </w:tc>
        <w:tc>
          <w:tcPr>
            <w:tcW w:type="dxa" w:w="2760"/>
            <w:vAlign w:val="center"/>
          </w:tcPr>
          <w:p>
            <w:pPr>
              <w:spacing w:after="0" w:line="259" w:lineRule="auto"/>
              <w:jc w:val="left"/>
            </w:pPr>
            <w:r>
              <w:rPr>
                <w:rFonts w:ascii="Arial" w:hAnsi="Arial" w:cs="Arial"/>
                <w:color w:val="20262E"/>
                <w:sz w:val="17"/>
              </w:rPr>
              <w:t>Aşırı güveni azaltan trend</w:t>
            </w:r>
          </w:p>
        </w:tc>
      </w:tr>
      <w:tr>
        <w:trPr>
          <w:cantSplit/>
        </w:trPr>
        <w:tc>
          <w:tcPr>
            <w:tcW w:type="dxa" w:w="2300"/>
            <w:vAlign w:val="center"/>
          </w:tcPr>
          <w:p>
            <w:pPr>
              <w:spacing w:after="0" w:line="259" w:lineRule="auto"/>
              <w:jc w:val="left"/>
            </w:pPr>
            <w:r>
              <w:rPr>
                <w:rFonts w:ascii="Arial" w:hAnsi="Arial" w:cs="Arial"/>
                <w:color w:val="20262E"/>
                <w:sz w:val="17"/>
              </w:rPr>
              <w:t>Gereksiz test</w:t>
            </w:r>
          </w:p>
        </w:tc>
        <w:tc>
          <w:tcPr>
            <w:tcW w:type="dxa" w:w="4300"/>
            <w:vAlign w:val="center"/>
          </w:tcPr>
          <w:p>
            <w:pPr>
              <w:spacing w:after="0" w:line="259" w:lineRule="auto"/>
              <w:jc w:val="left"/>
            </w:pPr>
            <w:r>
              <w:rPr>
                <w:rFonts w:ascii="Arial" w:hAnsi="Arial" w:cs="Arial"/>
                <w:color w:val="20262E"/>
                <w:sz w:val="17"/>
              </w:rPr>
              <w:t>Vaka başına gereksiz test ve maliyet puanı</w:t>
            </w:r>
          </w:p>
        </w:tc>
        <w:tc>
          <w:tcPr>
            <w:tcW w:type="dxa" w:w="2760"/>
            <w:vAlign w:val="center"/>
          </w:tcPr>
          <w:p>
            <w:pPr>
              <w:spacing w:after="0" w:line="259" w:lineRule="auto"/>
              <w:jc w:val="left"/>
            </w:pPr>
            <w:r>
              <w:rPr>
                <w:rFonts w:ascii="Arial" w:hAnsi="Arial" w:cs="Arial"/>
                <w:color w:val="20262E"/>
                <w:sz w:val="17"/>
              </w:rPr>
              <w:t>Beceri/seviye bazlı trend</w:t>
            </w:r>
          </w:p>
        </w:tc>
      </w:tr>
      <w:tr>
        <w:trPr>
          <w:cantSplit/>
        </w:trPr>
        <w:tc>
          <w:tcPr>
            <w:tcW w:type="dxa" w:w="2300"/>
            <w:vAlign w:val="center"/>
          </w:tcPr>
          <w:p>
            <w:pPr>
              <w:spacing w:after="0" w:line="259" w:lineRule="auto"/>
              <w:jc w:val="left"/>
            </w:pPr>
            <w:r>
              <w:rPr>
                <w:rFonts w:ascii="Arial" w:hAnsi="Arial" w:cs="Arial"/>
                <w:color w:val="20262E"/>
                <w:sz w:val="17"/>
              </w:rPr>
              <w:t>Öneri yararı</w:t>
            </w:r>
          </w:p>
        </w:tc>
        <w:tc>
          <w:tcPr>
            <w:tcW w:type="dxa" w:w="4300"/>
            <w:vAlign w:val="center"/>
          </w:tcPr>
          <w:p>
            <w:pPr>
              <w:spacing w:after="0" w:line="259" w:lineRule="auto"/>
              <w:jc w:val="left"/>
            </w:pPr>
            <w:r>
              <w:rPr>
                <w:rFonts w:ascii="Arial" w:hAnsi="Arial" w:cs="Arial"/>
                <w:color w:val="20262E"/>
                <w:sz w:val="17"/>
              </w:rPr>
              <w:t>Önerilen vakayı alma ve sonraki mastery değişimi</w:t>
            </w:r>
          </w:p>
        </w:tc>
        <w:tc>
          <w:tcPr>
            <w:tcW w:type="dxa" w:w="2760"/>
            <w:vAlign w:val="center"/>
          </w:tcPr>
          <w:p>
            <w:pPr>
              <w:spacing w:after="0" w:line="259" w:lineRule="auto"/>
              <w:jc w:val="left"/>
            </w:pPr>
            <w:r>
              <w:rPr>
                <w:rFonts w:ascii="Arial" w:hAnsi="Arial" w:cs="Arial"/>
                <w:color w:val="20262E"/>
                <w:sz w:val="17"/>
              </w:rPr>
              <w:t>A/B değil önce gözlemsel</w:t>
            </w:r>
          </w:p>
        </w:tc>
      </w:tr>
      <w:tr>
        <w:trPr>
          <w:cantSplit/>
        </w:trPr>
        <w:tc>
          <w:tcPr>
            <w:tcW w:type="dxa" w:w="2300"/>
            <w:vAlign w:val="center"/>
          </w:tcPr>
          <w:p>
            <w:pPr>
              <w:spacing w:after="0" w:line="259" w:lineRule="auto"/>
              <w:jc w:val="left"/>
            </w:pPr>
            <w:r>
              <w:rPr>
                <w:rFonts w:ascii="Arial" w:hAnsi="Arial" w:cs="Arial"/>
                <w:color w:val="20262E"/>
                <w:sz w:val="17"/>
              </w:rPr>
              <w:t>İçerik kalitesi</w:t>
            </w:r>
          </w:p>
        </w:tc>
        <w:tc>
          <w:tcPr>
            <w:tcW w:type="dxa" w:w="4300"/>
            <w:vAlign w:val="center"/>
          </w:tcPr>
          <w:p>
            <w:pPr>
              <w:spacing w:after="0" w:line="259" w:lineRule="auto"/>
              <w:jc w:val="left"/>
            </w:pPr>
            <w:r>
              <w:rPr>
                <w:rFonts w:ascii="Arial" w:hAnsi="Arial" w:cs="Arial"/>
                <w:color w:val="20262E"/>
                <w:sz w:val="17"/>
              </w:rPr>
              <w:t>Kritik yayın engeli, itiraz ve geri çekme oranı</w:t>
            </w:r>
          </w:p>
        </w:tc>
        <w:tc>
          <w:tcPr>
            <w:tcW w:type="dxa" w:w="2760"/>
            <w:vAlign w:val="center"/>
          </w:tcPr>
          <w:p>
            <w:pPr>
              <w:spacing w:after="0" w:line="259" w:lineRule="auto"/>
              <w:jc w:val="left"/>
            </w:pPr>
            <w:r>
              <w:rPr>
                <w:rFonts w:ascii="Arial" w:hAnsi="Arial" w:cs="Arial"/>
                <w:color w:val="20262E"/>
                <w:sz w:val="17"/>
              </w:rPr>
              <w:t>Kritik açık 0</w:t>
            </w:r>
          </w:p>
        </w:tc>
      </w:tr>
      <w:tr>
        <w:trPr>
          <w:cantSplit/>
        </w:trPr>
        <w:tc>
          <w:tcPr>
            <w:tcW w:type="dxa" w:w="2300"/>
            <w:vAlign w:val="center"/>
          </w:tcPr>
          <w:p>
            <w:pPr>
              <w:spacing w:after="0" w:line="259" w:lineRule="auto"/>
              <w:jc w:val="left"/>
            </w:pPr>
            <w:r>
              <w:rPr>
                <w:rFonts w:ascii="Arial" w:hAnsi="Arial" w:cs="Arial"/>
                <w:color w:val="20262E"/>
                <w:sz w:val="17"/>
              </w:rPr>
              <w:t>Reviewer süresi</w:t>
            </w:r>
          </w:p>
        </w:tc>
        <w:tc>
          <w:tcPr>
            <w:tcW w:type="dxa" w:w="4300"/>
            <w:vAlign w:val="center"/>
          </w:tcPr>
          <w:p>
            <w:pPr>
              <w:spacing w:after="0" w:line="259" w:lineRule="auto"/>
              <w:jc w:val="left"/>
            </w:pPr>
            <w:r>
              <w:rPr>
                <w:rFonts w:ascii="Arial" w:hAnsi="Arial" w:cs="Arial"/>
                <w:color w:val="20262E"/>
                <w:sz w:val="17"/>
              </w:rPr>
              <w:t>İncelemeye girişten karara kadar süre</w:t>
            </w:r>
          </w:p>
        </w:tc>
        <w:tc>
          <w:tcPr>
            <w:tcW w:type="dxa" w:w="2760"/>
            <w:vAlign w:val="center"/>
          </w:tcPr>
          <w:p>
            <w:pPr>
              <w:spacing w:after="0" w:line="259" w:lineRule="auto"/>
              <w:jc w:val="left"/>
            </w:pPr>
            <w:r>
              <w:rPr>
                <w:rFonts w:ascii="Arial" w:hAnsi="Arial" w:cs="Arial"/>
                <w:color w:val="20262E"/>
                <w:sz w:val="17"/>
              </w:rPr>
              <w:t>İç SLA</w:t>
            </w:r>
          </w:p>
        </w:tc>
      </w:tr>
      <w:tr>
        <w:trPr>
          <w:cantSplit/>
        </w:trPr>
        <w:tc>
          <w:tcPr>
            <w:tcW w:type="dxa" w:w="2300"/>
            <w:vAlign w:val="center"/>
          </w:tcPr>
          <w:p>
            <w:pPr>
              <w:spacing w:after="0" w:line="259" w:lineRule="auto"/>
              <w:jc w:val="left"/>
            </w:pPr>
            <w:r>
              <w:rPr>
                <w:rFonts w:ascii="Arial" w:hAnsi="Arial" w:cs="Arial"/>
                <w:color w:val="20262E"/>
                <w:sz w:val="17"/>
              </w:rPr>
              <w:t>Erişilebilirlik</w:t>
            </w:r>
          </w:p>
        </w:tc>
        <w:tc>
          <w:tcPr>
            <w:tcW w:type="dxa" w:w="4300"/>
            <w:vAlign w:val="center"/>
          </w:tcPr>
          <w:p>
            <w:pPr>
              <w:spacing w:after="0" w:line="259" w:lineRule="auto"/>
              <w:jc w:val="left"/>
            </w:pPr>
            <w:r>
              <w:rPr>
                <w:rFonts w:ascii="Arial" w:hAnsi="Arial" w:cs="Arial"/>
                <w:color w:val="20262E"/>
                <w:sz w:val="17"/>
              </w:rPr>
              <w:t>Otomatik + manuel kritik WCAG bulgusu</w:t>
            </w:r>
          </w:p>
        </w:tc>
        <w:tc>
          <w:tcPr>
            <w:tcW w:type="dxa" w:w="2760"/>
            <w:vAlign w:val="center"/>
          </w:tcPr>
          <w:p>
            <w:pPr>
              <w:spacing w:after="0" w:line="259" w:lineRule="auto"/>
              <w:jc w:val="left"/>
            </w:pPr>
            <w:r>
              <w:rPr>
                <w:rFonts w:ascii="Arial" w:hAnsi="Arial" w:cs="Arial"/>
                <w:color w:val="20262E"/>
                <w:sz w:val="17"/>
              </w:rPr>
              <w:t>Kritik 0; AA backlog görünür</w:t>
            </w:r>
          </w:p>
        </w:tc>
      </w:tr>
    </w:tbl>
    <w:p>
      <w:pPr>
        <w:spacing w:before="0" w:after="80" w:line="264" w:lineRule="auto"/>
      </w:pPr>
    </w:p>
    <w:tbl>
      <w:tblPr>
        <w:tblW w:type="dxa" w:w="9360"/>
        <w:jc w:val="left"/>
        <w:tblLayout w:type="fixed"/>
        <w:tblLook w:firstColumn="1" w:firstRow="1" w:lastColumn="0" w:lastRow="0" w:noHBand="0" w:noVBand="1" w:val="04A0"/>
        <w:tblInd w:w="120" w:type="dxa"/>
        <w:tblBorders>
          <w:top w:val="single" w:sz="9" w:space="0" w:color="1F4D78"/>
          <w:left w:val="single" w:sz="9" w:space="0" w:color="1F4D78"/>
          <w:bottom w:val="single" w:sz="9" w:space="0" w:color="1F4D78"/>
          <w:right w:val="single" w:sz="9" w:space="0" w:color="1F4D78"/>
        </w:tblBorders>
      </w:tblPr>
      <w:tblGrid>
        <w:gridCol w:w="9360"/>
      </w:tblGrid>
      <w:tr>
        <w:trPr>
          <w:cantSplit/>
        </w:trPr>
        <w:tc>
          <w:tcPr>
            <w:tcW w:type="dxa" w:w="9360"/>
            <w:tcMar>
              <w:top w:w="80" w:type="dxa"/>
              <w:bottom w:w="80" w:type="dxa"/>
              <w:start w:w="120" w:type="dxa"/>
              <w:end w:w="120" w:type="dxa"/>
            </w:tcMar>
            <w:shd w:fill="EAF3FB" w:val="clear"/>
          </w:tcPr>
          <w:p>
            <w:pPr>
              <w:keepNext/>
              <w:spacing w:after="60"/>
            </w:pPr>
            <w:r>
              <w:rPr>
                <w:rFonts w:ascii="Arial" w:hAnsi="Arial" w:cs="Arial"/>
                <w:b/>
                <w:color w:val="1F4D78"/>
                <w:sz w:val="21"/>
              </w:rPr>
              <w:t>Ölçüm ilkesi</w:t>
            </w:r>
          </w:p>
          <w:p>
            <w:pPr>
              <w:keepLines/>
              <w:spacing w:after="0" w:line="264" w:lineRule="auto"/>
            </w:pPr>
            <w:r>
              <w:rPr>
                <w:rFonts w:ascii="Arial" w:hAnsi="Arial" w:cs="Arial"/>
                <w:color w:val="20262E"/>
                <w:sz w:val="20"/>
              </w:rPr>
              <w:t>Öğrencileri herkese açık sıralamak yerine bireysel gelişim ve anonimleştirilmiş cohort dağılımı gösterilmelidir. Küçük gruplarda karşılaştırma gizlilik ve yanlış yorum riskini artırır.</w:t>
            </w:r>
          </w:p>
        </w:tc>
      </w:tr>
    </w:tbl>
    <w:p>
      <w:pPr>
        <w:spacing w:before="0" w:after="80" w:line="264" w:lineRule="auto"/>
      </w:pPr>
    </w:p>
    <w:p>
      <w:pPr>
        <w:pStyle w:val="Heading1"/>
      </w:pPr>
      <w:r>
        <w:rPr>
          <w:rFonts w:ascii="Arial" w:hAnsi="Arial" w:cs="Arial"/>
          <w:b/>
          <w:color w:val="2E74B5"/>
          <w:sz w:val="32"/>
        </w:rPr>
        <w:t>7. Önceliklendirilmiş ürün ve teknik backlog</w:t>
      </w:r>
    </w:p>
    <w:p>
      <w:pPr>
        <w:spacing w:before="0" w:after="120" w:line="264" w:lineRule="auto"/>
      </w:pPr>
      <w:r>
        <w:rPr>
          <w:rFonts w:ascii="Arial" w:hAnsi="Arial" w:cs="Arial"/>
          <w:b w:val="0"/>
          <w:i w:val="0"/>
          <w:color w:val="20262E"/>
          <w:sz w:val="21"/>
        </w:rPr>
        <w:t>Efor ölçeği: S ≈ bir sprintten kısa/tek sprint; M ≈ 2-3 sprint; L ≈ 4-6 sprint. Bağımlılıklar nedeniyle toplam süreler toplanmamalıdır.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520"/>
        <w:gridCol w:w="480"/>
        <w:gridCol w:w="2050"/>
        <w:gridCol w:w="650"/>
        <w:gridCol w:w="2800"/>
        <w:gridCol w:w="2860"/>
      </w:tblGrid>
      <w:tr>
        <w:trPr>
          <w:tblHeader w:val="true"/>
        </w:trPr>
        <w:tc>
          <w:tcPr>
            <w:tcW w:type="dxa" w:w="52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5"/>
              </w:rPr>
              <w:t>ID</w:t>
            </w:r>
          </w:p>
        </w:tc>
        <w:tc>
          <w:tcPr>
            <w:tcW w:type="dxa" w:w="48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5"/>
              </w:rPr>
              <w:t>P</w:t>
            </w:r>
          </w:p>
        </w:tc>
        <w:tc>
          <w:tcPr>
            <w:tcW w:type="dxa" w:w="205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5"/>
              </w:rPr>
              <w:t>İş</w:t>
            </w:r>
          </w:p>
        </w:tc>
        <w:tc>
          <w:tcPr>
            <w:tcW w:type="dxa" w:w="65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5"/>
              </w:rPr>
              <w:t>Efor</w:t>
            </w:r>
          </w:p>
        </w:tc>
        <w:tc>
          <w:tcPr>
            <w:tcW w:type="dxa" w:w="28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5"/>
              </w:rPr>
              <w:t>Kapsam</w:t>
            </w:r>
          </w:p>
        </w:tc>
        <w:tc>
          <w:tcPr>
            <w:tcW w:type="dxa" w:w="28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5"/>
              </w:rPr>
              <w:t>Kabul özeti</w:t>
            </w:r>
          </w:p>
        </w:tc>
      </w:tr>
      <w:tr>
        <w:trPr>
          <w:cantSplit/>
        </w:trPr>
        <w:tc>
          <w:tcPr>
            <w:tcW w:type="dxa" w:w="520"/>
            <w:vAlign w:val="center"/>
          </w:tcPr>
          <w:p>
            <w:pPr>
              <w:spacing w:after="0" w:line="259" w:lineRule="auto"/>
              <w:jc w:val="center"/>
            </w:pPr>
            <w:r>
              <w:rPr>
                <w:rFonts w:ascii="Arial" w:hAnsi="Arial" w:cs="Arial"/>
                <w:color w:val="20262E"/>
                <w:sz w:val="15"/>
              </w:rPr>
              <w:t>B01</w:t>
            </w:r>
          </w:p>
        </w:tc>
        <w:tc>
          <w:tcPr>
            <w:tcW w:type="dxa" w:w="480"/>
            <w:vAlign w:val="center"/>
          </w:tcPr>
          <w:p>
            <w:pPr>
              <w:spacing w:after="0" w:line="259" w:lineRule="auto"/>
              <w:jc w:val="center"/>
            </w:pPr>
            <w:r>
              <w:rPr>
                <w:rFonts w:ascii="Arial" w:hAnsi="Arial" w:cs="Arial"/>
                <w:color w:val="20262E"/>
                <w:sz w:val="15"/>
              </w:rPr>
              <w:t>P0</w:t>
            </w:r>
          </w:p>
        </w:tc>
        <w:tc>
          <w:tcPr>
            <w:tcW w:type="dxa" w:w="2050"/>
            <w:vAlign w:val="center"/>
          </w:tcPr>
          <w:p>
            <w:pPr>
              <w:spacing w:after="0" w:line="259" w:lineRule="auto"/>
              <w:jc w:val="left"/>
            </w:pPr>
            <w:r>
              <w:rPr>
                <w:rFonts w:ascii="Arial" w:hAnsi="Arial" w:cs="Arial"/>
                <w:color w:val="20262E"/>
                <w:sz w:val="15"/>
              </w:rPr>
              <w:t>PostgreSQL auth runtime cutover</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UserStore, shadow read, canary, rollback</w:t>
            </w:r>
          </w:p>
        </w:tc>
        <w:tc>
          <w:tcPr>
            <w:tcW w:type="dxa" w:w="2860"/>
            <w:vAlign w:val="center"/>
          </w:tcPr>
          <w:p>
            <w:pPr>
              <w:spacing w:after="0" w:line="259" w:lineRule="auto"/>
              <w:jc w:val="left"/>
            </w:pPr>
            <w:r>
              <w:rPr>
                <w:rFonts w:ascii="Arial" w:hAnsi="Arial" w:cs="Arial"/>
                <w:color w:val="20262E"/>
                <w:sz w:val="15"/>
              </w:rPr>
              <w:t>Auth kaynağı PostgreSQL; parity sapması 0</w:t>
            </w:r>
          </w:p>
        </w:tc>
      </w:tr>
      <w:tr>
        <w:trPr>
          <w:cantSplit/>
        </w:trPr>
        <w:tc>
          <w:tcPr>
            <w:tcW w:type="dxa" w:w="520"/>
            <w:vAlign w:val="center"/>
          </w:tcPr>
          <w:p>
            <w:pPr>
              <w:spacing w:after="0" w:line="259" w:lineRule="auto"/>
              <w:jc w:val="center"/>
            </w:pPr>
            <w:r>
              <w:rPr>
                <w:rFonts w:ascii="Arial" w:hAnsi="Arial" w:cs="Arial"/>
                <w:color w:val="20262E"/>
                <w:sz w:val="15"/>
              </w:rPr>
              <w:t>B02</w:t>
            </w:r>
          </w:p>
        </w:tc>
        <w:tc>
          <w:tcPr>
            <w:tcW w:type="dxa" w:w="480"/>
            <w:vAlign w:val="center"/>
          </w:tcPr>
          <w:p>
            <w:pPr>
              <w:spacing w:after="0" w:line="259" w:lineRule="auto"/>
              <w:jc w:val="center"/>
            </w:pPr>
            <w:r>
              <w:rPr>
                <w:rFonts w:ascii="Arial" w:hAnsi="Arial" w:cs="Arial"/>
                <w:color w:val="20262E"/>
                <w:sz w:val="15"/>
              </w:rPr>
              <w:t>P0</w:t>
            </w:r>
          </w:p>
        </w:tc>
        <w:tc>
          <w:tcPr>
            <w:tcW w:type="dxa" w:w="2050"/>
            <w:vAlign w:val="center"/>
          </w:tcPr>
          <w:p>
            <w:pPr>
              <w:spacing w:after="0" w:line="259" w:lineRule="auto"/>
              <w:jc w:val="left"/>
            </w:pPr>
            <w:r>
              <w:rPr>
                <w:rFonts w:ascii="Arial" w:hAnsi="Arial" w:cs="Arial"/>
                <w:color w:val="20262E"/>
                <w:sz w:val="15"/>
              </w:rPr>
              <w:t>Release migration gate</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Pre-deploy job, advisory lock, schema drift</w:t>
            </w:r>
          </w:p>
        </w:tc>
        <w:tc>
          <w:tcPr>
            <w:tcW w:type="dxa" w:w="2860"/>
            <w:vAlign w:val="center"/>
          </w:tcPr>
          <w:p>
            <w:pPr>
              <w:spacing w:after="0" w:line="259" w:lineRule="auto"/>
              <w:jc w:val="left"/>
            </w:pPr>
            <w:r>
              <w:rPr>
                <w:rFonts w:ascii="Arial" w:hAnsi="Arial" w:cs="Arial"/>
                <w:color w:val="20262E"/>
                <w:sz w:val="15"/>
              </w:rPr>
              <w:t>Migration başarısızsa trafik yok</w:t>
            </w:r>
          </w:p>
        </w:tc>
      </w:tr>
      <w:tr>
        <w:trPr>
          <w:cantSplit/>
        </w:trPr>
        <w:tc>
          <w:tcPr>
            <w:tcW w:type="dxa" w:w="520"/>
            <w:vAlign w:val="center"/>
          </w:tcPr>
          <w:p>
            <w:pPr>
              <w:spacing w:after="0" w:line="259" w:lineRule="auto"/>
              <w:jc w:val="center"/>
            </w:pPr>
            <w:r>
              <w:rPr>
                <w:rFonts w:ascii="Arial" w:hAnsi="Arial" w:cs="Arial"/>
                <w:color w:val="20262E"/>
                <w:sz w:val="15"/>
              </w:rPr>
              <w:t>B03</w:t>
            </w:r>
          </w:p>
        </w:tc>
        <w:tc>
          <w:tcPr>
            <w:tcW w:type="dxa" w:w="480"/>
            <w:vAlign w:val="center"/>
          </w:tcPr>
          <w:p>
            <w:pPr>
              <w:spacing w:after="0" w:line="259" w:lineRule="auto"/>
              <w:jc w:val="center"/>
            </w:pPr>
            <w:r>
              <w:rPr>
                <w:rFonts w:ascii="Arial" w:hAnsi="Arial" w:cs="Arial"/>
                <w:color w:val="20262E"/>
                <w:sz w:val="15"/>
              </w:rPr>
              <w:t>P0</w:t>
            </w:r>
          </w:p>
        </w:tc>
        <w:tc>
          <w:tcPr>
            <w:tcW w:type="dxa" w:w="2050"/>
            <w:vAlign w:val="center"/>
          </w:tcPr>
          <w:p>
            <w:pPr>
              <w:spacing w:after="0" w:line="259" w:lineRule="auto"/>
              <w:jc w:val="left"/>
            </w:pPr>
            <w:r>
              <w:rPr>
                <w:rFonts w:ascii="Arial" w:hAnsi="Arial" w:cs="Arial"/>
                <w:color w:val="20262E"/>
                <w:sz w:val="15"/>
              </w:rPr>
              <w:t>Restore otomasyonu</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Şifreli backup, izole restore, rapor</w:t>
            </w:r>
          </w:p>
        </w:tc>
        <w:tc>
          <w:tcPr>
            <w:tcW w:type="dxa" w:w="2860"/>
            <w:vAlign w:val="center"/>
          </w:tcPr>
          <w:p>
            <w:pPr>
              <w:spacing w:after="0" w:line="259" w:lineRule="auto"/>
              <w:jc w:val="left"/>
            </w:pPr>
            <w:r>
              <w:rPr>
                <w:rFonts w:ascii="Arial" w:hAnsi="Arial" w:cs="Arial"/>
                <w:color w:val="20262E"/>
                <w:sz w:val="15"/>
              </w:rPr>
              <w:t>Aylık restore E2E geçer</w:t>
            </w:r>
          </w:p>
        </w:tc>
      </w:tr>
      <w:tr>
        <w:trPr>
          <w:cantSplit/>
        </w:trPr>
        <w:tc>
          <w:tcPr>
            <w:tcW w:type="dxa" w:w="520"/>
            <w:vAlign w:val="center"/>
          </w:tcPr>
          <w:p>
            <w:pPr>
              <w:spacing w:after="0" w:line="259" w:lineRule="auto"/>
              <w:jc w:val="center"/>
            </w:pPr>
            <w:r>
              <w:rPr>
                <w:rFonts w:ascii="Arial" w:hAnsi="Arial" w:cs="Arial"/>
                <w:color w:val="20262E"/>
                <w:sz w:val="15"/>
              </w:rPr>
              <w:t>B04</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Merkezi session ve revocation</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Session tablosu, device list, role version</w:t>
            </w:r>
          </w:p>
        </w:tc>
        <w:tc>
          <w:tcPr>
            <w:tcW w:type="dxa" w:w="2860"/>
            <w:vAlign w:val="center"/>
          </w:tcPr>
          <w:p>
            <w:pPr>
              <w:spacing w:after="0" w:line="259" w:lineRule="auto"/>
              <w:jc w:val="left"/>
            </w:pPr>
            <w:r>
              <w:rPr>
                <w:rFonts w:ascii="Arial" w:hAnsi="Arial" w:cs="Arial"/>
                <w:color w:val="20262E"/>
                <w:sz w:val="15"/>
              </w:rPr>
              <w:t>Pasifleştirme anında erişim kesilir</w:t>
            </w:r>
          </w:p>
        </w:tc>
      </w:tr>
      <w:tr>
        <w:trPr>
          <w:cantSplit/>
        </w:trPr>
        <w:tc>
          <w:tcPr>
            <w:tcW w:type="dxa" w:w="520"/>
            <w:vAlign w:val="center"/>
          </w:tcPr>
          <w:p>
            <w:pPr>
              <w:spacing w:after="0" w:line="259" w:lineRule="auto"/>
              <w:jc w:val="center"/>
            </w:pPr>
            <w:r>
              <w:rPr>
                <w:rFonts w:ascii="Arial" w:hAnsi="Arial" w:cs="Arial"/>
                <w:color w:val="20262E"/>
                <w:sz w:val="15"/>
              </w:rPr>
              <w:t>B05</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Shared rate limiting</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IP+hesap+uç; 429 ve metric</w:t>
            </w:r>
          </w:p>
        </w:tc>
        <w:tc>
          <w:tcPr>
            <w:tcW w:type="dxa" w:w="2860"/>
            <w:vAlign w:val="center"/>
          </w:tcPr>
          <w:p>
            <w:pPr>
              <w:spacing w:after="0" w:line="259" w:lineRule="auto"/>
              <w:jc w:val="left"/>
            </w:pPr>
            <w:r>
              <w:rPr>
                <w:rFonts w:ascii="Arial" w:hAnsi="Arial" w:cs="Arial"/>
                <w:color w:val="20262E"/>
                <w:sz w:val="15"/>
              </w:rPr>
              <w:t>Replica bağımsız aynı limit</w:t>
            </w:r>
          </w:p>
        </w:tc>
      </w:tr>
      <w:tr>
        <w:trPr>
          <w:cantSplit/>
        </w:trPr>
        <w:tc>
          <w:tcPr>
            <w:tcW w:type="dxa" w:w="520"/>
            <w:vAlign w:val="center"/>
          </w:tcPr>
          <w:p>
            <w:pPr>
              <w:spacing w:after="0" w:line="259" w:lineRule="auto"/>
              <w:jc w:val="center"/>
            </w:pPr>
            <w:r>
              <w:rPr>
                <w:rFonts w:ascii="Arial" w:hAnsi="Arial" w:cs="Arial"/>
                <w:color w:val="20262E"/>
                <w:sz w:val="15"/>
              </w:rPr>
              <w:t>B06</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E-posta doğrulama/reset</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Hash token, TTL, tek kullanım</w:t>
            </w:r>
          </w:p>
        </w:tc>
        <w:tc>
          <w:tcPr>
            <w:tcW w:type="dxa" w:w="2860"/>
            <w:vAlign w:val="center"/>
          </w:tcPr>
          <w:p>
            <w:pPr>
              <w:spacing w:after="0" w:line="259" w:lineRule="auto"/>
              <w:jc w:val="left"/>
            </w:pPr>
            <w:r>
              <w:rPr>
                <w:rFonts w:ascii="Arial" w:hAnsi="Arial" w:cs="Arial"/>
                <w:color w:val="20262E"/>
                <w:sz w:val="15"/>
              </w:rPr>
              <w:t>Enumeration yok; reset sonrası revoke</w:t>
            </w:r>
          </w:p>
        </w:tc>
      </w:tr>
      <w:tr>
        <w:trPr>
          <w:cantSplit/>
        </w:trPr>
        <w:tc>
          <w:tcPr>
            <w:tcW w:type="dxa" w:w="520"/>
            <w:vAlign w:val="center"/>
          </w:tcPr>
          <w:p>
            <w:pPr>
              <w:spacing w:after="0" w:line="259" w:lineRule="auto"/>
              <w:jc w:val="center"/>
            </w:pPr>
            <w:r>
              <w:rPr>
                <w:rFonts w:ascii="Arial" w:hAnsi="Arial" w:cs="Arial"/>
                <w:color w:val="20262E"/>
                <w:sz w:val="15"/>
              </w:rPr>
              <w:t>B07</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Admin/doktor MFA-passkey</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WebAuthn tercihli, TOTP fallback</w:t>
            </w:r>
          </w:p>
        </w:tc>
        <w:tc>
          <w:tcPr>
            <w:tcW w:type="dxa" w:w="2860"/>
            <w:vAlign w:val="center"/>
          </w:tcPr>
          <w:p>
            <w:pPr>
              <w:spacing w:after="0" w:line="259" w:lineRule="auto"/>
              <w:jc w:val="left"/>
            </w:pPr>
            <w:r>
              <w:rPr>
                <w:rFonts w:ascii="Arial" w:hAnsi="Arial" w:cs="Arial"/>
                <w:color w:val="20262E"/>
                <w:sz w:val="15"/>
              </w:rPr>
              <w:t>Yüksek yetkide MFA zorunlu</w:t>
            </w:r>
          </w:p>
        </w:tc>
      </w:tr>
      <w:tr>
        <w:trPr>
          <w:cantSplit/>
        </w:trPr>
        <w:tc>
          <w:tcPr>
            <w:tcW w:type="dxa" w:w="520"/>
            <w:vAlign w:val="center"/>
          </w:tcPr>
          <w:p>
            <w:pPr>
              <w:spacing w:after="0" w:line="259" w:lineRule="auto"/>
              <w:jc w:val="center"/>
            </w:pPr>
            <w:r>
              <w:rPr>
                <w:rFonts w:ascii="Arial" w:hAnsi="Arial" w:cs="Arial"/>
                <w:color w:val="20262E"/>
                <w:sz w:val="15"/>
              </w:rPr>
              <w:t>B08</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Health + OTel + SLO</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live/ready/startup, metric/log/trace</w:t>
            </w:r>
          </w:p>
        </w:tc>
        <w:tc>
          <w:tcPr>
            <w:tcW w:type="dxa" w:w="2860"/>
            <w:vAlign w:val="center"/>
          </w:tcPr>
          <w:p>
            <w:pPr>
              <w:spacing w:after="0" w:line="259" w:lineRule="auto"/>
              <w:jc w:val="left"/>
            </w:pPr>
            <w:r>
              <w:rPr>
                <w:rFonts w:ascii="Arial" w:hAnsi="Arial" w:cs="Arial"/>
                <w:color w:val="20262E"/>
                <w:sz w:val="15"/>
              </w:rPr>
              <w:t>Alarm drill ile kanıt</w:t>
            </w:r>
          </w:p>
        </w:tc>
      </w:tr>
      <w:tr>
        <w:trPr>
          <w:cantSplit/>
        </w:trPr>
        <w:tc>
          <w:tcPr>
            <w:tcW w:type="dxa" w:w="520"/>
            <w:vAlign w:val="center"/>
          </w:tcPr>
          <w:p>
            <w:pPr>
              <w:spacing w:after="0" w:line="259" w:lineRule="auto"/>
              <w:jc w:val="center"/>
            </w:pPr>
            <w:r>
              <w:rPr>
                <w:rFonts w:ascii="Arial" w:hAnsi="Arial" w:cs="Arial"/>
                <w:color w:val="20262E"/>
                <w:sz w:val="15"/>
              </w:rPr>
              <w:t>B09</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Playwright kritik yol E2E</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Auth, vaka, profil, rol negatif</w:t>
            </w:r>
          </w:p>
        </w:tc>
        <w:tc>
          <w:tcPr>
            <w:tcW w:type="dxa" w:w="2860"/>
            <w:vAlign w:val="center"/>
          </w:tcPr>
          <w:p>
            <w:pPr>
              <w:spacing w:after="0" w:line="259" w:lineRule="auto"/>
              <w:jc w:val="left"/>
            </w:pPr>
            <w:r>
              <w:rPr>
                <w:rFonts w:ascii="Arial" w:hAnsi="Arial" w:cs="Arial"/>
                <w:color w:val="20262E"/>
                <w:sz w:val="15"/>
              </w:rPr>
              <w:t>Ana branch'te sürekli geçer</w:t>
            </w:r>
          </w:p>
        </w:tc>
      </w:tr>
      <w:tr>
        <w:trPr>
          <w:cantSplit/>
        </w:trPr>
        <w:tc>
          <w:tcPr>
            <w:tcW w:type="dxa" w:w="520"/>
            <w:vAlign w:val="center"/>
          </w:tcPr>
          <w:p>
            <w:pPr>
              <w:spacing w:after="0" w:line="259" w:lineRule="auto"/>
              <w:jc w:val="center"/>
            </w:pPr>
            <w:r>
              <w:rPr>
                <w:rFonts w:ascii="Arial" w:hAnsi="Arial" w:cs="Arial"/>
                <w:color w:val="20262E"/>
                <w:sz w:val="15"/>
              </w:rPr>
              <w:t>B10</w:t>
            </w:r>
          </w:p>
        </w:tc>
        <w:tc>
          <w:tcPr>
            <w:tcW w:type="dxa" w:w="480"/>
            <w:vAlign w:val="center"/>
          </w:tcPr>
          <w:p>
            <w:pPr>
              <w:spacing w:after="0" w:line="259" w:lineRule="auto"/>
              <w:jc w:val="center"/>
            </w:pPr>
            <w:r>
              <w:rPr>
                <w:rFonts w:ascii="Arial" w:hAnsi="Arial" w:cs="Arial"/>
                <w:color w:val="20262E"/>
                <w:sz w:val="15"/>
              </w:rPr>
              <w:t>P1</w:t>
            </w:r>
          </w:p>
        </w:tc>
        <w:tc>
          <w:tcPr>
            <w:tcW w:type="dxa" w:w="2050"/>
            <w:vAlign w:val="center"/>
          </w:tcPr>
          <w:p>
            <w:pPr>
              <w:spacing w:after="0" w:line="259" w:lineRule="auto"/>
              <w:jc w:val="left"/>
            </w:pPr>
            <w:r>
              <w:rPr>
                <w:rFonts w:ascii="Arial" w:hAnsi="Arial" w:cs="Arial"/>
                <w:color w:val="20262E"/>
                <w:sz w:val="15"/>
              </w:rPr>
              <w:t>ASVS L2 güvenlik kapısı</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Threat model, headers, CSRF, scans</w:t>
            </w:r>
          </w:p>
        </w:tc>
        <w:tc>
          <w:tcPr>
            <w:tcW w:type="dxa" w:w="2860"/>
            <w:vAlign w:val="center"/>
          </w:tcPr>
          <w:p>
            <w:pPr>
              <w:spacing w:after="0" w:line="259" w:lineRule="auto"/>
              <w:jc w:val="left"/>
            </w:pPr>
            <w:r>
              <w:rPr>
                <w:rFonts w:ascii="Arial" w:hAnsi="Arial" w:cs="Arial"/>
                <w:color w:val="20262E"/>
                <w:sz w:val="15"/>
              </w:rPr>
              <w:t>Kritik/yüksek açık yok</w:t>
            </w:r>
          </w:p>
        </w:tc>
      </w:tr>
      <w:tr>
        <w:trPr>
          <w:cantSplit/>
        </w:trPr>
        <w:tc>
          <w:tcPr>
            <w:tcW w:type="dxa" w:w="520"/>
            <w:vAlign w:val="center"/>
          </w:tcPr>
          <w:p>
            <w:pPr>
              <w:spacing w:after="0" w:line="259" w:lineRule="auto"/>
              <w:jc w:val="center"/>
            </w:pPr>
            <w:r>
              <w:rPr>
                <w:rFonts w:ascii="Arial" w:hAnsi="Arial" w:cs="Arial"/>
                <w:color w:val="20262E"/>
                <w:sz w:val="15"/>
              </w:rPr>
              <w:t>B11</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Attempt ve evaluation DB modeli</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Transaction, event, rubric lock</w:t>
            </w:r>
          </w:p>
        </w:tc>
        <w:tc>
          <w:tcPr>
            <w:tcW w:type="dxa" w:w="2860"/>
            <w:vAlign w:val="center"/>
          </w:tcPr>
          <w:p>
            <w:pPr>
              <w:spacing w:after="0" w:line="259" w:lineRule="auto"/>
              <w:jc w:val="left"/>
            </w:pPr>
            <w:r>
              <w:rPr>
                <w:rFonts w:ascii="Arial" w:hAnsi="Arial" w:cs="Arial"/>
                <w:color w:val="20262E"/>
                <w:sz w:val="15"/>
              </w:rPr>
              <w:t>Aynı sürüm aynı skor</w:t>
            </w:r>
          </w:p>
        </w:tc>
      </w:tr>
      <w:tr>
        <w:trPr>
          <w:cantSplit/>
        </w:trPr>
        <w:tc>
          <w:tcPr>
            <w:tcW w:type="dxa" w:w="520"/>
            <w:vAlign w:val="center"/>
          </w:tcPr>
          <w:p>
            <w:pPr>
              <w:spacing w:after="0" w:line="259" w:lineRule="auto"/>
              <w:jc w:val="center"/>
            </w:pPr>
            <w:r>
              <w:rPr>
                <w:rFonts w:ascii="Arial" w:hAnsi="Arial" w:cs="Arial"/>
                <w:color w:val="20262E"/>
                <w:sz w:val="15"/>
              </w:rPr>
              <w:t>B12</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Vaka sürüm/onay akışı</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Diff, bağımsız reviewer, checksum</w:t>
            </w:r>
          </w:p>
        </w:tc>
        <w:tc>
          <w:tcPr>
            <w:tcW w:type="dxa" w:w="2860"/>
            <w:vAlign w:val="center"/>
          </w:tcPr>
          <w:p>
            <w:pPr>
              <w:spacing w:after="0" w:line="259" w:lineRule="auto"/>
              <w:jc w:val="left"/>
            </w:pPr>
            <w:r>
              <w:rPr>
                <w:rFonts w:ascii="Arial" w:hAnsi="Arial" w:cs="Arial"/>
                <w:color w:val="20262E"/>
                <w:sz w:val="15"/>
              </w:rPr>
              <w:t>Kendi vakasını tek başına yayınlayamaz</w:t>
            </w:r>
          </w:p>
        </w:tc>
      </w:tr>
      <w:tr>
        <w:trPr>
          <w:cantSplit/>
        </w:trPr>
        <w:tc>
          <w:tcPr>
            <w:tcW w:type="dxa" w:w="520"/>
            <w:vAlign w:val="center"/>
          </w:tcPr>
          <w:p>
            <w:pPr>
              <w:spacing w:after="0" w:line="259" w:lineRule="auto"/>
              <w:jc w:val="center"/>
            </w:pPr>
            <w:r>
              <w:rPr>
                <w:rFonts w:ascii="Arial" w:hAnsi="Arial" w:cs="Arial"/>
                <w:color w:val="20262E"/>
                <w:sz w:val="15"/>
              </w:rPr>
              <w:t>B13</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Cohort ve assignment</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Sınıf, görev, hak, son tarih</w:t>
            </w:r>
          </w:p>
        </w:tc>
        <w:tc>
          <w:tcPr>
            <w:tcW w:type="dxa" w:w="2860"/>
            <w:vAlign w:val="center"/>
          </w:tcPr>
          <w:p>
            <w:pPr>
              <w:spacing w:after="0" w:line="259" w:lineRule="auto"/>
              <w:jc w:val="left"/>
            </w:pPr>
            <w:r>
              <w:rPr>
                <w:rFonts w:ascii="Arial" w:hAnsi="Arial" w:cs="Arial"/>
                <w:color w:val="20262E"/>
                <w:sz w:val="15"/>
              </w:rPr>
              <w:t>Öğretim üyesi uçtan uca görev verir</w:t>
            </w:r>
          </w:p>
        </w:tc>
      </w:tr>
      <w:tr>
        <w:trPr>
          <w:cantSplit/>
        </w:trPr>
        <w:tc>
          <w:tcPr>
            <w:tcW w:type="dxa" w:w="520"/>
            <w:vAlign w:val="center"/>
          </w:tcPr>
          <w:p>
            <w:pPr>
              <w:spacing w:after="0" w:line="259" w:lineRule="auto"/>
              <w:jc w:val="center"/>
            </w:pPr>
            <w:r>
              <w:rPr>
                <w:rFonts w:ascii="Arial" w:hAnsi="Arial" w:cs="Arial"/>
                <w:color w:val="20262E"/>
                <w:sz w:val="15"/>
              </w:rPr>
              <w:t>B14</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Adaptive öneri v1</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Kural tabanlı mastery ve açıklama</w:t>
            </w:r>
          </w:p>
        </w:tc>
        <w:tc>
          <w:tcPr>
            <w:tcW w:type="dxa" w:w="2860"/>
            <w:vAlign w:val="center"/>
          </w:tcPr>
          <w:p>
            <w:pPr>
              <w:spacing w:after="0" w:line="259" w:lineRule="auto"/>
              <w:jc w:val="left"/>
            </w:pPr>
            <w:r>
              <w:rPr>
                <w:rFonts w:ascii="Arial" w:hAnsi="Arial" w:cs="Arial"/>
                <w:color w:val="20262E"/>
                <w:sz w:val="15"/>
              </w:rPr>
              <w:t>Öneri nedeni görünür ve testli</w:t>
            </w:r>
          </w:p>
        </w:tc>
      </w:tr>
      <w:tr>
        <w:trPr>
          <w:cantSplit/>
        </w:trPr>
        <w:tc>
          <w:tcPr>
            <w:tcW w:type="dxa" w:w="520"/>
            <w:vAlign w:val="center"/>
          </w:tcPr>
          <w:p>
            <w:pPr>
              <w:spacing w:after="0" w:line="259" w:lineRule="auto"/>
              <w:jc w:val="center"/>
            </w:pPr>
            <w:r>
              <w:rPr>
                <w:rFonts w:ascii="Arial" w:hAnsi="Arial" w:cs="Arial"/>
                <w:color w:val="20262E"/>
                <w:sz w:val="15"/>
              </w:rPr>
              <w:t>B15</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Klinik reasoning arayüzü</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Problem temsili, DDx, güven</w:t>
            </w:r>
          </w:p>
        </w:tc>
        <w:tc>
          <w:tcPr>
            <w:tcW w:type="dxa" w:w="2860"/>
            <w:vAlign w:val="center"/>
          </w:tcPr>
          <w:p>
            <w:pPr>
              <w:spacing w:after="0" w:line="259" w:lineRule="auto"/>
              <w:jc w:val="left"/>
            </w:pPr>
            <w:r>
              <w:rPr>
                <w:rFonts w:ascii="Arial" w:hAnsi="Arial" w:cs="Arial"/>
                <w:color w:val="20262E"/>
                <w:sz w:val="15"/>
              </w:rPr>
              <w:t>Kalibrasyon metriği üretilir</w:t>
            </w:r>
          </w:p>
        </w:tc>
      </w:tr>
      <w:tr>
        <w:trPr>
          <w:cantSplit/>
        </w:trPr>
        <w:tc>
          <w:tcPr>
            <w:tcW w:type="dxa" w:w="520"/>
            <w:vAlign w:val="center"/>
          </w:tcPr>
          <w:p>
            <w:pPr>
              <w:spacing w:after="0" w:line="259" w:lineRule="auto"/>
              <w:jc w:val="center"/>
            </w:pPr>
            <w:r>
              <w:rPr>
                <w:rFonts w:ascii="Arial" w:hAnsi="Arial" w:cs="Arial"/>
                <w:color w:val="20262E"/>
                <w:sz w:val="15"/>
              </w:rPr>
              <w:t>B16</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WCAG 2.2 AA iyileştirmesi</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Klavye, SR, kontrast, mobil</w:t>
            </w:r>
          </w:p>
        </w:tc>
        <w:tc>
          <w:tcPr>
            <w:tcW w:type="dxa" w:w="2860"/>
            <w:vAlign w:val="center"/>
          </w:tcPr>
          <w:p>
            <w:pPr>
              <w:spacing w:after="0" w:line="259" w:lineRule="auto"/>
              <w:jc w:val="left"/>
            </w:pPr>
            <w:r>
              <w:rPr>
                <w:rFonts w:ascii="Arial" w:hAnsi="Arial" w:cs="Arial"/>
                <w:color w:val="20262E"/>
                <w:sz w:val="15"/>
              </w:rPr>
              <w:t>Kritik manuel/otomatik bulgu 0</w:t>
            </w:r>
          </w:p>
        </w:tc>
      </w:tr>
      <w:tr>
        <w:trPr>
          <w:cantSplit/>
        </w:trPr>
        <w:tc>
          <w:tcPr>
            <w:tcW w:type="dxa" w:w="520"/>
            <w:vAlign w:val="center"/>
          </w:tcPr>
          <w:p>
            <w:pPr>
              <w:spacing w:after="0" w:line="259" w:lineRule="auto"/>
              <w:jc w:val="center"/>
            </w:pPr>
            <w:r>
              <w:rPr>
                <w:rFonts w:ascii="Arial" w:hAnsi="Arial" w:cs="Arial"/>
                <w:color w:val="20262E"/>
                <w:sz w:val="15"/>
              </w:rPr>
              <w:t>B17</w:t>
            </w:r>
          </w:p>
        </w:tc>
        <w:tc>
          <w:tcPr>
            <w:tcW w:type="dxa" w:w="480"/>
            <w:vAlign w:val="center"/>
          </w:tcPr>
          <w:p>
            <w:pPr>
              <w:spacing w:after="0" w:line="259" w:lineRule="auto"/>
              <w:jc w:val="center"/>
            </w:pPr>
            <w:r>
              <w:rPr>
                <w:rFonts w:ascii="Arial" w:hAnsi="Arial" w:cs="Arial"/>
                <w:color w:val="20262E"/>
                <w:sz w:val="15"/>
              </w:rPr>
              <w:t>P2</w:t>
            </w:r>
          </w:p>
        </w:tc>
        <w:tc>
          <w:tcPr>
            <w:tcW w:type="dxa" w:w="2050"/>
            <w:vAlign w:val="center"/>
          </w:tcPr>
          <w:p>
            <w:pPr>
              <w:spacing w:after="0" w:line="259" w:lineRule="auto"/>
              <w:jc w:val="left"/>
            </w:pPr>
            <w:r>
              <w:rPr>
                <w:rFonts w:ascii="Arial" w:hAnsi="Arial" w:cs="Arial"/>
                <w:color w:val="20262E"/>
                <w:sz w:val="15"/>
              </w:rPr>
              <w:t>LTI/Caliper pilotu</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LMS launch, rol, not, event</w:t>
            </w:r>
          </w:p>
        </w:tc>
        <w:tc>
          <w:tcPr>
            <w:tcW w:type="dxa" w:w="2860"/>
            <w:vAlign w:val="center"/>
          </w:tcPr>
          <w:p>
            <w:pPr>
              <w:spacing w:after="0" w:line="259" w:lineRule="auto"/>
              <w:jc w:val="left"/>
            </w:pPr>
            <w:r>
              <w:rPr>
                <w:rFonts w:ascii="Arial" w:hAnsi="Arial" w:cs="Arial"/>
                <w:color w:val="20262E"/>
                <w:sz w:val="15"/>
              </w:rPr>
              <w:t>Bir test LMS ile kabul</w:t>
            </w:r>
          </w:p>
        </w:tc>
      </w:tr>
      <w:tr>
        <w:trPr>
          <w:cantSplit/>
        </w:trPr>
        <w:tc>
          <w:tcPr>
            <w:tcW w:type="dxa" w:w="520"/>
            <w:vAlign w:val="center"/>
          </w:tcPr>
          <w:p>
            <w:pPr>
              <w:spacing w:after="0" w:line="259" w:lineRule="auto"/>
              <w:jc w:val="center"/>
            </w:pPr>
            <w:r>
              <w:rPr>
                <w:rFonts w:ascii="Arial" w:hAnsi="Arial" w:cs="Arial"/>
                <w:color w:val="20262E"/>
                <w:sz w:val="15"/>
              </w:rPr>
              <w:t>B18</w:t>
            </w:r>
          </w:p>
        </w:tc>
        <w:tc>
          <w:tcPr>
            <w:tcW w:type="dxa" w:w="480"/>
            <w:vAlign w:val="center"/>
          </w:tcPr>
          <w:p>
            <w:pPr>
              <w:spacing w:after="0" w:line="259" w:lineRule="auto"/>
              <w:jc w:val="center"/>
            </w:pPr>
            <w:r>
              <w:rPr>
                <w:rFonts w:ascii="Arial" w:hAnsi="Arial" w:cs="Arial"/>
                <w:color w:val="20262E"/>
                <w:sz w:val="15"/>
              </w:rPr>
              <w:t>P3</w:t>
            </w:r>
          </w:p>
        </w:tc>
        <w:tc>
          <w:tcPr>
            <w:tcW w:type="dxa" w:w="2050"/>
            <w:vAlign w:val="center"/>
          </w:tcPr>
          <w:p>
            <w:pPr>
              <w:spacing w:after="0" w:line="259" w:lineRule="auto"/>
              <w:jc w:val="left"/>
            </w:pPr>
            <w:r>
              <w:rPr>
                <w:rFonts w:ascii="Arial" w:hAnsi="Arial" w:cs="Arial"/>
                <w:color w:val="20262E"/>
                <w:sz w:val="15"/>
              </w:rPr>
              <w:t>AI sanal hasta pilotu</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Fact grounding, schema, eval set</w:t>
            </w:r>
          </w:p>
        </w:tc>
        <w:tc>
          <w:tcPr>
            <w:tcW w:type="dxa" w:w="2860"/>
            <w:vAlign w:val="center"/>
          </w:tcPr>
          <w:p>
            <w:pPr>
              <w:spacing w:after="0" w:line="259" w:lineRule="auto"/>
              <w:jc w:val="left"/>
            </w:pPr>
            <w:r>
              <w:rPr>
                <w:rFonts w:ascii="Arial" w:hAnsi="Arial" w:cs="Arial"/>
                <w:color w:val="20262E"/>
                <w:sz w:val="15"/>
              </w:rPr>
              <w:t>Golden set eşiği ve human review</w:t>
            </w:r>
          </w:p>
        </w:tc>
      </w:tr>
      <w:tr>
        <w:trPr>
          <w:cantSplit/>
        </w:trPr>
        <w:tc>
          <w:tcPr>
            <w:tcW w:type="dxa" w:w="520"/>
            <w:vAlign w:val="center"/>
          </w:tcPr>
          <w:p>
            <w:pPr>
              <w:spacing w:after="0" w:line="259" w:lineRule="auto"/>
              <w:jc w:val="center"/>
            </w:pPr>
            <w:r>
              <w:rPr>
                <w:rFonts w:ascii="Arial" w:hAnsi="Arial" w:cs="Arial"/>
                <w:color w:val="20262E"/>
                <w:sz w:val="15"/>
              </w:rPr>
              <w:t>B19</w:t>
            </w:r>
          </w:p>
        </w:tc>
        <w:tc>
          <w:tcPr>
            <w:tcW w:type="dxa" w:w="480"/>
            <w:vAlign w:val="center"/>
          </w:tcPr>
          <w:p>
            <w:pPr>
              <w:spacing w:after="0" w:line="259" w:lineRule="auto"/>
              <w:jc w:val="center"/>
            </w:pPr>
            <w:r>
              <w:rPr>
                <w:rFonts w:ascii="Arial" w:hAnsi="Arial" w:cs="Arial"/>
                <w:color w:val="20262E"/>
                <w:sz w:val="15"/>
              </w:rPr>
              <w:t>P3</w:t>
            </w:r>
          </w:p>
        </w:tc>
        <w:tc>
          <w:tcPr>
            <w:tcW w:type="dxa" w:w="2050"/>
            <w:vAlign w:val="center"/>
          </w:tcPr>
          <w:p>
            <w:pPr>
              <w:spacing w:after="0" w:line="259" w:lineRule="auto"/>
              <w:jc w:val="left"/>
            </w:pPr>
            <w:r>
              <w:rPr>
                <w:rFonts w:ascii="Arial" w:hAnsi="Arial" w:cs="Arial"/>
                <w:color w:val="20262E"/>
                <w:sz w:val="15"/>
              </w:rPr>
              <w:t>MIMIC izole ETL</w:t>
            </w:r>
          </w:p>
        </w:tc>
        <w:tc>
          <w:tcPr>
            <w:tcW w:type="dxa" w:w="650"/>
            <w:vAlign w:val="center"/>
          </w:tcPr>
          <w:p>
            <w:pPr>
              <w:spacing w:after="0" w:line="259" w:lineRule="auto"/>
              <w:jc w:val="center"/>
            </w:pPr>
            <w:r>
              <w:rPr>
                <w:rFonts w:ascii="Arial" w:hAnsi="Arial" w:cs="Arial"/>
                <w:color w:val="20262E"/>
                <w:sz w:val="15"/>
              </w:rPr>
              <w:t>L</w:t>
            </w:r>
          </w:p>
        </w:tc>
        <w:tc>
          <w:tcPr>
            <w:tcW w:type="dxa" w:w="2800"/>
            <w:vAlign w:val="center"/>
          </w:tcPr>
          <w:p>
            <w:pPr>
              <w:spacing w:after="0" w:line="259" w:lineRule="auto"/>
              <w:jc w:val="left"/>
            </w:pPr>
            <w:r>
              <w:rPr>
                <w:rFonts w:ascii="Arial" w:hAnsi="Arial" w:cs="Arial"/>
                <w:color w:val="20262E"/>
                <w:sz w:val="15"/>
              </w:rPr>
              <w:t>Zonlar, lineage, karantina</w:t>
            </w:r>
          </w:p>
        </w:tc>
        <w:tc>
          <w:tcPr>
            <w:tcW w:type="dxa" w:w="2860"/>
            <w:vAlign w:val="center"/>
          </w:tcPr>
          <w:p>
            <w:pPr>
              <w:spacing w:after="0" w:line="259" w:lineRule="auto"/>
              <w:jc w:val="left"/>
            </w:pPr>
            <w:r>
              <w:rPr>
                <w:rFonts w:ascii="Arial" w:hAnsi="Arial" w:cs="Arial"/>
                <w:color w:val="20262E"/>
                <w:sz w:val="15"/>
              </w:rPr>
              <w:t>Raw veri runtime'a çıkmaz</w:t>
            </w:r>
          </w:p>
        </w:tc>
      </w:tr>
      <w:tr>
        <w:trPr>
          <w:cantSplit/>
        </w:trPr>
        <w:tc>
          <w:tcPr>
            <w:tcW w:type="dxa" w:w="520"/>
            <w:vAlign w:val="center"/>
          </w:tcPr>
          <w:p>
            <w:pPr>
              <w:spacing w:after="0" w:line="259" w:lineRule="auto"/>
              <w:jc w:val="center"/>
            </w:pPr>
            <w:r>
              <w:rPr>
                <w:rFonts w:ascii="Arial" w:hAnsi="Arial" w:cs="Arial"/>
                <w:color w:val="20262E"/>
                <w:sz w:val="15"/>
              </w:rPr>
              <w:t>B20</w:t>
            </w:r>
          </w:p>
        </w:tc>
        <w:tc>
          <w:tcPr>
            <w:tcW w:type="dxa" w:w="480"/>
            <w:vAlign w:val="center"/>
          </w:tcPr>
          <w:p>
            <w:pPr>
              <w:spacing w:after="0" w:line="259" w:lineRule="auto"/>
              <w:jc w:val="center"/>
            </w:pPr>
            <w:r>
              <w:rPr>
                <w:rFonts w:ascii="Arial" w:hAnsi="Arial" w:cs="Arial"/>
                <w:color w:val="20262E"/>
                <w:sz w:val="15"/>
              </w:rPr>
              <w:t>P3</w:t>
            </w:r>
          </w:p>
        </w:tc>
        <w:tc>
          <w:tcPr>
            <w:tcW w:type="dxa" w:w="2050"/>
            <w:vAlign w:val="center"/>
          </w:tcPr>
          <w:p>
            <w:pPr>
              <w:spacing w:after="0" w:line="259" w:lineRule="auto"/>
              <w:jc w:val="left"/>
            </w:pPr>
            <w:r>
              <w:rPr>
                <w:rFonts w:ascii="Arial" w:hAnsi="Arial" w:cs="Arial"/>
                <w:color w:val="20262E"/>
                <w:sz w:val="15"/>
              </w:rPr>
              <w:t>Psikometri ve vaka sağlığı</w:t>
            </w:r>
          </w:p>
        </w:tc>
        <w:tc>
          <w:tcPr>
            <w:tcW w:type="dxa" w:w="650"/>
            <w:vAlign w:val="center"/>
          </w:tcPr>
          <w:p>
            <w:pPr>
              <w:spacing w:after="0" w:line="259" w:lineRule="auto"/>
              <w:jc w:val="center"/>
            </w:pPr>
            <w:r>
              <w:rPr>
                <w:rFonts w:ascii="Arial" w:hAnsi="Arial" w:cs="Arial"/>
                <w:color w:val="20262E"/>
                <w:sz w:val="15"/>
              </w:rPr>
              <w:t>M</w:t>
            </w:r>
          </w:p>
        </w:tc>
        <w:tc>
          <w:tcPr>
            <w:tcW w:type="dxa" w:w="2800"/>
            <w:vAlign w:val="center"/>
          </w:tcPr>
          <w:p>
            <w:pPr>
              <w:spacing w:after="0" w:line="259" w:lineRule="auto"/>
              <w:jc w:val="left"/>
            </w:pPr>
            <w:r>
              <w:rPr>
                <w:rFonts w:ascii="Arial" w:hAnsi="Arial" w:cs="Arial"/>
                <w:color w:val="20262E"/>
                <w:sz w:val="15"/>
              </w:rPr>
              <w:t>Güçlük, süre, itiraz, drift</w:t>
            </w:r>
          </w:p>
        </w:tc>
        <w:tc>
          <w:tcPr>
            <w:tcW w:type="dxa" w:w="2860"/>
            <w:vAlign w:val="center"/>
          </w:tcPr>
          <w:p>
            <w:pPr>
              <w:spacing w:after="0" w:line="259" w:lineRule="auto"/>
              <w:jc w:val="left"/>
            </w:pPr>
            <w:r>
              <w:rPr>
                <w:rFonts w:ascii="Arial" w:hAnsi="Arial" w:cs="Arial"/>
                <w:color w:val="20262E"/>
                <w:sz w:val="15"/>
              </w:rPr>
              <w:t>Minimum örneklem ve yorum kuralları</w:t>
            </w:r>
          </w:p>
        </w:tc>
      </w:tr>
    </w:tbl>
    <w:p>
      <w:pPr>
        <w:spacing w:before="0" w:after="80" w:line="264" w:lineRule="auto"/>
      </w:pPr>
    </w:p>
    <w:p>
      <w:pPr>
        <w:pStyle w:val="Heading1"/>
      </w:pPr>
      <w:r>
        <w:rPr>
          <w:rFonts w:ascii="Arial" w:hAnsi="Arial" w:cs="Arial"/>
          <w:b/>
          <w:color w:val="2E74B5"/>
          <w:sz w:val="32"/>
        </w:rPr>
        <w:t>8. Risk kaydı</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520"/>
        <w:gridCol w:w="2700"/>
        <w:gridCol w:w="1050"/>
        <w:gridCol w:w="1200"/>
        <w:gridCol w:w="3890"/>
      </w:tblGrid>
      <w:tr>
        <w:trPr>
          <w:tblHeader w:val="true"/>
        </w:trPr>
        <w:tc>
          <w:tcPr>
            <w:tcW w:type="dxa" w:w="52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5"/>
              </w:rPr>
              <w:t>ID</w:t>
            </w:r>
          </w:p>
        </w:tc>
        <w:tc>
          <w:tcPr>
            <w:tcW w:type="dxa" w:w="27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5"/>
              </w:rPr>
              <w:t>Risk</w:t>
            </w:r>
          </w:p>
        </w:tc>
        <w:tc>
          <w:tcPr>
            <w:tcW w:type="dxa" w:w="105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5"/>
              </w:rPr>
              <w:t>Etki</w:t>
            </w:r>
          </w:p>
        </w:tc>
        <w:tc>
          <w:tcPr>
            <w:tcW w:type="dxa" w:w="12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5"/>
              </w:rPr>
              <w:t>Olasılık</w:t>
            </w:r>
          </w:p>
        </w:tc>
        <w:tc>
          <w:tcPr>
            <w:tcW w:type="dxa" w:w="389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5"/>
              </w:rPr>
              <w:t>Azaltma</w:t>
            </w:r>
          </w:p>
        </w:tc>
      </w:tr>
      <w:tr>
        <w:trPr>
          <w:cantSplit/>
        </w:trPr>
        <w:tc>
          <w:tcPr>
            <w:tcW w:type="dxa" w:w="520"/>
            <w:vAlign w:val="center"/>
          </w:tcPr>
          <w:p>
            <w:pPr>
              <w:spacing w:after="0" w:line="259" w:lineRule="auto"/>
              <w:jc w:val="center"/>
            </w:pPr>
            <w:r>
              <w:rPr>
                <w:rFonts w:ascii="Arial" w:hAnsi="Arial" w:cs="Arial"/>
                <w:color w:val="20262E"/>
                <w:sz w:val="15"/>
              </w:rPr>
              <w:t>R1</w:t>
            </w:r>
          </w:p>
        </w:tc>
        <w:tc>
          <w:tcPr>
            <w:tcW w:type="dxa" w:w="2700"/>
            <w:vAlign w:val="center"/>
          </w:tcPr>
          <w:p>
            <w:pPr>
              <w:spacing w:after="0" w:line="259" w:lineRule="auto"/>
              <w:jc w:val="left"/>
            </w:pPr>
            <w:r>
              <w:rPr>
                <w:rFonts w:ascii="Arial" w:hAnsi="Arial" w:cs="Arial"/>
                <w:color w:val="20262E"/>
                <w:sz w:val="15"/>
              </w:rPr>
              <w:t>Cutover sırasında kullanıcı kaybı/çakışması</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Yüksek</w:t>
            </w:r>
          </w:p>
        </w:tc>
        <w:tc>
          <w:tcPr>
            <w:tcW w:type="dxa" w:w="3890"/>
            <w:vAlign w:val="center"/>
          </w:tcPr>
          <w:p>
            <w:pPr>
              <w:spacing w:after="0" w:line="259" w:lineRule="auto"/>
              <w:jc w:val="left"/>
            </w:pPr>
            <w:r>
              <w:rPr>
                <w:rFonts w:ascii="Arial" w:hAnsi="Arial" w:cs="Arial"/>
                <w:color w:val="20262E"/>
                <w:sz w:val="15"/>
              </w:rPr>
              <w:t>Idempotent import, unique constraint, shadow read, canary, checksum</w:t>
            </w:r>
          </w:p>
        </w:tc>
      </w:tr>
      <w:tr>
        <w:trPr>
          <w:cantSplit/>
        </w:trPr>
        <w:tc>
          <w:tcPr>
            <w:tcW w:type="dxa" w:w="520"/>
            <w:vAlign w:val="center"/>
          </w:tcPr>
          <w:p>
            <w:pPr>
              <w:spacing w:after="0" w:line="259" w:lineRule="auto"/>
              <w:jc w:val="center"/>
            </w:pPr>
            <w:r>
              <w:rPr>
                <w:rFonts w:ascii="Arial" w:hAnsi="Arial" w:cs="Arial"/>
                <w:color w:val="20262E"/>
                <w:sz w:val="15"/>
              </w:rPr>
              <w:t>R2</w:t>
            </w:r>
          </w:p>
        </w:tc>
        <w:tc>
          <w:tcPr>
            <w:tcW w:type="dxa" w:w="2700"/>
            <w:vAlign w:val="center"/>
          </w:tcPr>
          <w:p>
            <w:pPr>
              <w:spacing w:after="0" w:line="259" w:lineRule="auto"/>
              <w:jc w:val="left"/>
            </w:pPr>
            <w:r>
              <w:rPr>
                <w:rFonts w:ascii="Arial" w:hAnsi="Arial" w:cs="Arial"/>
                <w:color w:val="20262E"/>
                <w:sz w:val="15"/>
              </w:rPr>
              <w:t>Migration deploy'u kilitler veya yarım kalır</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Release job, advisory lock, timeout, expand/contract, fail-closed readiness</w:t>
            </w:r>
          </w:p>
        </w:tc>
      </w:tr>
      <w:tr>
        <w:trPr>
          <w:cantSplit/>
        </w:trPr>
        <w:tc>
          <w:tcPr>
            <w:tcW w:type="dxa" w:w="520"/>
            <w:vAlign w:val="center"/>
          </w:tcPr>
          <w:p>
            <w:pPr>
              <w:spacing w:after="0" w:line="259" w:lineRule="auto"/>
              <w:jc w:val="center"/>
            </w:pPr>
            <w:r>
              <w:rPr>
                <w:rFonts w:ascii="Arial" w:hAnsi="Arial" w:cs="Arial"/>
                <w:color w:val="20262E"/>
                <w:sz w:val="15"/>
              </w:rPr>
              <w:t>R3</w:t>
            </w:r>
          </w:p>
        </w:tc>
        <w:tc>
          <w:tcPr>
            <w:tcW w:type="dxa" w:w="2700"/>
            <w:vAlign w:val="center"/>
          </w:tcPr>
          <w:p>
            <w:pPr>
              <w:spacing w:after="0" w:line="259" w:lineRule="auto"/>
              <w:jc w:val="left"/>
            </w:pPr>
            <w:r>
              <w:rPr>
                <w:rFonts w:ascii="Arial" w:hAnsi="Arial" w:cs="Arial"/>
                <w:color w:val="20262E"/>
                <w:sz w:val="15"/>
              </w:rPr>
              <w:t>Dual-write veri ayrışması</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Süresiz dual-write yok; tek kaynak + outbox/change-log</w:t>
            </w:r>
          </w:p>
        </w:tc>
      </w:tr>
      <w:tr>
        <w:trPr>
          <w:cantSplit/>
        </w:trPr>
        <w:tc>
          <w:tcPr>
            <w:tcW w:type="dxa" w:w="520"/>
            <w:vAlign w:val="center"/>
          </w:tcPr>
          <w:p>
            <w:pPr>
              <w:spacing w:after="0" w:line="259" w:lineRule="auto"/>
              <w:jc w:val="center"/>
            </w:pPr>
            <w:r>
              <w:rPr>
                <w:rFonts w:ascii="Arial" w:hAnsi="Arial" w:cs="Arial"/>
                <w:color w:val="20262E"/>
                <w:sz w:val="15"/>
              </w:rPr>
              <w:t>R4</w:t>
            </w:r>
          </w:p>
        </w:tc>
        <w:tc>
          <w:tcPr>
            <w:tcW w:type="dxa" w:w="2700"/>
            <w:vAlign w:val="center"/>
          </w:tcPr>
          <w:p>
            <w:pPr>
              <w:spacing w:after="0" w:line="259" w:lineRule="auto"/>
              <w:jc w:val="left"/>
            </w:pPr>
            <w:r>
              <w:rPr>
                <w:rFonts w:ascii="Arial" w:hAnsi="Arial" w:cs="Arial"/>
                <w:color w:val="20262E"/>
                <w:sz w:val="15"/>
              </w:rPr>
              <w:t>Backup var ancak restore edilemez</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Aylık izole restore + E2E + ölçülmüş RTO/RPO</w:t>
            </w:r>
          </w:p>
        </w:tc>
      </w:tr>
      <w:tr>
        <w:trPr>
          <w:cantSplit/>
        </w:trPr>
        <w:tc>
          <w:tcPr>
            <w:tcW w:type="dxa" w:w="520"/>
            <w:vAlign w:val="center"/>
          </w:tcPr>
          <w:p>
            <w:pPr>
              <w:spacing w:after="0" w:line="259" w:lineRule="auto"/>
              <w:jc w:val="center"/>
            </w:pPr>
            <w:r>
              <w:rPr>
                <w:rFonts w:ascii="Arial" w:hAnsi="Arial" w:cs="Arial"/>
                <w:color w:val="20262E"/>
                <w:sz w:val="15"/>
              </w:rPr>
              <w:t>R5</w:t>
            </w:r>
          </w:p>
        </w:tc>
        <w:tc>
          <w:tcPr>
            <w:tcW w:type="dxa" w:w="2700"/>
            <w:vAlign w:val="center"/>
          </w:tcPr>
          <w:p>
            <w:pPr>
              <w:spacing w:after="0" w:line="259" w:lineRule="auto"/>
              <w:jc w:val="left"/>
            </w:pPr>
            <w:r>
              <w:rPr>
                <w:rFonts w:ascii="Arial" w:hAnsi="Arial" w:cs="Arial"/>
                <w:color w:val="20262E"/>
                <w:sz w:val="15"/>
              </w:rPr>
              <w:t>MFA/reset kullanıcı kilitlenmesi yaratır</w:t>
            </w:r>
          </w:p>
        </w:tc>
        <w:tc>
          <w:tcPr>
            <w:tcW w:type="dxa" w:w="1050"/>
            <w:vAlign w:val="center"/>
          </w:tcPr>
          <w:p>
            <w:pPr>
              <w:spacing w:after="0" w:line="259" w:lineRule="auto"/>
              <w:jc w:val="center"/>
            </w:pPr>
            <w:r>
              <w:rPr>
                <w:rFonts w:ascii="Arial" w:hAnsi="Arial" w:cs="Arial"/>
                <w:color w:val="20262E"/>
                <w:sz w:val="15"/>
              </w:rPr>
              <w:t>Orta</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Kurtarma kodu, güvenli destek SOP, audit, rate-limit dengesi</w:t>
            </w:r>
          </w:p>
        </w:tc>
      </w:tr>
      <w:tr>
        <w:trPr>
          <w:cantSplit/>
        </w:trPr>
        <w:tc>
          <w:tcPr>
            <w:tcW w:type="dxa" w:w="520"/>
            <w:vAlign w:val="center"/>
          </w:tcPr>
          <w:p>
            <w:pPr>
              <w:spacing w:after="0" w:line="259" w:lineRule="auto"/>
              <w:jc w:val="center"/>
            </w:pPr>
            <w:r>
              <w:rPr>
                <w:rFonts w:ascii="Arial" w:hAnsi="Arial" w:cs="Arial"/>
                <w:color w:val="20262E"/>
                <w:sz w:val="15"/>
              </w:rPr>
              <w:t>R6</w:t>
            </w:r>
          </w:p>
        </w:tc>
        <w:tc>
          <w:tcPr>
            <w:tcW w:type="dxa" w:w="2700"/>
            <w:vAlign w:val="center"/>
          </w:tcPr>
          <w:p>
            <w:pPr>
              <w:spacing w:after="0" w:line="259" w:lineRule="auto"/>
              <w:jc w:val="left"/>
            </w:pPr>
            <w:r>
              <w:rPr>
                <w:rFonts w:ascii="Arial" w:hAnsi="Arial" w:cs="Arial"/>
                <w:color w:val="20262E"/>
                <w:sz w:val="15"/>
              </w:rPr>
              <w:t>Loglarda kişisel/klinik serbest metin</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Allowlist log şeması, masking, test, retention</w:t>
            </w:r>
          </w:p>
        </w:tc>
      </w:tr>
      <w:tr>
        <w:trPr>
          <w:cantSplit/>
        </w:trPr>
        <w:tc>
          <w:tcPr>
            <w:tcW w:type="dxa" w:w="520"/>
            <w:vAlign w:val="center"/>
          </w:tcPr>
          <w:p>
            <w:pPr>
              <w:spacing w:after="0" w:line="259" w:lineRule="auto"/>
              <w:jc w:val="center"/>
            </w:pPr>
            <w:r>
              <w:rPr>
                <w:rFonts w:ascii="Arial" w:hAnsi="Arial" w:cs="Arial"/>
                <w:color w:val="20262E"/>
                <w:sz w:val="15"/>
              </w:rPr>
              <w:t>R7</w:t>
            </w:r>
          </w:p>
        </w:tc>
        <w:tc>
          <w:tcPr>
            <w:tcW w:type="dxa" w:w="2700"/>
            <w:vAlign w:val="center"/>
          </w:tcPr>
          <w:p>
            <w:pPr>
              <w:spacing w:after="0" w:line="259" w:lineRule="auto"/>
              <w:jc w:val="left"/>
            </w:pPr>
            <w:r>
              <w:rPr>
                <w:rFonts w:ascii="Arial" w:hAnsi="Arial" w:cs="Arial"/>
                <w:color w:val="20262E"/>
                <w:sz w:val="15"/>
              </w:rPr>
              <w:t>AI çelişkili klinik yanıt verir</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Fact-grounding, deterministic state, golden eval, fallback, reviewer</w:t>
            </w:r>
          </w:p>
        </w:tc>
      </w:tr>
      <w:tr>
        <w:trPr>
          <w:cantSplit/>
        </w:trPr>
        <w:tc>
          <w:tcPr>
            <w:tcW w:type="dxa" w:w="520"/>
            <w:vAlign w:val="center"/>
          </w:tcPr>
          <w:p>
            <w:pPr>
              <w:spacing w:after="0" w:line="259" w:lineRule="auto"/>
              <w:jc w:val="center"/>
            </w:pPr>
            <w:r>
              <w:rPr>
                <w:rFonts w:ascii="Arial" w:hAnsi="Arial" w:cs="Arial"/>
                <w:color w:val="20262E"/>
                <w:sz w:val="15"/>
              </w:rPr>
              <w:t>R8</w:t>
            </w:r>
          </w:p>
        </w:tc>
        <w:tc>
          <w:tcPr>
            <w:tcW w:type="dxa" w:w="2700"/>
            <w:vAlign w:val="center"/>
          </w:tcPr>
          <w:p>
            <w:pPr>
              <w:spacing w:after="0" w:line="259" w:lineRule="auto"/>
              <w:jc w:val="left"/>
            </w:pPr>
            <w:r>
              <w:rPr>
                <w:rFonts w:ascii="Arial" w:hAnsi="Arial" w:cs="Arial"/>
                <w:color w:val="20262E"/>
                <w:sz w:val="15"/>
              </w:rPr>
              <w:t>MIMIC DUA ihlali veya dış aktarım</w:t>
            </w:r>
          </w:p>
        </w:tc>
        <w:tc>
          <w:tcPr>
            <w:tcW w:type="dxa" w:w="1050"/>
            <w:vAlign w:val="center"/>
          </w:tcPr>
          <w:p>
            <w:pPr>
              <w:spacing w:after="0" w:line="259" w:lineRule="auto"/>
              <w:jc w:val="center"/>
            </w:pPr>
            <w:r>
              <w:rPr>
                <w:rFonts w:ascii="Arial" w:hAnsi="Arial" w:cs="Arial"/>
                <w:color w:val="20262E"/>
                <w:sz w:val="15"/>
              </w:rPr>
              <w:t>Çok yüksek</w:t>
            </w:r>
          </w:p>
        </w:tc>
        <w:tc>
          <w:tcPr>
            <w:tcW w:type="dxa" w:w="1200"/>
            <w:vAlign w:val="center"/>
          </w:tcPr>
          <w:p>
            <w:pPr>
              <w:spacing w:after="0" w:line="259" w:lineRule="auto"/>
              <w:jc w:val="center"/>
            </w:pPr>
            <w:r>
              <w:rPr>
                <w:rFonts w:ascii="Arial" w:hAnsi="Arial" w:cs="Arial"/>
                <w:color w:val="20262E"/>
                <w:sz w:val="15"/>
              </w:rPr>
              <w:t>Düşük-Orta</w:t>
            </w:r>
          </w:p>
        </w:tc>
        <w:tc>
          <w:tcPr>
            <w:tcW w:type="dxa" w:w="3890"/>
            <w:vAlign w:val="center"/>
          </w:tcPr>
          <w:p>
            <w:pPr>
              <w:spacing w:after="0" w:line="259" w:lineRule="auto"/>
              <w:jc w:val="left"/>
            </w:pPr>
            <w:r>
              <w:rPr>
                <w:rFonts w:ascii="Arial" w:hAnsi="Arial" w:cs="Arial"/>
                <w:color w:val="20262E"/>
                <w:sz w:val="15"/>
              </w:rPr>
              <w:t>İzole zon, güncel DUA kontrolü, local processing, erişim ve lineage</w:t>
            </w:r>
          </w:p>
        </w:tc>
      </w:tr>
      <w:tr>
        <w:trPr>
          <w:cantSplit/>
        </w:trPr>
        <w:tc>
          <w:tcPr>
            <w:tcW w:type="dxa" w:w="520"/>
            <w:vAlign w:val="center"/>
          </w:tcPr>
          <w:p>
            <w:pPr>
              <w:spacing w:after="0" w:line="259" w:lineRule="auto"/>
              <w:jc w:val="center"/>
            </w:pPr>
            <w:r>
              <w:rPr>
                <w:rFonts w:ascii="Arial" w:hAnsi="Arial" w:cs="Arial"/>
                <w:color w:val="20262E"/>
                <w:sz w:val="15"/>
              </w:rPr>
              <w:t>R9</w:t>
            </w:r>
          </w:p>
        </w:tc>
        <w:tc>
          <w:tcPr>
            <w:tcW w:type="dxa" w:w="2700"/>
            <w:vAlign w:val="center"/>
          </w:tcPr>
          <w:p>
            <w:pPr>
              <w:spacing w:after="0" w:line="259" w:lineRule="auto"/>
              <w:jc w:val="left"/>
            </w:pPr>
            <w:r>
              <w:rPr>
                <w:rFonts w:ascii="Arial" w:hAnsi="Arial" w:cs="Arial"/>
                <w:color w:val="20262E"/>
                <w:sz w:val="15"/>
              </w:rPr>
              <w:t>Öğrenci analitiği yanlış/cezalandırıcı yorumlanır</w:t>
            </w:r>
          </w:p>
        </w:tc>
        <w:tc>
          <w:tcPr>
            <w:tcW w:type="dxa" w:w="1050"/>
            <w:vAlign w:val="center"/>
          </w:tcPr>
          <w:p>
            <w:pPr>
              <w:spacing w:after="0" w:line="259" w:lineRule="auto"/>
              <w:jc w:val="center"/>
            </w:pPr>
            <w:r>
              <w:rPr>
                <w:rFonts w:ascii="Arial" w:hAnsi="Arial" w:cs="Arial"/>
                <w:color w:val="20262E"/>
                <w:sz w:val="15"/>
              </w:rPr>
              <w:t>Orta</w:t>
            </w:r>
          </w:p>
        </w:tc>
        <w:tc>
          <w:tcPr>
            <w:tcW w:type="dxa" w:w="1200"/>
            <w:vAlign w:val="center"/>
          </w:tcPr>
          <w:p>
            <w:pPr>
              <w:spacing w:after="0" w:line="259" w:lineRule="auto"/>
              <w:jc w:val="center"/>
            </w:pPr>
            <w:r>
              <w:rPr>
                <w:rFonts w:ascii="Arial" w:hAnsi="Arial" w:cs="Arial"/>
                <w:color w:val="20262E"/>
                <w:sz w:val="15"/>
              </w:rPr>
              <w:t>Orta</w:t>
            </w:r>
          </w:p>
        </w:tc>
        <w:tc>
          <w:tcPr>
            <w:tcW w:type="dxa" w:w="3890"/>
            <w:vAlign w:val="center"/>
          </w:tcPr>
          <w:p>
            <w:pPr>
              <w:spacing w:after="0" w:line="259" w:lineRule="auto"/>
              <w:jc w:val="left"/>
            </w:pPr>
            <w:r>
              <w:rPr>
                <w:rFonts w:ascii="Arial" w:hAnsi="Arial" w:cs="Arial"/>
                <w:color w:val="20262E"/>
                <w:sz w:val="15"/>
              </w:rPr>
              <w:t>Self-growth, açıklanabilir metric, küçük cohort eşiği, öğretim rehberi</w:t>
            </w:r>
          </w:p>
        </w:tc>
      </w:tr>
      <w:tr>
        <w:trPr>
          <w:cantSplit/>
        </w:trPr>
        <w:tc>
          <w:tcPr>
            <w:tcW w:type="dxa" w:w="520"/>
            <w:vAlign w:val="center"/>
          </w:tcPr>
          <w:p>
            <w:pPr>
              <w:spacing w:after="0" w:line="259" w:lineRule="auto"/>
              <w:jc w:val="center"/>
            </w:pPr>
            <w:r>
              <w:rPr>
                <w:rFonts w:ascii="Arial" w:hAnsi="Arial" w:cs="Arial"/>
                <w:color w:val="20262E"/>
                <w:sz w:val="15"/>
              </w:rPr>
              <w:t>R10</w:t>
            </w:r>
          </w:p>
        </w:tc>
        <w:tc>
          <w:tcPr>
            <w:tcW w:type="dxa" w:w="2700"/>
            <w:vAlign w:val="center"/>
          </w:tcPr>
          <w:p>
            <w:pPr>
              <w:spacing w:after="0" w:line="259" w:lineRule="auto"/>
              <w:jc w:val="left"/>
            </w:pPr>
            <w:r>
              <w:rPr>
                <w:rFonts w:ascii="Arial" w:hAnsi="Arial" w:cs="Arial"/>
                <w:color w:val="20262E"/>
                <w:sz w:val="15"/>
              </w:rPr>
              <w:t>Aşırı özellik yükü temel işleri geciktirir</w:t>
            </w:r>
          </w:p>
        </w:tc>
        <w:tc>
          <w:tcPr>
            <w:tcW w:type="dxa" w:w="1050"/>
            <w:vAlign w:val="center"/>
          </w:tcPr>
          <w:p>
            <w:pPr>
              <w:spacing w:after="0" w:line="259" w:lineRule="auto"/>
              <w:jc w:val="center"/>
            </w:pPr>
            <w:r>
              <w:rPr>
                <w:rFonts w:ascii="Arial" w:hAnsi="Arial" w:cs="Arial"/>
                <w:color w:val="20262E"/>
                <w:sz w:val="15"/>
              </w:rPr>
              <w:t>Yüksek</w:t>
            </w:r>
          </w:p>
        </w:tc>
        <w:tc>
          <w:tcPr>
            <w:tcW w:type="dxa" w:w="1200"/>
            <w:vAlign w:val="center"/>
          </w:tcPr>
          <w:p>
            <w:pPr>
              <w:spacing w:after="0" w:line="259" w:lineRule="auto"/>
              <w:jc w:val="center"/>
            </w:pPr>
            <w:r>
              <w:rPr>
                <w:rFonts w:ascii="Arial" w:hAnsi="Arial" w:cs="Arial"/>
                <w:color w:val="20262E"/>
                <w:sz w:val="15"/>
              </w:rPr>
              <w:t>Yüksek</w:t>
            </w:r>
          </w:p>
        </w:tc>
        <w:tc>
          <w:tcPr>
            <w:tcW w:type="dxa" w:w="3890"/>
            <w:vAlign w:val="center"/>
          </w:tcPr>
          <w:p>
            <w:pPr>
              <w:spacing w:after="0" w:line="259" w:lineRule="auto"/>
              <w:jc w:val="left"/>
            </w:pPr>
            <w:r>
              <w:rPr>
                <w:rFonts w:ascii="Arial" w:hAnsi="Arial" w:cs="Arial"/>
                <w:color w:val="20262E"/>
                <w:sz w:val="15"/>
              </w:rPr>
              <w:t>P0 release gate; WIP limiti; roadmap karar kapıları</w:t>
            </w:r>
          </w:p>
        </w:tc>
      </w:tr>
    </w:tbl>
    <w:p>
      <w:pPr>
        <w:spacing w:before="0" w:after="80" w:line="264" w:lineRule="auto"/>
      </w:pPr>
    </w:p>
    <w:p>
      <w:pPr>
        <w:pStyle w:val="Heading1"/>
      </w:pPr>
      <w:r>
        <w:rPr>
          <w:rFonts w:ascii="Arial" w:hAnsi="Arial" w:cs="Arial"/>
          <w:b/>
          <w:color w:val="2E74B5"/>
          <w:sz w:val="32"/>
        </w:rPr>
        <w:t>9. Bitmiş sayılma ölçütleri</w:t>
      </w:r>
    </w:p>
    <w:p>
      <w:pPr>
        <w:spacing w:before="0" w:after="120" w:line="264" w:lineRule="auto"/>
      </w:pPr>
      <w:r>
        <w:rPr>
          <w:rFonts w:ascii="Arial" w:hAnsi="Arial" w:cs="Arial"/>
          <w:b w:val="0"/>
          <w:i w:val="0"/>
          <w:color w:val="20262E"/>
          <w:sz w:val="21"/>
        </w:rPr>
        <w:t>Bir çalışma yalnızca kod merge edildiğinde değil, aşağıdaki kanıtlar birlikte bulunduğunda tamamlanmış sayılmalıdır.</w:t>
      </w:r>
    </w:p>
    <w:p>
      <w:pPr>
        <w:keepLines/>
        <w:numPr>
          <w:ilvl w:val="0"/>
          <w:numId w:val="90"/>
        </w:numPr>
        <w:spacing w:after="100" w:line="280" w:lineRule="auto"/>
      </w:pPr>
      <w:r>
        <w:rPr>
          <w:rFonts w:ascii="Arial" w:hAnsi="Arial" w:cs="Arial"/>
          <w:color w:val="20262E"/>
          <w:sz w:val="21"/>
        </w:rPr>
        <w:t>Fonksiyonel kabul: kullanıcı/iş hedefi uçtan uca çalışır; negatif yetki senaryosu dahildir.</w:t>
      </w:r>
    </w:p>
    <w:p>
      <w:pPr>
        <w:keepLines/>
        <w:numPr>
          <w:ilvl w:val="0"/>
          <w:numId w:val="90"/>
        </w:numPr>
        <w:spacing w:after="100" w:line="280" w:lineRule="auto"/>
      </w:pPr>
      <w:r>
        <w:rPr>
          <w:rFonts w:ascii="Arial" w:hAnsi="Arial" w:cs="Arial"/>
          <w:color w:val="20262E"/>
          <w:sz w:val="21"/>
        </w:rPr>
        <w:t>Veri kabulü: migration/backfill sayımları, constraint'ler ve rollback/restore sonucu kayıtlıdır.</w:t>
      </w:r>
    </w:p>
    <w:p>
      <w:pPr>
        <w:keepLines/>
        <w:numPr>
          <w:ilvl w:val="0"/>
          <w:numId w:val="90"/>
        </w:numPr>
        <w:spacing w:after="100" w:line="280" w:lineRule="auto"/>
      </w:pPr>
      <w:r>
        <w:rPr>
          <w:rFonts w:ascii="Arial" w:hAnsi="Arial" w:cs="Arial"/>
          <w:color w:val="20262E"/>
          <w:sz w:val="21"/>
        </w:rPr>
        <w:t>Güvenlik kabulü: threat model güncel; secret/token sızıntısı yok; ilgili ASVS kontrolleri ve rate-limit testleri geçer.</w:t>
      </w:r>
    </w:p>
    <w:p>
      <w:pPr>
        <w:keepLines/>
        <w:numPr>
          <w:ilvl w:val="0"/>
          <w:numId w:val="90"/>
        </w:numPr>
        <w:spacing w:after="100" w:line="280" w:lineRule="auto"/>
      </w:pPr>
      <w:r>
        <w:rPr>
          <w:rFonts w:ascii="Arial" w:hAnsi="Arial" w:cs="Arial"/>
          <w:color w:val="20262E"/>
          <w:sz w:val="21"/>
        </w:rPr>
        <w:t>Operasyon kabulü: dashboard, alarm, runbook, owner ve deploy/rollback komutu tanımlıdır.</w:t>
      </w:r>
    </w:p>
    <w:p>
      <w:pPr>
        <w:keepLines/>
        <w:numPr>
          <w:ilvl w:val="0"/>
          <w:numId w:val="90"/>
        </w:numPr>
        <w:spacing w:after="100" w:line="280" w:lineRule="auto"/>
      </w:pPr>
      <w:r>
        <w:rPr>
          <w:rFonts w:ascii="Arial" w:hAnsi="Arial" w:cs="Arial"/>
          <w:color w:val="20262E"/>
          <w:sz w:val="21"/>
        </w:rPr>
        <w:t>Performans kabulü: ilgili SLI baseline ve hedef bütçesini karşılar; yük altında DB pool ve timeout davranışı bilinir.</w:t>
      </w:r>
    </w:p>
    <w:p>
      <w:pPr>
        <w:keepLines/>
        <w:numPr>
          <w:ilvl w:val="0"/>
          <w:numId w:val="90"/>
        </w:numPr>
        <w:spacing w:after="100" w:line="280" w:lineRule="auto"/>
      </w:pPr>
      <w:r>
        <w:rPr>
          <w:rFonts w:ascii="Arial" w:hAnsi="Arial" w:cs="Arial"/>
          <w:color w:val="20262E"/>
          <w:sz w:val="21"/>
        </w:rPr>
        <w:t>Gizlilik kabulü: toplanan alan, amaç, retention, log davranışı ve dış aktarım değerlendirilmiştir.</w:t>
      </w:r>
    </w:p>
    <w:p>
      <w:pPr>
        <w:keepLines/>
        <w:numPr>
          <w:ilvl w:val="0"/>
          <w:numId w:val="90"/>
        </w:numPr>
        <w:spacing w:after="100" w:line="280" w:lineRule="auto"/>
      </w:pPr>
      <w:r>
        <w:rPr>
          <w:rFonts w:ascii="Arial" w:hAnsi="Arial" w:cs="Arial"/>
          <w:color w:val="20262E"/>
          <w:sz w:val="21"/>
        </w:rPr>
        <w:t>Erişilebilirlik kabulü: kritik akış klavye ve ekran okuyucuyla manuel test edilmiş; otomatik tarama kritiği yoktur.</w:t>
      </w:r>
    </w:p>
    <w:p>
      <w:pPr>
        <w:keepLines/>
        <w:numPr>
          <w:ilvl w:val="0"/>
          <w:numId w:val="90"/>
        </w:numPr>
        <w:spacing w:after="100" w:line="280" w:lineRule="auto"/>
      </w:pPr>
      <w:r>
        <w:rPr>
          <w:rFonts w:ascii="Arial" w:hAnsi="Arial" w:cs="Arial"/>
          <w:color w:val="20262E"/>
          <w:sz w:val="21"/>
        </w:rPr>
        <w:t>Klinik kabul: vaka/rubrik etkileyen değişiklik bağımsız reviewer tarafından onaylanmış; sürüm ve kaynak kaydı vardır.</w:t>
      </w:r>
    </w:p>
    <w:p>
      <w:pPr>
        <w:keepLines/>
        <w:numPr>
          <w:ilvl w:val="0"/>
          <w:numId w:val="90"/>
        </w:numPr>
        <w:spacing w:after="100" w:line="280" w:lineRule="auto"/>
      </w:pPr>
      <w:r>
        <w:rPr>
          <w:rFonts w:ascii="Arial" w:hAnsi="Arial" w:cs="Arial"/>
          <w:color w:val="20262E"/>
          <w:sz w:val="21"/>
        </w:rPr>
        <w:t>Dokümantasyon kabulü: ADR/runbook/API sözleşmesi ve kullanıcı değişikliği notu günceldir.</w:t>
      </w:r>
    </w:p>
    <w:p>
      <w:pPr>
        <w:pStyle w:val="Heading1"/>
      </w:pPr>
      <w:r>
        <w:rPr>
          <w:rFonts w:ascii="Arial" w:hAnsi="Arial" w:cs="Arial"/>
          <w:b/>
          <w:color w:val="2E74B5"/>
          <w:sz w:val="32"/>
        </w:rPr>
        <w:t>10. Sonuç</w:t>
      </w:r>
    </w:p>
    <w:p>
      <w:pPr>
        <w:spacing w:before="0" w:after="120" w:line="264" w:lineRule="auto"/>
      </w:pPr>
      <w:r>
        <w:rPr>
          <w:rFonts w:ascii="Arial" w:hAnsi="Arial" w:cs="Arial"/>
          <w:b w:val="0"/>
          <w:i w:val="0"/>
          <w:color w:val="20262E"/>
          <w:sz w:val="21"/>
        </w:rPr>
        <w:t>TIP-AI'nin değerli kısmı zaten mevcuttur: sentetik vaka üzerinde yapılandırılmış klinik düşünme, güvenlik bulgularını önceleyen değerlendirme, sunucu tarafı skor ve içerik kalite hattı. Sistemi daha iyi hâle getirmenin ilk yolu daha fazla ekran eklemek değil; mevcut çekirdeği tek veri kaynağı, güvenli deploy, geri yüklenebilirlik ve ölçülebilir operasyonla sağlamlaştırmaktır.</w:t>
      </w:r>
    </w:p>
    <w:p>
      <w:pPr>
        <w:spacing w:before="0" w:after="120" w:line="264" w:lineRule="auto"/>
      </w:pPr>
      <w:r>
        <w:rPr>
          <w:rFonts w:ascii="Arial" w:hAnsi="Arial" w:cs="Arial"/>
          <w:b w:val="0"/>
          <w:i w:val="0"/>
          <w:color w:val="20262E"/>
          <w:sz w:val="21"/>
        </w:rPr>
        <w:t>Bu temel tamamlandıktan sonra en yüksek ürün getirisi; beceri bazlı adaptive vaka önerisi, problem temsili/ayırıcı tanı akışı, öğretim üyesi cohort-görev alanı, sürümlü bağımsız klinik onay ve erişilebilirlikten gelecektir. AI sanal hasta ve MIMIC entegrasyonu ise yalnızca deterministik çekirdek, yönetişim ve değerlendirme kapıları geçildikten sonra farklılaştırıcı bir araştırma hattı olarak ilerlemelidir.</w:t>
      </w:r>
    </w:p>
    <w:tbl>
      <w:tblPr>
        <w:tblW w:type="dxa" w:w="9360"/>
        <w:jc w:val="left"/>
        <w:tblLayout w:type="fixed"/>
        <w:tblLook w:firstColumn="1" w:firstRow="1" w:lastColumn="0" w:lastRow="0" w:noHBand="0" w:noVBand="1" w:val="04A0"/>
        <w:tblInd w:w="120" w:type="dxa"/>
        <w:tblBorders>
          <w:top w:val="single" w:sz="9" w:space="0" w:color="176B45"/>
          <w:left w:val="single" w:sz="9" w:space="0" w:color="176B45"/>
          <w:bottom w:val="single" w:sz="9" w:space="0" w:color="176B45"/>
          <w:right w:val="single" w:sz="9" w:space="0" w:color="176B45"/>
        </w:tblBorders>
      </w:tblPr>
      <w:tblGrid>
        <w:gridCol w:w="9360"/>
      </w:tblGrid>
      <w:tr>
        <w:trPr>
          <w:cantSplit/>
        </w:trPr>
        <w:tc>
          <w:tcPr>
            <w:tcW w:type="dxa" w:w="9360"/>
            <w:tcMar>
              <w:top w:w="80" w:type="dxa"/>
              <w:bottom w:w="80" w:type="dxa"/>
              <w:start w:w="120" w:type="dxa"/>
              <w:end w:w="120" w:type="dxa"/>
            </w:tcMar>
            <w:shd w:fill="EAF6EF" w:val="clear"/>
          </w:tcPr>
          <w:p>
            <w:pPr>
              <w:keepNext/>
              <w:spacing w:after="60"/>
            </w:pPr>
            <w:r>
              <w:rPr>
                <w:rFonts w:ascii="Arial" w:hAnsi="Arial" w:cs="Arial"/>
                <w:b/>
                <w:color w:val="176B45"/>
                <w:sz w:val="21"/>
              </w:rPr>
              <w:t>Önerilen tek cümlelik strateji</w:t>
            </w:r>
          </w:p>
          <w:p>
            <w:pPr>
              <w:keepLines/>
              <w:spacing w:after="0" w:line="264" w:lineRule="auto"/>
            </w:pPr>
            <w:r>
              <w:rPr>
                <w:rFonts w:ascii="Arial" w:hAnsi="Arial" w:cs="Arial"/>
                <w:color w:val="20262E"/>
                <w:sz w:val="20"/>
              </w:rPr>
              <w:t>Önce veri ve deploy güveni; sonra güvenlik ve gözlemlenebilirlik; ardından öğretim ürünü; en son sınırlandırılmış AI ve MIMIC.</w:t>
            </w:r>
          </w:p>
        </w:tc>
      </w:tr>
    </w:tbl>
    <w:p>
      <w:pPr>
        <w:spacing w:before="0" w:after="80" w:line="264" w:lineRule="auto"/>
      </w:pPr>
    </w:p>
    <w:p>
      <w:r>
        <w:br w:type="page"/>
      </w:r>
    </w:p>
    <w:p>
      <w:pPr>
        <w:pStyle w:val="Heading1"/>
      </w:pPr>
      <w:r>
        <w:rPr>
          <w:rFonts w:ascii="Arial" w:hAnsi="Arial" w:cs="Arial"/>
          <w:b/>
          <w:color w:val="2E74B5"/>
          <w:sz w:val="32"/>
        </w:rPr>
        <w:t>Ek A. Önerilen veri modeli</w:t>
      </w:r>
    </w:p>
    <w:p>
      <w:pPr>
        <w:spacing w:before="0" w:after="120" w:line="264" w:lineRule="auto"/>
      </w:pPr>
      <w:r>
        <w:rPr>
          <w:rFonts w:ascii="Arial" w:hAnsi="Arial" w:cs="Arial"/>
          <w:b w:val="0"/>
          <w:i w:val="0"/>
          <w:color w:val="20262E"/>
          <w:sz w:val="21"/>
        </w:rPr>
        <w:t>Bu model kavramsaldır; Drizzle şeması ve gerçek sorgu paternleriyle ayrıntılandırılmalıdır.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800"/>
        <w:gridCol w:w="4300"/>
        <w:gridCol w:w="3260"/>
      </w:tblGrid>
      <w:tr>
        <w:trPr>
          <w:tblHeader w:val="true"/>
        </w:trPr>
        <w:tc>
          <w:tcPr>
            <w:tcW w:type="dxa" w:w="18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Tablo</w:t>
            </w:r>
          </w:p>
        </w:tc>
        <w:tc>
          <w:tcPr>
            <w:tcW w:type="dxa" w:w="4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Temel alanlar</w:t>
            </w:r>
          </w:p>
        </w:tc>
        <w:tc>
          <w:tcPr>
            <w:tcW w:type="dxa" w:w="32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Not</w:t>
            </w:r>
          </w:p>
        </w:tc>
      </w:tr>
      <w:tr>
        <w:trPr>
          <w:cantSplit/>
        </w:trPr>
        <w:tc>
          <w:tcPr>
            <w:tcW w:type="dxa" w:w="1800"/>
            <w:vAlign w:val="center"/>
          </w:tcPr>
          <w:p>
            <w:pPr>
              <w:spacing w:after="0" w:line="259" w:lineRule="auto"/>
              <w:jc w:val="left"/>
            </w:pPr>
            <w:r>
              <w:rPr>
                <w:rFonts w:ascii="Arial" w:hAnsi="Arial" w:cs="Arial"/>
                <w:color w:val="20262E"/>
                <w:sz w:val="16"/>
              </w:rPr>
              <w:t>users</w:t>
            </w:r>
          </w:p>
        </w:tc>
        <w:tc>
          <w:tcPr>
            <w:tcW w:type="dxa" w:w="4300"/>
            <w:vAlign w:val="center"/>
          </w:tcPr>
          <w:p>
            <w:pPr>
              <w:spacing w:after="0" w:line="259" w:lineRule="auto"/>
              <w:jc w:val="left"/>
            </w:pPr>
            <w:r>
              <w:rPr>
                <w:rFonts w:ascii="Arial" w:hAnsi="Arial" w:cs="Arial"/>
                <w:color w:val="20262E"/>
                <w:sz w:val="16"/>
              </w:rPr>
              <w:t>id, email_normalized, display_name, status, created_at, updated_at</w:t>
            </w:r>
          </w:p>
        </w:tc>
        <w:tc>
          <w:tcPr>
            <w:tcW w:type="dxa" w:w="3260"/>
            <w:vAlign w:val="center"/>
          </w:tcPr>
          <w:p>
            <w:pPr>
              <w:spacing w:after="0" w:line="259" w:lineRule="auto"/>
              <w:jc w:val="left"/>
            </w:pPr>
            <w:r>
              <w:rPr>
                <w:rFonts w:ascii="Arial" w:hAnsi="Arial" w:cs="Arial"/>
                <w:color w:val="20262E"/>
                <w:sz w:val="16"/>
              </w:rPr>
              <w:t>Kişi kimliği; role doğrudan gömülmemeli</w:t>
            </w:r>
          </w:p>
        </w:tc>
      </w:tr>
      <w:tr>
        <w:trPr>
          <w:cantSplit/>
        </w:trPr>
        <w:tc>
          <w:tcPr>
            <w:tcW w:type="dxa" w:w="1800"/>
            <w:vAlign w:val="center"/>
          </w:tcPr>
          <w:p>
            <w:pPr>
              <w:spacing w:after="0" w:line="259" w:lineRule="auto"/>
              <w:jc w:val="left"/>
            </w:pPr>
            <w:r>
              <w:rPr>
                <w:rFonts w:ascii="Arial" w:hAnsi="Arial" w:cs="Arial"/>
                <w:color w:val="20262E"/>
                <w:sz w:val="16"/>
              </w:rPr>
              <w:t>roles / user_roles</w:t>
            </w:r>
          </w:p>
        </w:tc>
        <w:tc>
          <w:tcPr>
            <w:tcW w:type="dxa" w:w="4300"/>
            <w:vAlign w:val="center"/>
          </w:tcPr>
          <w:p>
            <w:pPr>
              <w:spacing w:after="0" w:line="259" w:lineRule="auto"/>
              <w:jc w:val="left"/>
            </w:pPr>
            <w:r>
              <w:rPr>
                <w:rFonts w:ascii="Arial" w:hAnsi="Arial" w:cs="Arial"/>
                <w:color w:val="20262E"/>
                <w:sz w:val="16"/>
              </w:rPr>
              <w:t>role, scope, assigned_by, assigned_at</w:t>
            </w:r>
          </w:p>
        </w:tc>
        <w:tc>
          <w:tcPr>
            <w:tcW w:type="dxa" w:w="3260"/>
            <w:vAlign w:val="center"/>
          </w:tcPr>
          <w:p>
            <w:pPr>
              <w:spacing w:after="0" w:line="259" w:lineRule="auto"/>
              <w:jc w:val="left"/>
            </w:pPr>
            <w:r>
              <w:rPr>
                <w:rFonts w:ascii="Arial" w:hAnsi="Arial" w:cs="Arial"/>
                <w:color w:val="20262E"/>
                <w:sz w:val="16"/>
              </w:rPr>
              <w:t>Admin, doktor, öğrenci; kurum/cohort kapsamı</w:t>
            </w:r>
          </w:p>
        </w:tc>
      </w:tr>
      <w:tr>
        <w:trPr>
          <w:cantSplit/>
        </w:trPr>
        <w:tc>
          <w:tcPr>
            <w:tcW w:type="dxa" w:w="1800"/>
            <w:vAlign w:val="center"/>
          </w:tcPr>
          <w:p>
            <w:pPr>
              <w:spacing w:after="0" w:line="259" w:lineRule="auto"/>
              <w:jc w:val="left"/>
            </w:pPr>
            <w:r>
              <w:rPr>
                <w:rFonts w:ascii="Arial" w:hAnsi="Arial" w:cs="Arial"/>
                <w:color w:val="20262E"/>
                <w:sz w:val="16"/>
              </w:rPr>
              <w:t>auth_credentials</w:t>
            </w:r>
          </w:p>
        </w:tc>
        <w:tc>
          <w:tcPr>
            <w:tcW w:type="dxa" w:w="4300"/>
            <w:vAlign w:val="center"/>
          </w:tcPr>
          <w:p>
            <w:pPr>
              <w:spacing w:after="0" w:line="259" w:lineRule="auto"/>
              <w:jc w:val="left"/>
            </w:pPr>
            <w:r>
              <w:rPr>
                <w:rFonts w:ascii="Arial" w:hAnsi="Arial" w:cs="Arial"/>
                <w:color w:val="20262E"/>
                <w:sz w:val="16"/>
              </w:rPr>
              <w:t>user_id, password_hash, algo, changed_at</w:t>
            </w:r>
          </w:p>
        </w:tc>
        <w:tc>
          <w:tcPr>
            <w:tcW w:type="dxa" w:w="3260"/>
            <w:vAlign w:val="center"/>
          </w:tcPr>
          <w:p>
            <w:pPr>
              <w:spacing w:after="0" w:line="259" w:lineRule="auto"/>
              <w:jc w:val="left"/>
            </w:pPr>
            <w:r>
              <w:rPr>
                <w:rFonts w:ascii="Arial" w:hAnsi="Arial" w:cs="Arial"/>
                <w:color w:val="20262E"/>
                <w:sz w:val="16"/>
              </w:rPr>
              <w:t>Argon2id ve legacy upgrade kaydı</w:t>
            </w:r>
          </w:p>
        </w:tc>
      </w:tr>
      <w:tr>
        <w:trPr>
          <w:cantSplit/>
        </w:trPr>
        <w:tc>
          <w:tcPr>
            <w:tcW w:type="dxa" w:w="1800"/>
            <w:vAlign w:val="center"/>
          </w:tcPr>
          <w:p>
            <w:pPr>
              <w:spacing w:after="0" w:line="259" w:lineRule="auto"/>
              <w:jc w:val="left"/>
            </w:pPr>
            <w:r>
              <w:rPr>
                <w:rFonts w:ascii="Arial" w:hAnsi="Arial" w:cs="Arial"/>
                <w:color w:val="20262E"/>
                <w:sz w:val="16"/>
              </w:rPr>
              <w:t>auth_tokens</w:t>
            </w:r>
          </w:p>
        </w:tc>
        <w:tc>
          <w:tcPr>
            <w:tcW w:type="dxa" w:w="4300"/>
            <w:vAlign w:val="center"/>
          </w:tcPr>
          <w:p>
            <w:pPr>
              <w:spacing w:after="0" w:line="259" w:lineRule="auto"/>
              <w:jc w:val="left"/>
            </w:pPr>
            <w:r>
              <w:rPr>
                <w:rFonts w:ascii="Arial" w:hAnsi="Arial" w:cs="Arial"/>
                <w:color w:val="20262E"/>
                <w:sz w:val="16"/>
              </w:rPr>
              <w:t>type, token_hash, expires_at, used_at</w:t>
            </w:r>
          </w:p>
        </w:tc>
        <w:tc>
          <w:tcPr>
            <w:tcW w:type="dxa" w:w="3260"/>
            <w:vAlign w:val="center"/>
          </w:tcPr>
          <w:p>
            <w:pPr>
              <w:spacing w:after="0" w:line="259" w:lineRule="auto"/>
              <w:jc w:val="left"/>
            </w:pPr>
            <w:r>
              <w:rPr>
                <w:rFonts w:ascii="Arial" w:hAnsi="Arial" w:cs="Arial"/>
                <w:color w:val="20262E"/>
                <w:sz w:val="16"/>
              </w:rPr>
              <w:t>Doğrulama/reset; ham token saklanmaz</w:t>
            </w:r>
          </w:p>
        </w:tc>
      </w:tr>
      <w:tr>
        <w:trPr>
          <w:cantSplit/>
        </w:trPr>
        <w:tc>
          <w:tcPr>
            <w:tcW w:type="dxa" w:w="1800"/>
            <w:vAlign w:val="center"/>
          </w:tcPr>
          <w:p>
            <w:pPr>
              <w:spacing w:after="0" w:line="259" w:lineRule="auto"/>
              <w:jc w:val="left"/>
            </w:pPr>
            <w:r>
              <w:rPr>
                <w:rFonts w:ascii="Arial" w:hAnsi="Arial" w:cs="Arial"/>
                <w:color w:val="20262E"/>
                <w:sz w:val="16"/>
              </w:rPr>
              <w:t>sessions</w:t>
            </w:r>
          </w:p>
        </w:tc>
        <w:tc>
          <w:tcPr>
            <w:tcW w:type="dxa" w:w="4300"/>
            <w:vAlign w:val="center"/>
          </w:tcPr>
          <w:p>
            <w:pPr>
              <w:spacing w:after="0" w:line="259" w:lineRule="auto"/>
              <w:jc w:val="left"/>
            </w:pPr>
            <w:r>
              <w:rPr>
                <w:rFonts w:ascii="Arial" w:hAnsi="Arial" w:cs="Arial"/>
                <w:color w:val="20262E"/>
                <w:sz w:val="16"/>
              </w:rPr>
              <w:t>id_hash, user_id, role_version, last_seen, expires, revoked</w:t>
            </w:r>
          </w:p>
        </w:tc>
        <w:tc>
          <w:tcPr>
            <w:tcW w:type="dxa" w:w="3260"/>
            <w:vAlign w:val="center"/>
          </w:tcPr>
          <w:p>
            <w:pPr>
              <w:spacing w:after="0" w:line="259" w:lineRule="auto"/>
              <w:jc w:val="left"/>
            </w:pPr>
            <w:r>
              <w:rPr>
                <w:rFonts w:ascii="Arial" w:hAnsi="Arial" w:cs="Arial"/>
                <w:color w:val="20262E"/>
                <w:sz w:val="16"/>
              </w:rPr>
              <w:t>Merkezi iptal ve cihaz görünürlüğü</w:t>
            </w:r>
          </w:p>
        </w:tc>
      </w:tr>
      <w:tr>
        <w:trPr>
          <w:cantSplit/>
        </w:trPr>
        <w:tc>
          <w:tcPr>
            <w:tcW w:type="dxa" w:w="1800"/>
            <w:vAlign w:val="center"/>
          </w:tcPr>
          <w:p>
            <w:pPr>
              <w:spacing w:after="0" w:line="259" w:lineRule="auto"/>
              <w:jc w:val="left"/>
            </w:pPr>
            <w:r>
              <w:rPr>
                <w:rFonts w:ascii="Arial" w:hAnsi="Arial" w:cs="Arial"/>
                <w:color w:val="20262E"/>
                <w:sz w:val="16"/>
              </w:rPr>
              <w:t>cases</w:t>
            </w:r>
          </w:p>
        </w:tc>
        <w:tc>
          <w:tcPr>
            <w:tcW w:type="dxa" w:w="4300"/>
            <w:vAlign w:val="center"/>
          </w:tcPr>
          <w:p>
            <w:pPr>
              <w:spacing w:after="0" w:line="259" w:lineRule="auto"/>
              <w:jc w:val="left"/>
            </w:pPr>
            <w:r>
              <w:rPr>
                <w:rFonts w:ascii="Arial" w:hAnsi="Arial" w:cs="Arial"/>
                <w:color w:val="20262E"/>
                <w:sz w:val="16"/>
              </w:rPr>
              <w:t>id, clinic, owner, current_version_id, lifecycle</w:t>
            </w:r>
          </w:p>
        </w:tc>
        <w:tc>
          <w:tcPr>
            <w:tcW w:type="dxa" w:w="3260"/>
            <w:vAlign w:val="center"/>
          </w:tcPr>
          <w:p>
            <w:pPr>
              <w:spacing w:after="0" w:line="259" w:lineRule="auto"/>
              <w:jc w:val="left"/>
            </w:pPr>
            <w:r>
              <w:rPr>
                <w:rFonts w:ascii="Arial" w:hAnsi="Arial" w:cs="Arial"/>
                <w:color w:val="20262E"/>
                <w:sz w:val="16"/>
              </w:rPr>
              <w:t>Vaka üst kimliği</w:t>
            </w:r>
          </w:p>
        </w:tc>
      </w:tr>
      <w:tr>
        <w:trPr>
          <w:cantSplit/>
        </w:trPr>
        <w:tc>
          <w:tcPr>
            <w:tcW w:type="dxa" w:w="1800"/>
            <w:vAlign w:val="center"/>
          </w:tcPr>
          <w:p>
            <w:pPr>
              <w:spacing w:after="0" w:line="259" w:lineRule="auto"/>
              <w:jc w:val="left"/>
            </w:pPr>
            <w:r>
              <w:rPr>
                <w:rFonts w:ascii="Arial" w:hAnsi="Arial" w:cs="Arial"/>
                <w:color w:val="20262E"/>
                <w:sz w:val="16"/>
              </w:rPr>
              <w:t>case_versions</w:t>
            </w:r>
          </w:p>
        </w:tc>
        <w:tc>
          <w:tcPr>
            <w:tcW w:type="dxa" w:w="4300"/>
            <w:vAlign w:val="center"/>
          </w:tcPr>
          <w:p>
            <w:pPr>
              <w:spacing w:after="0" w:line="259" w:lineRule="auto"/>
              <w:jc w:val="left"/>
            </w:pPr>
            <w:r>
              <w:rPr>
                <w:rFonts w:ascii="Arial" w:hAnsi="Arial" w:cs="Arial"/>
                <w:color w:val="20262E"/>
                <w:sz w:val="16"/>
              </w:rPr>
              <w:t>case_id, version, content_jsonb, checksum, created_by</w:t>
            </w:r>
          </w:p>
        </w:tc>
        <w:tc>
          <w:tcPr>
            <w:tcW w:type="dxa" w:w="3260"/>
            <w:vAlign w:val="center"/>
          </w:tcPr>
          <w:p>
            <w:pPr>
              <w:spacing w:after="0" w:line="259" w:lineRule="auto"/>
              <w:jc w:val="left"/>
            </w:pPr>
            <w:r>
              <w:rPr>
                <w:rFonts w:ascii="Arial" w:hAnsi="Arial" w:cs="Arial"/>
                <w:color w:val="20262E"/>
                <w:sz w:val="16"/>
              </w:rPr>
              <w:t>Değişmez klinik gövde ve rubrik</w:t>
            </w:r>
          </w:p>
        </w:tc>
      </w:tr>
      <w:tr>
        <w:trPr>
          <w:cantSplit/>
        </w:trPr>
        <w:tc>
          <w:tcPr>
            <w:tcW w:type="dxa" w:w="1800"/>
            <w:vAlign w:val="center"/>
          </w:tcPr>
          <w:p>
            <w:pPr>
              <w:spacing w:after="0" w:line="259" w:lineRule="auto"/>
              <w:jc w:val="left"/>
            </w:pPr>
            <w:r>
              <w:rPr>
                <w:rFonts w:ascii="Arial" w:hAnsi="Arial" w:cs="Arial"/>
                <w:color w:val="20262E"/>
                <w:sz w:val="16"/>
              </w:rPr>
              <w:t>case_reviews</w:t>
            </w:r>
          </w:p>
        </w:tc>
        <w:tc>
          <w:tcPr>
            <w:tcW w:type="dxa" w:w="4300"/>
            <w:vAlign w:val="center"/>
          </w:tcPr>
          <w:p>
            <w:pPr>
              <w:spacing w:after="0" w:line="259" w:lineRule="auto"/>
              <w:jc w:val="left"/>
            </w:pPr>
            <w:r>
              <w:rPr>
                <w:rFonts w:ascii="Arial" w:hAnsi="Arial" w:cs="Arial"/>
                <w:color w:val="20262E"/>
                <w:sz w:val="16"/>
              </w:rPr>
              <w:t>version_id, reviewer, verdict, comment, signed_at</w:t>
            </w:r>
          </w:p>
        </w:tc>
        <w:tc>
          <w:tcPr>
            <w:tcW w:type="dxa" w:w="3260"/>
            <w:vAlign w:val="center"/>
          </w:tcPr>
          <w:p>
            <w:pPr>
              <w:spacing w:after="0" w:line="259" w:lineRule="auto"/>
              <w:jc w:val="left"/>
            </w:pPr>
            <w:r>
              <w:rPr>
                <w:rFonts w:ascii="Arial" w:hAnsi="Arial" w:cs="Arial"/>
                <w:color w:val="20262E"/>
                <w:sz w:val="16"/>
              </w:rPr>
              <w:t>Bağımsız onay izi</w:t>
            </w:r>
          </w:p>
        </w:tc>
      </w:tr>
      <w:tr>
        <w:trPr>
          <w:cantSplit/>
        </w:trPr>
        <w:tc>
          <w:tcPr>
            <w:tcW w:type="dxa" w:w="1800"/>
            <w:vAlign w:val="center"/>
          </w:tcPr>
          <w:p>
            <w:pPr>
              <w:spacing w:after="0" w:line="259" w:lineRule="auto"/>
              <w:jc w:val="left"/>
            </w:pPr>
            <w:r>
              <w:rPr>
                <w:rFonts w:ascii="Arial" w:hAnsi="Arial" w:cs="Arial"/>
                <w:color w:val="20262E"/>
                <w:sz w:val="16"/>
              </w:rPr>
              <w:t>attempts</w:t>
            </w:r>
          </w:p>
        </w:tc>
        <w:tc>
          <w:tcPr>
            <w:tcW w:type="dxa" w:w="4300"/>
            <w:vAlign w:val="center"/>
          </w:tcPr>
          <w:p>
            <w:pPr>
              <w:spacing w:after="0" w:line="259" w:lineRule="auto"/>
              <w:jc w:val="left"/>
            </w:pPr>
            <w:r>
              <w:rPr>
                <w:rFonts w:ascii="Arial" w:hAnsi="Arial" w:cs="Arial"/>
                <w:color w:val="20262E"/>
                <w:sz w:val="16"/>
              </w:rPr>
              <w:t>user_id, case_version_id, mode, started, completed</w:t>
            </w:r>
          </w:p>
        </w:tc>
        <w:tc>
          <w:tcPr>
            <w:tcW w:type="dxa" w:w="3260"/>
            <w:vAlign w:val="center"/>
          </w:tcPr>
          <w:p>
            <w:pPr>
              <w:spacing w:after="0" w:line="259" w:lineRule="auto"/>
              <w:jc w:val="left"/>
            </w:pPr>
            <w:r>
              <w:rPr>
                <w:rFonts w:ascii="Arial" w:hAnsi="Arial" w:cs="Arial"/>
                <w:color w:val="20262E"/>
                <w:sz w:val="16"/>
              </w:rPr>
              <w:t>Deneme bağlamı ve sürüm kilidi</w:t>
            </w:r>
          </w:p>
        </w:tc>
      </w:tr>
      <w:tr>
        <w:trPr>
          <w:cantSplit/>
        </w:trPr>
        <w:tc>
          <w:tcPr>
            <w:tcW w:type="dxa" w:w="1800"/>
            <w:vAlign w:val="center"/>
          </w:tcPr>
          <w:p>
            <w:pPr>
              <w:spacing w:after="0" w:line="259" w:lineRule="auto"/>
              <w:jc w:val="left"/>
            </w:pPr>
            <w:r>
              <w:rPr>
                <w:rFonts w:ascii="Arial" w:hAnsi="Arial" w:cs="Arial"/>
                <w:color w:val="20262E"/>
                <w:sz w:val="16"/>
              </w:rPr>
              <w:t>attempt_events</w:t>
            </w:r>
          </w:p>
        </w:tc>
        <w:tc>
          <w:tcPr>
            <w:tcW w:type="dxa" w:w="4300"/>
            <w:vAlign w:val="center"/>
          </w:tcPr>
          <w:p>
            <w:pPr>
              <w:spacing w:after="0" w:line="259" w:lineRule="auto"/>
              <w:jc w:val="left"/>
            </w:pPr>
            <w:r>
              <w:rPr>
                <w:rFonts w:ascii="Arial" w:hAnsi="Arial" w:cs="Arial"/>
                <w:color w:val="20262E"/>
                <w:sz w:val="16"/>
              </w:rPr>
              <w:t>attempt_id, seq, type, canonical_key, payload_min</w:t>
            </w:r>
          </w:p>
        </w:tc>
        <w:tc>
          <w:tcPr>
            <w:tcW w:type="dxa" w:w="3260"/>
            <w:vAlign w:val="center"/>
          </w:tcPr>
          <w:p>
            <w:pPr>
              <w:spacing w:after="0" w:line="259" w:lineRule="auto"/>
              <w:jc w:val="left"/>
            </w:pPr>
            <w:r>
              <w:rPr>
                <w:rFonts w:ascii="Arial" w:hAnsi="Arial" w:cs="Arial"/>
                <w:color w:val="20262E"/>
                <w:sz w:val="16"/>
              </w:rPr>
              <w:t>Sıralı anamnez/test/tanı olayları</w:t>
            </w:r>
          </w:p>
        </w:tc>
      </w:tr>
      <w:tr>
        <w:trPr>
          <w:cantSplit/>
        </w:trPr>
        <w:tc>
          <w:tcPr>
            <w:tcW w:type="dxa" w:w="1800"/>
            <w:vAlign w:val="center"/>
          </w:tcPr>
          <w:p>
            <w:pPr>
              <w:spacing w:after="0" w:line="259" w:lineRule="auto"/>
              <w:jc w:val="left"/>
            </w:pPr>
            <w:r>
              <w:rPr>
                <w:rFonts w:ascii="Arial" w:hAnsi="Arial" w:cs="Arial"/>
                <w:color w:val="20262E"/>
                <w:sz w:val="16"/>
              </w:rPr>
              <w:t>evaluations</w:t>
            </w:r>
          </w:p>
        </w:tc>
        <w:tc>
          <w:tcPr>
            <w:tcW w:type="dxa" w:w="4300"/>
            <w:vAlign w:val="center"/>
          </w:tcPr>
          <w:p>
            <w:pPr>
              <w:spacing w:after="0" w:line="259" w:lineRule="auto"/>
              <w:jc w:val="left"/>
            </w:pPr>
            <w:r>
              <w:rPr>
                <w:rFonts w:ascii="Arial" w:hAnsi="Arial" w:cs="Arial"/>
                <w:color w:val="20262E"/>
                <w:sz w:val="16"/>
              </w:rPr>
              <w:t>attempt_id, engine_version, score, max_score, created_at</w:t>
            </w:r>
          </w:p>
        </w:tc>
        <w:tc>
          <w:tcPr>
            <w:tcW w:type="dxa" w:w="3260"/>
            <w:vAlign w:val="center"/>
          </w:tcPr>
          <w:p>
            <w:pPr>
              <w:spacing w:after="0" w:line="259" w:lineRule="auto"/>
              <w:jc w:val="left"/>
            </w:pPr>
            <w:r>
              <w:rPr>
                <w:rFonts w:ascii="Arial" w:hAnsi="Arial" w:cs="Arial"/>
                <w:color w:val="20262E"/>
                <w:sz w:val="16"/>
              </w:rPr>
              <w:t>Tekrar üretilebilir sonuç</w:t>
            </w:r>
          </w:p>
        </w:tc>
      </w:tr>
      <w:tr>
        <w:trPr>
          <w:cantSplit/>
        </w:trPr>
        <w:tc>
          <w:tcPr>
            <w:tcW w:type="dxa" w:w="1800"/>
            <w:vAlign w:val="center"/>
          </w:tcPr>
          <w:p>
            <w:pPr>
              <w:spacing w:after="0" w:line="259" w:lineRule="auto"/>
              <w:jc w:val="left"/>
            </w:pPr>
            <w:r>
              <w:rPr>
                <w:rFonts w:ascii="Arial" w:hAnsi="Arial" w:cs="Arial"/>
                <w:color w:val="20262E"/>
                <w:sz w:val="16"/>
              </w:rPr>
              <w:t>evaluation_details</w:t>
            </w:r>
          </w:p>
        </w:tc>
        <w:tc>
          <w:tcPr>
            <w:tcW w:type="dxa" w:w="4300"/>
            <w:vAlign w:val="center"/>
          </w:tcPr>
          <w:p>
            <w:pPr>
              <w:spacing w:after="0" w:line="259" w:lineRule="auto"/>
              <w:jc w:val="left"/>
            </w:pPr>
            <w:r>
              <w:rPr>
                <w:rFonts w:ascii="Arial" w:hAnsi="Arial" w:cs="Arial"/>
                <w:color w:val="20262E"/>
                <w:sz w:val="16"/>
              </w:rPr>
              <w:t>category, rule_id, outcome, points, evidence</w:t>
            </w:r>
          </w:p>
        </w:tc>
        <w:tc>
          <w:tcPr>
            <w:tcW w:type="dxa" w:w="3260"/>
            <w:vAlign w:val="center"/>
          </w:tcPr>
          <w:p>
            <w:pPr>
              <w:spacing w:after="0" w:line="259" w:lineRule="auto"/>
              <w:jc w:val="left"/>
            </w:pPr>
            <w:r>
              <w:rPr>
                <w:rFonts w:ascii="Arial" w:hAnsi="Arial" w:cs="Arial"/>
                <w:color w:val="20262E"/>
                <w:sz w:val="16"/>
              </w:rPr>
              <w:t>Red flag, eksik/gereksiz test, tanı</w:t>
            </w:r>
          </w:p>
        </w:tc>
      </w:tr>
      <w:tr>
        <w:trPr>
          <w:cantSplit/>
        </w:trPr>
        <w:tc>
          <w:tcPr>
            <w:tcW w:type="dxa" w:w="1800"/>
            <w:vAlign w:val="center"/>
          </w:tcPr>
          <w:p>
            <w:pPr>
              <w:spacing w:after="0" w:line="259" w:lineRule="auto"/>
              <w:jc w:val="left"/>
            </w:pPr>
            <w:r>
              <w:rPr>
                <w:rFonts w:ascii="Arial" w:hAnsi="Arial" w:cs="Arial"/>
                <w:color w:val="20262E"/>
                <w:sz w:val="16"/>
              </w:rPr>
              <w:t>cohorts / members</w:t>
            </w:r>
          </w:p>
        </w:tc>
        <w:tc>
          <w:tcPr>
            <w:tcW w:type="dxa" w:w="4300"/>
            <w:vAlign w:val="center"/>
          </w:tcPr>
          <w:p>
            <w:pPr>
              <w:spacing w:after="0" w:line="259" w:lineRule="auto"/>
              <w:jc w:val="left"/>
            </w:pPr>
            <w:r>
              <w:rPr>
                <w:rFonts w:ascii="Arial" w:hAnsi="Arial" w:cs="Arial"/>
                <w:color w:val="20262E"/>
                <w:sz w:val="16"/>
              </w:rPr>
              <w:t>institution, instructor, member_role</w:t>
            </w:r>
          </w:p>
        </w:tc>
        <w:tc>
          <w:tcPr>
            <w:tcW w:type="dxa" w:w="3260"/>
            <w:vAlign w:val="center"/>
          </w:tcPr>
          <w:p>
            <w:pPr>
              <w:spacing w:after="0" w:line="259" w:lineRule="auto"/>
              <w:jc w:val="left"/>
            </w:pPr>
            <w:r>
              <w:rPr>
                <w:rFonts w:ascii="Arial" w:hAnsi="Arial" w:cs="Arial"/>
                <w:color w:val="20262E"/>
                <w:sz w:val="16"/>
              </w:rPr>
              <w:t>Sınıf ve kapsamlı erişim</w:t>
            </w:r>
          </w:p>
        </w:tc>
      </w:tr>
      <w:tr>
        <w:trPr>
          <w:cantSplit/>
        </w:trPr>
        <w:tc>
          <w:tcPr>
            <w:tcW w:type="dxa" w:w="1800"/>
            <w:vAlign w:val="center"/>
          </w:tcPr>
          <w:p>
            <w:pPr>
              <w:spacing w:after="0" w:line="259" w:lineRule="auto"/>
              <w:jc w:val="left"/>
            </w:pPr>
            <w:r>
              <w:rPr>
                <w:rFonts w:ascii="Arial" w:hAnsi="Arial" w:cs="Arial"/>
                <w:color w:val="20262E"/>
                <w:sz w:val="16"/>
              </w:rPr>
              <w:t>assignments</w:t>
            </w:r>
          </w:p>
        </w:tc>
        <w:tc>
          <w:tcPr>
            <w:tcW w:type="dxa" w:w="4300"/>
            <w:vAlign w:val="center"/>
          </w:tcPr>
          <w:p>
            <w:pPr>
              <w:spacing w:after="0" w:line="259" w:lineRule="auto"/>
              <w:jc w:val="left"/>
            </w:pPr>
            <w:r>
              <w:rPr>
                <w:rFonts w:ascii="Arial" w:hAnsi="Arial" w:cs="Arial"/>
                <w:color w:val="20262E"/>
                <w:sz w:val="16"/>
              </w:rPr>
              <w:t>cohort, case_set, rubric_policy, due_at, mode</w:t>
            </w:r>
          </w:p>
        </w:tc>
        <w:tc>
          <w:tcPr>
            <w:tcW w:type="dxa" w:w="3260"/>
            <w:vAlign w:val="center"/>
          </w:tcPr>
          <w:p>
            <w:pPr>
              <w:spacing w:after="0" w:line="259" w:lineRule="auto"/>
              <w:jc w:val="left"/>
            </w:pPr>
            <w:r>
              <w:rPr>
                <w:rFonts w:ascii="Arial" w:hAnsi="Arial" w:cs="Arial"/>
                <w:color w:val="20262E"/>
                <w:sz w:val="16"/>
              </w:rPr>
              <w:t>Görev ve sınav/pratik davranışı</w:t>
            </w:r>
          </w:p>
        </w:tc>
      </w:tr>
      <w:tr>
        <w:trPr>
          <w:cantSplit/>
        </w:trPr>
        <w:tc>
          <w:tcPr>
            <w:tcW w:type="dxa" w:w="1800"/>
            <w:vAlign w:val="center"/>
          </w:tcPr>
          <w:p>
            <w:pPr>
              <w:spacing w:after="0" w:line="259" w:lineRule="auto"/>
              <w:jc w:val="left"/>
            </w:pPr>
            <w:r>
              <w:rPr>
                <w:rFonts w:ascii="Arial" w:hAnsi="Arial" w:cs="Arial"/>
                <w:color w:val="20262E"/>
                <w:sz w:val="16"/>
              </w:rPr>
              <w:t>audit_events</w:t>
            </w:r>
          </w:p>
        </w:tc>
        <w:tc>
          <w:tcPr>
            <w:tcW w:type="dxa" w:w="4300"/>
            <w:vAlign w:val="center"/>
          </w:tcPr>
          <w:p>
            <w:pPr>
              <w:spacing w:after="0" w:line="259" w:lineRule="auto"/>
              <w:jc w:val="left"/>
            </w:pPr>
            <w:r>
              <w:rPr>
                <w:rFonts w:ascii="Arial" w:hAnsi="Arial" w:cs="Arial"/>
                <w:color w:val="20262E"/>
                <w:sz w:val="16"/>
              </w:rPr>
              <w:t>actor, action, target, before_hash, after_hash, trace_id</w:t>
            </w:r>
          </w:p>
        </w:tc>
        <w:tc>
          <w:tcPr>
            <w:tcW w:type="dxa" w:w="3260"/>
            <w:vAlign w:val="center"/>
          </w:tcPr>
          <w:p>
            <w:pPr>
              <w:spacing w:after="0" w:line="259" w:lineRule="auto"/>
              <w:jc w:val="left"/>
            </w:pPr>
            <w:r>
              <w:rPr>
                <w:rFonts w:ascii="Arial" w:hAnsi="Arial" w:cs="Arial"/>
                <w:color w:val="20262E"/>
                <w:sz w:val="16"/>
              </w:rPr>
              <w:t>Append-only yönetim izi; hassas payload yok</w:t>
            </w:r>
          </w:p>
        </w:tc>
      </w:tr>
      <w:tr>
        <w:trPr>
          <w:cantSplit/>
        </w:trPr>
        <w:tc>
          <w:tcPr>
            <w:tcW w:type="dxa" w:w="1800"/>
            <w:vAlign w:val="center"/>
          </w:tcPr>
          <w:p>
            <w:pPr>
              <w:spacing w:after="0" w:line="259" w:lineRule="auto"/>
              <w:jc w:val="left"/>
            </w:pPr>
            <w:r>
              <w:rPr>
                <w:rFonts w:ascii="Arial" w:hAnsi="Arial" w:cs="Arial"/>
                <w:color w:val="20262E"/>
                <w:sz w:val="16"/>
              </w:rPr>
              <w:t>outbox / jobs</w:t>
            </w:r>
          </w:p>
        </w:tc>
        <w:tc>
          <w:tcPr>
            <w:tcW w:type="dxa" w:w="4300"/>
            <w:vAlign w:val="center"/>
          </w:tcPr>
          <w:p>
            <w:pPr>
              <w:spacing w:after="0" w:line="259" w:lineRule="auto"/>
              <w:jc w:val="left"/>
            </w:pPr>
            <w:r>
              <w:rPr>
                <w:rFonts w:ascii="Arial" w:hAnsi="Arial" w:cs="Arial"/>
                <w:color w:val="20262E"/>
                <w:sz w:val="16"/>
              </w:rPr>
              <w:t>event, idempotency_key, status, attempts, next_run</w:t>
            </w:r>
          </w:p>
        </w:tc>
        <w:tc>
          <w:tcPr>
            <w:tcW w:type="dxa" w:w="3260"/>
            <w:vAlign w:val="center"/>
          </w:tcPr>
          <w:p>
            <w:pPr>
              <w:spacing w:after="0" w:line="259" w:lineRule="auto"/>
              <w:jc w:val="left"/>
            </w:pPr>
            <w:r>
              <w:rPr>
                <w:rFonts w:ascii="Arial" w:hAnsi="Arial" w:cs="Arial"/>
                <w:color w:val="20262E"/>
                <w:sz w:val="16"/>
              </w:rPr>
              <w:t>PDF, e-posta, backup, ETL</w:t>
            </w:r>
          </w:p>
        </w:tc>
      </w:tr>
    </w:tbl>
    <w:p>
      <w:pPr>
        <w:spacing w:before="0" w:after="80" w:line="264" w:lineRule="auto"/>
      </w:pPr>
    </w:p>
    <w:p>
      <w:pPr>
        <w:pStyle w:val="Heading2"/>
      </w:pPr>
      <w:r>
        <w:rPr>
          <w:rFonts w:ascii="Arial" w:hAnsi="Arial" w:cs="Arial"/>
          <w:b/>
          <w:color w:val="2E74B5"/>
          <w:sz w:val="26"/>
        </w:rPr>
        <w:t>Veri modeli kuralları</w:t>
      </w:r>
    </w:p>
    <w:p>
      <w:pPr>
        <w:keepLines/>
        <w:numPr>
          <w:ilvl w:val="0"/>
          <w:numId w:val="90"/>
        </w:numPr>
        <w:spacing w:after="100" w:line="280" w:lineRule="auto"/>
      </w:pPr>
      <w:r>
        <w:rPr>
          <w:rFonts w:ascii="Arial" w:hAnsi="Arial" w:cs="Arial"/>
          <w:color w:val="20262E"/>
          <w:sz w:val="21"/>
        </w:rPr>
        <w:t>E-posta için normalize edilmiş unique alan; görüntülenen e-posta ayrı tutulabilir.</w:t>
      </w:r>
    </w:p>
    <w:p>
      <w:pPr>
        <w:keepLines/>
        <w:numPr>
          <w:ilvl w:val="0"/>
          <w:numId w:val="90"/>
        </w:numPr>
        <w:spacing w:after="100" w:line="280" w:lineRule="auto"/>
      </w:pPr>
      <w:r>
        <w:rPr>
          <w:rFonts w:ascii="Arial" w:hAnsi="Arial" w:cs="Arial"/>
          <w:color w:val="20262E"/>
          <w:sz w:val="21"/>
        </w:rPr>
        <w:t>Session cookie içinde yalnızca yüksek entropili opaque id; sunucuda id'nin hash'i ve metadata.</w:t>
      </w:r>
    </w:p>
    <w:p>
      <w:pPr>
        <w:keepLines/>
        <w:numPr>
          <w:ilvl w:val="0"/>
          <w:numId w:val="90"/>
        </w:numPr>
        <w:spacing w:after="100" w:line="280" w:lineRule="auto"/>
      </w:pPr>
      <w:r>
        <w:rPr>
          <w:rFonts w:ascii="Arial" w:hAnsi="Arial" w:cs="Arial"/>
          <w:color w:val="20262E"/>
          <w:sz w:val="21"/>
        </w:rPr>
        <w:t>Case version ve evaluation kayıtları update edilmez; düzeltme yeni sürüm/yeniden değerlendirme kaydı üretir.</w:t>
      </w:r>
    </w:p>
    <w:p>
      <w:pPr>
        <w:keepLines/>
        <w:numPr>
          <w:ilvl w:val="0"/>
          <w:numId w:val="90"/>
        </w:numPr>
        <w:spacing w:after="100" w:line="280" w:lineRule="auto"/>
      </w:pPr>
      <w:r>
        <w:rPr>
          <w:rFonts w:ascii="Arial" w:hAnsi="Arial" w:cs="Arial"/>
          <w:color w:val="20262E"/>
          <w:sz w:val="21"/>
        </w:rPr>
        <w:t>Serbest metin olay payload'ı varsayılan olarak audit/log'a kopyalanmaz; ürün ihtiyacı varsa ayrı retention ve erişim politikası gerekir.</w:t>
      </w:r>
    </w:p>
    <w:p>
      <w:pPr>
        <w:keepLines/>
        <w:numPr>
          <w:ilvl w:val="0"/>
          <w:numId w:val="90"/>
        </w:numPr>
        <w:spacing w:after="100" w:line="280" w:lineRule="auto"/>
      </w:pPr>
      <w:r>
        <w:rPr>
          <w:rFonts w:ascii="Arial" w:hAnsi="Arial" w:cs="Arial"/>
          <w:color w:val="20262E"/>
          <w:sz w:val="21"/>
        </w:rPr>
        <w:t>Idempotency key vaka tamamlama, import, backup ve iş kuyruğu gibi tekrar çağrılabilecek mutation'larda zorunludur.</w:t>
      </w:r>
    </w:p>
    <w:p>
      <w:pPr>
        <w:pStyle w:val="Heading1"/>
      </w:pPr>
      <w:r>
        <w:rPr>
          <w:rFonts w:ascii="Arial" w:hAnsi="Arial" w:cs="Arial"/>
          <w:b/>
          <w:color w:val="2E74B5"/>
          <w:sz w:val="32"/>
        </w:rPr>
        <w:t>Ek B. Önerilen uçlar ve olaylar</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3300"/>
        <w:gridCol w:w="1500"/>
        <w:gridCol w:w="4560"/>
      </w:tblGrid>
      <w:tr>
        <w:trPr>
          <w:tblHeader w:val="true"/>
        </w:trPr>
        <w:tc>
          <w:tcPr>
            <w:tcW w:type="dxa" w:w="33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Uç</w:t>
            </w:r>
          </w:p>
        </w:tc>
        <w:tc>
          <w:tcPr>
            <w:tcW w:type="dxa" w:w="1500"/>
            <w:tcMar>
              <w:top w:w="80" w:type="dxa"/>
              <w:bottom w:w="80" w:type="dxa"/>
              <w:start w:w="120" w:type="dxa"/>
              <w:end w:w="120" w:type="dxa"/>
            </w:tcMar>
            <w:shd w:fill="F2F4F7" w:val="clear"/>
            <w:vAlign w:val="center"/>
          </w:tcPr>
          <w:p>
            <w:pPr>
              <w:spacing w:after="0" w:line="252" w:lineRule="auto"/>
              <w:jc w:val="center"/>
            </w:pPr>
            <w:r>
              <w:rPr>
                <w:rFonts w:ascii="Arial" w:hAnsi="Arial" w:cs="Arial"/>
                <w:b/>
                <w:color w:val="0B2545"/>
                <w:sz w:val="16"/>
              </w:rPr>
              <w:t>Yetki</w:t>
            </w:r>
          </w:p>
        </w:tc>
        <w:tc>
          <w:tcPr>
            <w:tcW w:type="dxa" w:w="45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Beklenen davranış</w:t>
            </w:r>
          </w:p>
        </w:tc>
      </w:tr>
      <w:tr>
        <w:trPr>
          <w:cantSplit/>
        </w:trPr>
        <w:tc>
          <w:tcPr>
            <w:tcW w:type="dxa" w:w="3300"/>
            <w:vAlign w:val="center"/>
          </w:tcPr>
          <w:p>
            <w:pPr>
              <w:spacing w:after="0" w:line="259" w:lineRule="auto"/>
              <w:jc w:val="left"/>
            </w:pPr>
            <w:r>
              <w:rPr>
                <w:rFonts w:ascii="Arial" w:hAnsi="Arial" w:cs="Arial"/>
                <w:color w:val="20262E"/>
                <w:sz w:val="16"/>
              </w:rPr>
              <w:t>GET /api/health/live</w:t>
            </w:r>
          </w:p>
        </w:tc>
        <w:tc>
          <w:tcPr>
            <w:tcW w:type="dxa" w:w="1500"/>
            <w:vAlign w:val="center"/>
          </w:tcPr>
          <w:p>
            <w:pPr>
              <w:spacing w:after="0" w:line="259" w:lineRule="auto"/>
              <w:jc w:val="center"/>
            </w:pPr>
            <w:r>
              <w:rPr>
                <w:rFonts w:ascii="Arial" w:hAnsi="Arial" w:cs="Arial"/>
                <w:color w:val="20262E"/>
                <w:sz w:val="16"/>
              </w:rPr>
              <w:t>Anonim</w:t>
            </w:r>
          </w:p>
        </w:tc>
        <w:tc>
          <w:tcPr>
            <w:tcW w:type="dxa" w:w="4560"/>
            <w:vAlign w:val="center"/>
          </w:tcPr>
          <w:p>
            <w:pPr>
              <w:spacing w:after="0" w:line="259" w:lineRule="auto"/>
              <w:jc w:val="left"/>
            </w:pPr>
            <w:r>
              <w:rPr>
                <w:rFonts w:ascii="Arial" w:hAnsi="Arial" w:cs="Arial"/>
                <w:color w:val="20262E"/>
                <w:sz w:val="16"/>
              </w:rPr>
              <w:t>Process liveness; ayrıntı yok</w:t>
            </w:r>
          </w:p>
        </w:tc>
      </w:tr>
      <w:tr>
        <w:trPr>
          <w:cantSplit/>
        </w:trPr>
        <w:tc>
          <w:tcPr>
            <w:tcW w:type="dxa" w:w="3300"/>
            <w:vAlign w:val="center"/>
          </w:tcPr>
          <w:p>
            <w:pPr>
              <w:spacing w:after="0" w:line="259" w:lineRule="auto"/>
              <w:jc w:val="left"/>
            </w:pPr>
            <w:r>
              <w:rPr>
                <w:rFonts w:ascii="Arial" w:hAnsi="Arial" w:cs="Arial"/>
                <w:color w:val="20262E"/>
                <w:sz w:val="16"/>
              </w:rPr>
              <w:t>GET /api/health/ready</w:t>
            </w:r>
          </w:p>
        </w:tc>
        <w:tc>
          <w:tcPr>
            <w:tcW w:type="dxa" w:w="1500"/>
            <w:vAlign w:val="center"/>
          </w:tcPr>
          <w:p>
            <w:pPr>
              <w:spacing w:after="0" w:line="259" w:lineRule="auto"/>
              <w:jc w:val="center"/>
            </w:pPr>
            <w:r>
              <w:rPr>
                <w:rFonts w:ascii="Arial" w:hAnsi="Arial" w:cs="Arial"/>
                <w:color w:val="20262E"/>
                <w:sz w:val="16"/>
              </w:rPr>
              <w:t>Infra</w:t>
            </w:r>
          </w:p>
        </w:tc>
        <w:tc>
          <w:tcPr>
            <w:tcW w:type="dxa" w:w="4560"/>
            <w:vAlign w:val="center"/>
          </w:tcPr>
          <w:p>
            <w:pPr>
              <w:spacing w:after="0" w:line="259" w:lineRule="auto"/>
              <w:jc w:val="left"/>
            </w:pPr>
            <w:r>
              <w:rPr>
                <w:rFonts w:ascii="Arial" w:hAnsi="Arial" w:cs="Arial"/>
                <w:color w:val="20262E"/>
                <w:sz w:val="16"/>
              </w:rPr>
              <w:t>DB/migration/config readiness</w:t>
            </w:r>
          </w:p>
        </w:tc>
      </w:tr>
      <w:tr>
        <w:trPr>
          <w:cantSplit/>
        </w:trPr>
        <w:tc>
          <w:tcPr>
            <w:tcW w:type="dxa" w:w="3300"/>
            <w:vAlign w:val="center"/>
          </w:tcPr>
          <w:p>
            <w:pPr>
              <w:spacing w:after="0" w:line="259" w:lineRule="auto"/>
              <w:jc w:val="left"/>
            </w:pPr>
            <w:r>
              <w:rPr>
                <w:rFonts w:ascii="Arial" w:hAnsi="Arial" w:cs="Arial"/>
                <w:color w:val="20262E"/>
                <w:sz w:val="16"/>
              </w:rPr>
              <w:t>POST /api/auth/register</w:t>
            </w:r>
          </w:p>
        </w:tc>
        <w:tc>
          <w:tcPr>
            <w:tcW w:type="dxa" w:w="1500"/>
            <w:vAlign w:val="center"/>
          </w:tcPr>
          <w:p>
            <w:pPr>
              <w:spacing w:after="0" w:line="259" w:lineRule="auto"/>
              <w:jc w:val="center"/>
            </w:pPr>
            <w:r>
              <w:rPr>
                <w:rFonts w:ascii="Arial" w:hAnsi="Arial" w:cs="Arial"/>
                <w:color w:val="20262E"/>
                <w:sz w:val="16"/>
              </w:rPr>
              <w:t>Anonim</w:t>
            </w:r>
          </w:p>
        </w:tc>
        <w:tc>
          <w:tcPr>
            <w:tcW w:type="dxa" w:w="4560"/>
            <w:vAlign w:val="center"/>
          </w:tcPr>
          <w:p>
            <w:pPr>
              <w:spacing w:after="0" w:line="259" w:lineRule="auto"/>
              <w:jc w:val="left"/>
            </w:pPr>
            <w:r>
              <w:rPr>
                <w:rFonts w:ascii="Arial" w:hAnsi="Arial" w:cs="Arial"/>
                <w:color w:val="20262E"/>
                <w:sz w:val="16"/>
              </w:rPr>
              <w:t>Kayıt + verification işi; enumeration-safe</w:t>
            </w:r>
          </w:p>
        </w:tc>
      </w:tr>
      <w:tr>
        <w:trPr>
          <w:cantSplit/>
        </w:trPr>
        <w:tc>
          <w:tcPr>
            <w:tcW w:type="dxa" w:w="3300"/>
            <w:vAlign w:val="center"/>
          </w:tcPr>
          <w:p>
            <w:pPr>
              <w:spacing w:after="0" w:line="259" w:lineRule="auto"/>
              <w:jc w:val="left"/>
            </w:pPr>
            <w:r>
              <w:rPr>
                <w:rFonts w:ascii="Arial" w:hAnsi="Arial" w:cs="Arial"/>
                <w:color w:val="20262E"/>
                <w:sz w:val="16"/>
              </w:rPr>
              <w:t>POST /api/auth/verify-email</w:t>
            </w:r>
          </w:p>
        </w:tc>
        <w:tc>
          <w:tcPr>
            <w:tcW w:type="dxa" w:w="1500"/>
            <w:vAlign w:val="center"/>
          </w:tcPr>
          <w:p>
            <w:pPr>
              <w:spacing w:after="0" w:line="259" w:lineRule="auto"/>
              <w:jc w:val="center"/>
            </w:pPr>
            <w:r>
              <w:rPr>
                <w:rFonts w:ascii="Arial" w:hAnsi="Arial" w:cs="Arial"/>
                <w:color w:val="20262E"/>
                <w:sz w:val="16"/>
              </w:rPr>
              <w:t>Token</w:t>
            </w:r>
          </w:p>
        </w:tc>
        <w:tc>
          <w:tcPr>
            <w:tcW w:type="dxa" w:w="4560"/>
            <w:vAlign w:val="center"/>
          </w:tcPr>
          <w:p>
            <w:pPr>
              <w:spacing w:after="0" w:line="259" w:lineRule="auto"/>
              <w:jc w:val="left"/>
            </w:pPr>
            <w:r>
              <w:rPr>
                <w:rFonts w:ascii="Arial" w:hAnsi="Arial" w:cs="Arial"/>
                <w:color w:val="20262E"/>
                <w:sz w:val="16"/>
              </w:rPr>
              <w:t>Tek kullanımlık doğrulama</w:t>
            </w:r>
          </w:p>
        </w:tc>
      </w:tr>
      <w:tr>
        <w:trPr>
          <w:cantSplit/>
        </w:trPr>
        <w:tc>
          <w:tcPr>
            <w:tcW w:type="dxa" w:w="3300"/>
            <w:vAlign w:val="center"/>
          </w:tcPr>
          <w:p>
            <w:pPr>
              <w:spacing w:after="0" w:line="259" w:lineRule="auto"/>
              <w:jc w:val="left"/>
            </w:pPr>
            <w:r>
              <w:rPr>
                <w:rFonts w:ascii="Arial" w:hAnsi="Arial" w:cs="Arial"/>
                <w:color w:val="20262E"/>
                <w:sz w:val="16"/>
              </w:rPr>
              <w:t>POST /api/auth/forgot-password</w:t>
            </w:r>
          </w:p>
        </w:tc>
        <w:tc>
          <w:tcPr>
            <w:tcW w:type="dxa" w:w="1500"/>
            <w:vAlign w:val="center"/>
          </w:tcPr>
          <w:p>
            <w:pPr>
              <w:spacing w:after="0" w:line="259" w:lineRule="auto"/>
              <w:jc w:val="center"/>
            </w:pPr>
            <w:r>
              <w:rPr>
                <w:rFonts w:ascii="Arial" w:hAnsi="Arial" w:cs="Arial"/>
                <w:color w:val="20262E"/>
                <w:sz w:val="16"/>
              </w:rPr>
              <w:t>Anonim</w:t>
            </w:r>
          </w:p>
        </w:tc>
        <w:tc>
          <w:tcPr>
            <w:tcW w:type="dxa" w:w="4560"/>
            <w:vAlign w:val="center"/>
          </w:tcPr>
          <w:p>
            <w:pPr>
              <w:spacing w:after="0" w:line="259" w:lineRule="auto"/>
              <w:jc w:val="left"/>
            </w:pPr>
            <w:r>
              <w:rPr>
                <w:rFonts w:ascii="Arial" w:hAnsi="Arial" w:cs="Arial"/>
                <w:color w:val="20262E"/>
                <w:sz w:val="16"/>
              </w:rPr>
              <w:t>Her durumda aynı dış yanıt</w:t>
            </w:r>
          </w:p>
        </w:tc>
      </w:tr>
      <w:tr>
        <w:trPr>
          <w:cantSplit/>
        </w:trPr>
        <w:tc>
          <w:tcPr>
            <w:tcW w:type="dxa" w:w="3300"/>
            <w:vAlign w:val="center"/>
          </w:tcPr>
          <w:p>
            <w:pPr>
              <w:spacing w:after="0" w:line="259" w:lineRule="auto"/>
              <w:jc w:val="left"/>
            </w:pPr>
            <w:r>
              <w:rPr>
                <w:rFonts w:ascii="Arial" w:hAnsi="Arial" w:cs="Arial"/>
                <w:color w:val="20262E"/>
                <w:sz w:val="16"/>
              </w:rPr>
              <w:t>POST /api/auth/reset-password</w:t>
            </w:r>
          </w:p>
        </w:tc>
        <w:tc>
          <w:tcPr>
            <w:tcW w:type="dxa" w:w="1500"/>
            <w:vAlign w:val="center"/>
          </w:tcPr>
          <w:p>
            <w:pPr>
              <w:spacing w:after="0" w:line="259" w:lineRule="auto"/>
              <w:jc w:val="center"/>
            </w:pPr>
            <w:r>
              <w:rPr>
                <w:rFonts w:ascii="Arial" w:hAnsi="Arial" w:cs="Arial"/>
                <w:color w:val="20262E"/>
                <w:sz w:val="16"/>
              </w:rPr>
              <w:t>Token</w:t>
            </w:r>
          </w:p>
        </w:tc>
        <w:tc>
          <w:tcPr>
            <w:tcW w:type="dxa" w:w="4560"/>
            <w:vAlign w:val="center"/>
          </w:tcPr>
          <w:p>
            <w:pPr>
              <w:spacing w:after="0" w:line="259" w:lineRule="auto"/>
              <w:jc w:val="left"/>
            </w:pPr>
            <w:r>
              <w:rPr>
                <w:rFonts w:ascii="Arial" w:hAnsi="Arial" w:cs="Arial"/>
                <w:color w:val="20262E"/>
                <w:sz w:val="16"/>
              </w:rPr>
              <w:t>Parola değiştir + tüm session revoke</w:t>
            </w:r>
          </w:p>
        </w:tc>
      </w:tr>
      <w:tr>
        <w:trPr>
          <w:cantSplit/>
        </w:trPr>
        <w:tc>
          <w:tcPr>
            <w:tcW w:type="dxa" w:w="3300"/>
            <w:vAlign w:val="center"/>
          </w:tcPr>
          <w:p>
            <w:pPr>
              <w:spacing w:after="0" w:line="259" w:lineRule="auto"/>
              <w:jc w:val="left"/>
            </w:pPr>
            <w:r>
              <w:rPr>
                <w:rFonts w:ascii="Arial" w:hAnsi="Arial" w:cs="Arial"/>
                <w:color w:val="20262E"/>
                <w:sz w:val="16"/>
              </w:rPr>
              <w:t>GET /api/sessions</w:t>
            </w:r>
          </w:p>
        </w:tc>
        <w:tc>
          <w:tcPr>
            <w:tcW w:type="dxa" w:w="1500"/>
            <w:vAlign w:val="center"/>
          </w:tcPr>
          <w:p>
            <w:pPr>
              <w:spacing w:after="0" w:line="259" w:lineRule="auto"/>
              <w:jc w:val="center"/>
            </w:pPr>
            <w:r>
              <w:rPr>
                <w:rFonts w:ascii="Arial" w:hAnsi="Arial" w:cs="Arial"/>
                <w:color w:val="20262E"/>
                <w:sz w:val="16"/>
              </w:rPr>
              <w:t>Kullanıcı</w:t>
            </w:r>
          </w:p>
        </w:tc>
        <w:tc>
          <w:tcPr>
            <w:tcW w:type="dxa" w:w="4560"/>
            <w:vAlign w:val="center"/>
          </w:tcPr>
          <w:p>
            <w:pPr>
              <w:spacing w:after="0" w:line="259" w:lineRule="auto"/>
              <w:jc w:val="left"/>
            </w:pPr>
            <w:r>
              <w:rPr>
                <w:rFonts w:ascii="Arial" w:hAnsi="Arial" w:cs="Arial"/>
                <w:color w:val="20262E"/>
                <w:sz w:val="16"/>
              </w:rPr>
              <w:t>Aktif cihaz/session listesi</w:t>
            </w:r>
          </w:p>
        </w:tc>
      </w:tr>
      <w:tr>
        <w:trPr>
          <w:cantSplit/>
        </w:trPr>
        <w:tc>
          <w:tcPr>
            <w:tcW w:type="dxa" w:w="3300"/>
            <w:vAlign w:val="center"/>
          </w:tcPr>
          <w:p>
            <w:pPr>
              <w:spacing w:after="0" w:line="259" w:lineRule="auto"/>
              <w:jc w:val="left"/>
            </w:pPr>
            <w:r>
              <w:rPr>
                <w:rFonts w:ascii="Arial" w:hAnsi="Arial" w:cs="Arial"/>
                <w:color w:val="20262E"/>
                <w:sz w:val="16"/>
              </w:rPr>
              <w:t>DELETE /api/sessions/:id</w:t>
            </w:r>
          </w:p>
        </w:tc>
        <w:tc>
          <w:tcPr>
            <w:tcW w:type="dxa" w:w="1500"/>
            <w:vAlign w:val="center"/>
          </w:tcPr>
          <w:p>
            <w:pPr>
              <w:spacing w:after="0" w:line="259" w:lineRule="auto"/>
              <w:jc w:val="center"/>
            </w:pPr>
            <w:r>
              <w:rPr>
                <w:rFonts w:ascii="Arial" w:hAnsi="Arial" w:cs="Arial"/>
                <w:color w:val="20262E"/>
                <w:sz w:val="16"/>
              </w:rPr>
              <w:t>Kullanıcı</w:t>
            </w:r>
          </w:p>
        </w:tc>
        <w:tc>
          <w:tcPr>
            <w:tcW w:type="dxa" w:w="4560"/>
            <w:vAlign w:val="center"/>
          </w:tcPr>
          <w:p>
            <w:pPr>
              <w:spacing w:after="0" w:line="259" w:lineRule="auto"/>
              <w:jc w:val="left"/>
            </w:pPr>
            <w:r>
              <w:rPr>
                <w:rFonts w:ascii="Arial" w:hAnsi="Arial" w:cs="Arial"/>
                <w:color w:val="20262E"/>
                <w:sz w:val="16"/>
              </w:rPr>
              <w:t>Tek session iptali</w:t>
            </w:r>
          </w:p>
        </w:tc>
      </w:tr>
      <w:tr>
        <w:trPr>
          <w:cantSplit/>
        </w:trPr>
        <w:tc>
          <w:tcPr>
            <w:tcW w:type="dxa" w:w="3300"/>
            <w:vAlign w:val="center"/>
          </w:tcPr>
          <w:p>
            <w:pPr>
              <w:spacing w:after="0" w:line="259" w:lineRule="auto"/>
              <w:jc w:val="left"/>
            </w:pPr>
            <w:r>
              <w:rPr>
                <w:rFonts w:ascii="Arial" w:hAnsi="Arial" w:cs="Arial"/>
                <w:color w:val="20262E"/>
                <w:sz w:val="16"/>
              </w:rPr>
              <w:t>POST /api/sessions/revoke-all</w:t>
            </w:r>
          </w:p>
        </w:tc>
        <w:tc>
          <w:tcPr>
            <w:tcW w:type="dxa" w:w="1500"/>
            <w:vAlign w:val="center"/>
          </w:tcPr>
          <w:p>
            <w:pPr>
              <w:spacing w:after="0" w:line="259" w:lineRule="auto"/>
              <w:jc w:val="center"/>
            </w:pPr>
            <w:r>
              <w:rPr>
                <w:rFonts w:ascii="Arial" w:hAnsi="Arial" w:cs="Arial"/>
                <w:color w:val="20262E"/>
                <w:sz w:val="16"/>
              </w:rPr>
              <w:t>Kullanıcı</w:t>
            </w:r>
          </w:p>
        </w:tc>
        <w:tc>
          <w:tcPr>
            <w:tcW w:type="dxa" w:w="4560"/>
            <w:vAlign w:val="center"/>
          </w:tcPr>
          <w:p>
            <w:pPr>
              <w:spacing w:after="0" w:line="259" w:lineRule="auto"/>
              <w:jc w:val="left"/>
            </w:pPr>
            <w:r>
              <w:rPr>
                <w:rFonts w:ascii="Arial" w:hAnsi="Arial" w:cs="Arial"/>
                <w:color w:val="20262E"/>
                <w:sz w:val="16"/>
              </w:rPr>
              <w:t>Diğer tüm cihazlardan çıkış</w:t>
            </w:r>
          </w:p>
        </w:tc>
      </w:tr>
      <w:tr>
        <w:trPr>
          <w:cantSplit/>
        </w:trPr>
        <w:tc>
          <w:tcPr>
            <w:tcW w:type="dxa" w:w="3300"/>
            <w:vAlign w:val="center"/>
          </w:tcPr>
          <w:p>
            <w:pPr>
              <w:spacing w:after="0" w:line="259" w:lineRule="auto"/>
              <w:jc w:val="left"/>
            </w:pPr>
            <w:r>
              <w:rPr>
                <w:rFonts w:ascii="Arial" w:hAnsi="Arial" w:cs="Arial"/>
                <w:color w:val="20262E"/>
                <w:sz w:val="16"/>
              </w:rPr>
              <w:t>POST /api/attempts</w:t>
            </w:r>
          </w:p>
        </w:tc>
        <w:tc>
          <w:tcPr>
            <w:tcW w:type="dxa" w:w="1500"/>
            <w:vAlign w:val="center"/>
          </w:tcPr>
          <w:p>
            <w:pPr>
              <w:spacing w:after="0" w:line="259" w:lineRule="auto"/>
              <w:jc w:val="center"/>
            </w:pPr>
            <w:r>
              <w:rPr>
                <w:rFonts w:ascii="Arial" w:hAnsi="Arial" w:cs="Arial"/>
                <w:color w:val="20262E"/>
                <w:sz w:val="16"/>
              </w:rPr>
              <w:t>Öğrenci</w:t>
            </w:r>
          </w:p>
        </w:tc>
        <w:tc>
          <w:tcPr>
            <w:tcW w:type="dxa" w:w="4560"/>
            <w:vAlign w:val="center"/>
          </w:tcPr>
          <w:p>
            <w:pPr>
              <w:spacing w:after="0" w:line="259" w:lineRule="auto"/>
              <w:jc w:val="left"/>
            </w:pPr>
            <w:r>
              <w:rPr>
                <w:rFonts w:ascii="Arial" w:hAnsi="Arial" w:cs="Arial"/>
                <w:color w:val="20262E"/>
                <w:sz w:val="16"/>
              </w:rPr>
              <w:t>Case version kilitle; idempotent start</w:t>
            </w:r>
          </w:p>
        </w:tc>
      </w:tr>
      <w:tr>
        <w:trPr>
          <w:cantSplit/>
        </w:trPr>
        <w:tc>
          <w:tcPr>
            <w:tcW w:type="dxa" w:w="3300"/>
            <w:vAlign w:val="center"/>
          </w:tcPr>
          <w:p>
            <w:pPr>
              <w:spacing w:after="0" w:line="259" w:lineRule="auto"/>
              <w:jc w:val="left"/>
            </w:pPr>
            <w:r>
              <w:rPr>
                <w:rFonts w:ascii="Arial" w:hAnsi="Arial" w:cs="Arial"/>
                <w:color w:val="20262E"/>
                <w:sz w:val="16"/>
              </w:rPr>
              <w:t>POST /api/attempts/:id/events</w:t>
            </w:r>
          </w:p>
        </w:tc>
        <w:tc>
          <w:tcPr>
            <w:tcW w:type="dxa" w:w="1500"/>
            <w:vAlign w:val="center"/>
          </w:tcPr>
          <w:p>
            <w:pPr>
              <w:spacing w:after="0" w:line="259" w:lineRule="auto"/>
              <w:jc w:val="center"/>
            </w:pPr>
            <w:r>
              <w:rPr>
                <w:rFonts w:ascii="Arial" w:hAnsi="Arial" w:cs="Arial"/>
                <w:color w:val="20262E"/>
                <w:sz w:val="16"/>
              </w:rPr>
              <w:t>Öğrenci</w:t>
            </w:r>
          </w:p>
        </w:tc>
        <w:tc>
          <w:tcPr>
            <w:tcW w:type="dxa" w:w="4560"/>
            <w:vAlign w:val="center"/>
          </w:tcPr>
          <w:p>
            <w:pPr>
              <w:spacing w:after="0" w:line="259" w:lineRule="auto"/>
              <w:jc w:val="left"/>
            </w:pPr>
            <w:r>
              <w:rPr>
                <w:rFonts w:ascii="Arial" w:hAnsi="Arial" w:cs="Arial"/>
                <w:color w:val="20262E"/>
                <w:sz w:val="16"/>
              </w:rPr>
              <w:t>Sıralı soru/test/tanı olayı</w:t>
            </w:r>
          </w:p>
        </w:tc>
      </w:tr>
      <w:tr>
        <w:trPr>
          <w:cantSplit/>
        </w:trPr>
        <w:tc>
          <w:tcPr>
            <w:tcW w:type="dxa" w:w="3300"/>
            <w:vAlign w:val="center"/>
          </w:tcPr>
          <w:p>
            <w:pPr>
              <w:spacing w:after="0" w:line="259" w:lineRule="auto"/>
              <w:jc w:val="left"/>
            </w:pPr>
            <w:r>
              <w:rPr>
                <w:rFonts w:ascii="Arial" w:hAnsi="Arial" w:cs="Arial"/>
                <w:color w:val="20262E"/>
                <w:sz w:val="16"/>
              </w:rPr>
              <w:t>POST /api/attempts/:id/complete</w:t>
            </w:r>
          </w:p>
        </w:tc>
        <w:tc>
          <w:tcPr>
            <w:tcW w:type="dxa" w:w="1500"/>
            <w:vAlign w:val="center"/>
          </w:tcPr>
          <w:p>
            <w:pPr>
              <w:spacing w:after="0" w:line="259" w:lineRule="auto"/>
              <w:jc w:val="center"/>
            </w:pPr>
            <w:r>
              <w:rPr>
                <w:rFonts w:ascii="Arial" w:hAnsi="Arial" w:cs="Arial"/>
                <w:color w:val="20262E"/>
                <w:sz w:val="16"/>
              </w:rPr>
              <w:t>Öğrenci</w:t>
            </w:r>
          </w:p>
        </w:tc>
        <w:tc>
          <w:tcPr>
            <w:tcW w:type="dxa" w:w="4560"/>
            <w:vAlign w:val="center"/>
          </w:tcPr>
          <w:p>
            <w:pPr>
              <w:spacing w:after="0" w:line="259" w:lineRule="auto"/>
              <w:jc w:val="left"/>
            </w:pPr>
            <w:r>
              <w:rPr>
                <w:rFonts w:ascii="Arial" w:hAnsi="Arial" w:cs="Arial"/>
                <w:color w:val="20262E"/>
                <w:sz w:val="16"/>
              </w:rPr>
              <w:t>Transaction + deterministic evaluation</w:t>
            </w:r>
          </w:p>
        </w:tc>
      </w:tr>
      <w:tr>
        <w:trPr>
          <w:cantSplit/>
        </w:trPr>
        <w:tc>
          <w:tcPr>
            <w:tcW w:type="dxa" w:w="3300"/>
            <w:vAlign w:val="center"/>
          </w:tcPr>
          <w:p>
            <w:pPr>
              <w:spacing w:after="0" w:line="259" w:lineRule="auto"/>
              <w:jc w:val="left"/>
            </w:pPr>
            <w:r>
              <w:rPr>
                <w:rFonts w:ascii="Arial" w:hAnsi="Arial" w:cs="Arial"/>
                <w:color w:val="20262E"/>
                <w:sz w:val="16"/>
              </w:rPr>
              <w:t>POST /api/admin/cases/import/preview</w:t>
            </w:r>
          </w:p>
        </w:tc>
        <w:tc>
          <w:tcPr>
            <w:tcW w:type="dxa" w:w="1500"/>
            <w:vAlign w:val="center"/>
          </w:tcPr>
          <w:p>
            <w:pPr>
              <w:spacing w:after="0" w:line="259" w:lineRule="auto"/>
              <w:jc w:val="center"/>
            </w:pPr>
            <w:r>
              <w:rPr>
                <w:rFonts w:ascii="Arial" w:hAnsi="Arial" w:cs="Arial"/>
                <w:color w:val="20262E"/>
                <w:sz w:val="16"/>
              </w:rPr>
              <w:t>Doktor/Admin</w:t>
            </w:r>
          </w:p>
        </w:tc>
        <w:tc>
          <w:tcPr>
            <w:tcW w:type="dxa" w:w="4560"/>
            <w:vAlign w:val="center"/>
          </w:tcPr>
          <w:p>
            <w:pPr>
              <w:spacing w:after="0" w:line="259" w:lineRule="auto"/>
              <w:jc w:val="left"/>
            </w:pPr>
            <w:r>
              <w:rPr>
                <w:rFonts w:ascii="Arial" w:hAnsi="Arial" w:cs="Arial"/>
                <w:color w:val="20262E"/>
                <w:sz w:val="16"/>
              </w:rPr>
              <w:t>Dry-run diff ve yayın engelleri</w:t>
            </w:r>
          </w:p>
        </w:tc>
      </w:tr>
      <w:tr>
        <w:trPr>
          <w:cantSplit/>
        </w:trPr>
        <w:tc>
          <w:tcPr>
            <w:tcW w:type="dxa" w:w="3300"/>
            <w:vAlign w:val="center"/>
          </w:tcPr>
          <w:p>
            <w:pPr>
              <w:spacing w:after="0" w:line="259" w:lineRule="auto"/>
              <w:jc w:val="left"/>
            </w:pPr>
            <w:r>
              <w:rPr>
                <w:rFonts w:ascii="Arial" w:hAnsi="Arial" w:cs="Arial"/>
                <w:color w:val="20262E"/>
                <w:sz w:val="16"/>
              </w:rPr>
              <w:t>POST /api/admin/case-versions/:id/review</w:t>
            </w:r>
          </w:p>
        </w:tc>
        <w:tc>
          <w:tcPr>
            <w:tcW w:type="dxa" w:w="1500"/>
            <w:vAlign w:val="center"/>
          </w:tcPr>
          <w:p>
            <w:pPr>
              <w:spacing w:after="0" w:line="259" w:lineRule="auto"/>
              <w:jc w:val="center"/>
            </w:pPr>
            <w:r>
              <w:rPr>
                <w:rFonts w:ascii="Arial" w:hAnsi="Arial" w:cs="Arial"/>
                <w:color w:val="20262E"/>
                <w:sz w:val="16"/>
              </w:rPr>
              <w:t>Doktor</w:t>
            </w:r>
          </w:p>
        </w:tc>
        <w:tc>
          <w:tcPr>
            <w:tcW w:type="dxa" w:w="4560"/>
            <w:vAlign w:val="center"/>
          </w:tcPr>
          <w:p>
            <w:pPr>
              <w:spacing w:after="0" w:line="259" w:lineRule="auto"/>
              <w:jc w:val="left"/>
            </w:pPr>
            <w:r>
              <w:rPr>
                <w:rFonts w:ascii="Arial" w:hAnsi="Arial" w:cs="Arial"/>
                <w:color w:val="20262E"/>
                <w:sz w:val="16"/>
              </w:rPr>
              <w:t>Bağımsız reviewer kararı</w:t>
            </w:r>
          </w:p>
        </w:tc>
      </w:tr>
      <w:tr>
        <w:trPr>
          <w:cantSplit/>
        </w:trPr>
        <w:tc>
          <w:tcPr>
            <w:tcW w:type="dxa" w:w="3300"/>
            <w:vAlign w:val="center"/>
          </w:tcPr>
          <w:p>
            <w:pPr>
              <w:spacing w:after="0" w:line="259" w:lineRule="auto"/>
              <w:jc w:val="left"/>
            </w:pPr>
            <w:r>
              <w:rPr>
                <w:rFonts w:ascii="Arial" w:hAnsi="Arial" w:cs="Arial"/>
                <w:color w:val="20262E"/>
                <w:sz w:val="16"/>
              </w:rPr>
              <w:t>POST /api/admin/backups/:id/restore-test</w:t>
            </w:r>
          </w:p>
        </w:tc>
        <w:tc>
          <w:tcPr>
            <w:tcW w:type="dxa" w:w="1500"/>
            <w:vAlign w:val="center"/>
          </w:tcPr>
          <w:p>
            <w:pPr>
              <w:spacing w:after="0" w:line="259" w:lineRule="auto"/>
              <w:jc w:val="center"/>
            </w:pPr>
            <w:r>
              <w:rPr>
                <w:rFonts w:ascii="Arial" w:hAnsi="Arial" w:cs="Arial"/>
                <w:color w:val="20262E"/>
                <w:sz w:val="16"/>
              </w:rPr>
              <w:t>Admin</w:t>
            </w:r>
          </w:p>
        </w:tc>
        <w:tc>
          <w:tcPr>
            <w:tcW w:type="dxa" w:w="4560"/>
            <w:vAlign w:val="center"/>
          </w:tcPr>
          <w:p>
            <w:pPr>
              <w:spacing w:after="0" w:line="259" w:lineRule="auto"/>
              <w:jc w:val="left"/>
            </w:pPr>
            <w:r>
              <w:rPr>
                <w:rFonts w:ascii="Arial" w:hAnsi="Arial" w:cs="Arial"/>
                <w:color w:val="20262E"/>
                <w:sz w:val="16"/>
              </w:rPr>
              <w:t>İzole restore işi ve kanıt</w:t>
            </w:r>
          </w:p>
        </w:tc>
      </w:tr>
    </w:tbl>
    <w:p>
      <w:pPr>
        <w:spacing w:before="0" w:after="80" w:line="264" w:lineRule="auto"/>
      </w:pP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3500"/>
        <w:gridCol w:w="5860"/>
      </w:tblGrid>
      <w:tr>
        <w:trPr>
          <w:tblHeader w:val="true"/>
        </w:trPr>
        <w:tc>
          <w:tcPr>
            <w:tcW w:type="dxa" w:w="35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Olay</w:t>
            </w:r>
          </w:p>
        </w:tc>
        <w:tc>
          <w:tcPr>
            <w:tcW w:type="dxa" w:w="586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7"/>
              </w:rPr>
              <w:t>Kullanım</w:t>
            </w:r>
          </w:p>
        </w:tc>
      </w:tr>
      <w:tr>
        <w:trPr>
          <w:cantSplit/>
        </w:trPr>
        <w:tc>
          <w:tcPr>
            <w:tcW w:type="dxa" w:w="3500"/>
            <w:vAlign w:val="center"/>
          </w:tcPr>
          <w:p>
            <w:pPr>
              <w:spacing w:after="0" w:line="259" w:lineRule="auto"/>
              <w:jc w:val="left"/>
            </w:pPr>
            <w:r>
              <w:rPr>
                <w:rFonts w:ascii="Arial" w:hAnsi="Arial" w:cs="Arial"/>
                <w:color w:val="20262E"/>
                <w:sz w:val="17"/>
              </w:rPr>
              <w:t>auth.login.succeeded / failed</w:t>
            </w:r>
          </w:p>
        </w:tc>
        <w:tc>
          <w:tcPr>
            <w:tcW w:type="dxa" w:w="5860"/>
            <w:vAlign w:val="center"/>
          </w:tcPr>
          <w:p>
            <w:pPr>
              <w:spacing w:after="0" w:line="259" w:lineRule="auto"/>
              <w:jc w:val="left"/>
            </w:pPr>
            <w:r>
              <w:rPr>
                <w:rFonts w:ascii="Arial" w:hAnsi="Arial" w:cs="Arial"/>
                <w:color w:val="20262E"/>
                <w:sz w:val="17"/>
              </w:rPr>
              <w:t>Güvenlik analizi; ham şifre/e-posta yok</w:t>
            </w:r>
          </w:p>
        </w:tc>
      </w:tr>
      <w:tr>
        <w:trPr>
          <w:cantSplit/>
        </w:trPr>
        <w:tc>
          <w:tcPr>
            <w:tcW w:type="dxa" w:w="3500"/>
            <w:vAlign w:val="center"/>
          </w:tcPr>
          <w:p>
            <w:pPr>
              <w:spacing w:after="0" w:line="259" w:lineRule="auto"/>
              <w:jc w:val="left"/>
            </w:pPr>
            <w:r>
              <w:rPr>
                <w:rFonts w:ascii="Arial" w:hAnsi="Arial" w:cs="Arial"/>
                <w:color w:val="20262E"/>
                <w:sz w:val="17"/>
              </w:rPr>
              <w:t>auth.session.revoked</w:t>
            </w:r>
          </w:p>
        </w:tc>
        <w:tc>
          <w:tcPr>
            <w:tcW w:type="dxa" w:w="5860"/>
            <w:vAlign w:val="center"/>
          </w:tcPr>
          <w:p>
            <w:pPr>
              <w:spacing w:after="0" w:line="259" w:lineRule="auto"/>
              <w:jc w:val="left"/>
            </w:pPr>
            <w:r>
              <w:rPr>
                <w:rFonts w:ascii="Arial" w:hAnsi="Arial" w:cs="Arial"/>
                <w:color w:val="20262E"/>
                <w:sz w:val="17"/>
              </w:rPr>
              <w:t>Neden: logout, password, role, inactive, admin</w:t>
            </w:r>
          </w:p>
        </w:tc>
      </w:tr>
      <w:tr>
        <w:trPr>
          <w:cantSplit/>
        </w:trPr>
        <w:tc>
          <w:tcPr>
            <w:tcW w:type="dxa" w:w="3500"/>
            <w:vAlign w:val="center"/>
          </w:tcPr>
          <w:p>
            <w:pPr>
              <w:spacing w:after="0" w:line="259" w:lineRule="auto"/>
              <w:jc w:val="left"/>
            </w:pPr>
            <w:r>
              <w:rPr>
                <w:rFonts w:ascii="Arial" w:hAnsi="Arial" w:cs="Arial"/>
                <w:color w:val="20262E"/>
                <w:sz w:val="17"/>
              </w:rPr>
              <w:t>case.version.created / approved / published</w:t>
            </w:r>
          </w:p>
        </w:tc>
        <w:tc>
          <w:tcPr>
            <w:tcW w:type="dxa" w:w="5860"/>
            <w:vAlign w:val="center"/>
          </w:tcPr>
          <w:p>
            <w:pPr>
              <w:spacing w:after="0" w:line="259" w:lineRule="auto"/>
              <w:jc w:val="left"/>
            </w:pPr>
            <w:r>
              <w:rPr>
                <w:rFonts w:ascii="Arial" w:hAnsi="Arial" w:cs="Arial"/>
                <w:color w:val="20262E"/>
                <w:sz w:val="17"/>
              </w:rPr>
              <w:t>İçerik yaşam döngüsü ve reviewer izi</w:t>
            </w:r>
          </w:p>
        </w:tc>
      </w:tr>
      <w:tr>
        <w:trPr>
          <w:cantSplit/>
        </w:trPr>
        <w:tc>
          <w:tcPr>
            <w:tcW w:type="dxa" w:w="3500"/>
            <w:vAlign w:val="center"/>
          </w:tcPr>
          <w:p>
            <w:pPr>
              <w:spacing w:after="0" w:line="259" w:lineRule="auto"/>
              <w:jc w:val="left"/>
            </w:pPr>
            <w:r>
              <w:rPr>
                <w:rFonts w:ascii="Arial" w:hAnsi="Arial" w:cs="Arial"/>
                <w:color w:val="20262E"/>
                <w:sz w:val="17"/>
              </w:rPr>
              <w:t>attempt.started / completed</w:t>
            </w:r>
          </w:p>
        </w:tc>
        <w:tc>
          <w:tcPr>
            <w:tcW w:type="dxa" w:w="5860"/>
            <w:vAlign w:val="center"/>
          </w:tcPr>
          <w:p>
            <w:pPr>
              <w:spacing w:after="0" w:line="259" w:lineRule="auto"/>
              <w:jc w:val="left"/>
            </w:pPr>
            <w:r>
              <w:rPr>
                <w:rFonts w:ascii="Arial" w:hAnsi="Arial" w:cs="Arial"/>
                <w:color w:val="20262E"/>
                <w:sz w:val="17"/>
              </w:rPr>
              <w:t>Öğrenme analitiği ve SLO</w:t>
            </w:r>
          </w:p>
        </w:tc>
      </w:tr>
      <w:tr>
        <w:trPr>
          <w:cantSplit/>
        </w:trPr>
        <w:tc>
          <w:tcPr>
            <w:tcW w:type="dxa" w:w="3500"/>
            <w:vAlign w:val="center"/>
          </w:tcPr>
          <w:p>
            <w:pPr>
              <w:spacing w:after="0" w:line="259" w:lineRule="auto"/>
              <w:jc w:val="left"/>
            </w:pPr>
            <w:r>
              <w:rPr>
                <w:rFonts w:ascii="Arial" w:hAnsi="Arial" w:cs="Arial"/>
                <w:color w:val="20262E"/>
                <w:sz w:val="17"/>
              </w:rPr>
              <w:t>evaluation.created</w:t>
            </w:r>
          </w:p>
        </w:tc>
        <w:tc>
          <w:tcPr>
            <w:tcW w:type="dxa" w:w="5860"/>
            <w:vAlign w:val="center"/>
          </w:tcPr>
          <w:p>
            <w:pPr>
              <w:spacing w:after="0" w:line="259" w:lineRule="auto"/>
              <w:jc w:val="left"/>
            </w:pPr>
            <w:r>
              <w:rPr>
                <w:rFonts w:ascii="Arial" w:hAnsi="Arial" w:cs="Arial"/>
                <w:color w:val="20262E"/>
                <w:sz w:val="17"/>
              </w:rPr>
              <w:t>Engine/rubric sürümü ve skor özeti</w:t>
            </w:r>
          </w:p>
        </w:tc>
      </w:tr>
      <w:tr>
        <w:trPr>
          <w:cantSplit/>
        </w:trPr>
        <w:tc>
          <w:tcPr>
            <w:tcW w:type="dxa" w:w="3500"/>
            <w:vAlign w:val="center"/>
          </w:tcPr>
          <w:p>
            <w:pPr>
              <w:spacing w:after="0" w:line="259" w:lineRule="auto"/>
              <w:jc w:val="left"/>
            </w:pPr>
            <w:r>
              <w:rPr>
                <w:rFonts w:ascii="Arial" w:hAnsi="Arial" w:cs="Arial"/>
                <w:color w:val="20262E"/>
                <w:sz w:val="17"/>
              </w:rPr>
              <w:t>backup.completed / failed / restore_verified</w:t>
            </w:r>
          </w:p>
        </w:tc>
        <w:tc>
          <w:tcPr>
            <w:tcW w:type="dxa" w:w="5860"/>
            <w:vAlign w:val="center"/>
          </w:tcPr>
          <w:p>
            <w:pPr>
              <w:spacing w:after="0" w:line="259" w:lineRule="auto"/>
              <w:jc w:val="left"/>
            </w:pPr>
            <w:r>
              <w:rPr>
                <w:rFonts w:ascii="Arial" w:hAnsi="Arial" w:cs="Arial"/>
                <w:color w:val="20262E"/>
                <w:sz w:val="17"/>
              </w:rPr>
              <w:t>Felaket kurtarma kanıtı</w:t>
            </w:r>
          </w:p>
        </w:tc>
      </w:tr>
      <w:tr>
        <w:trPr>
          <w:cantSplit/>
        </w:trPr>
        <w:tc>
          <w:tcPr>
            <w:tcW w:type="dxa" w:w="3500"/>
            <w:vAlign w:val="center"/>
          </w:tcPr>
          <w:p>
            <w:pPr>
              <w:spacing w:after="0" w:line="259" w:lineRule="auto"/>
              <w:jc w:val="left"/>
            </w:pPr>
            <w:r>
              <w:rPr>
                <w:rFonts w:ascii="Arial" w:hAnsi="Arial" w:cs="Arial"/>
                <w:color w:val="20262E"/>
                <w:sz w:val="17"/>
              </w:rPr>
              <w:t>migration.completed / failed / drift_detected</w:t>
            </w:r>
          </w:p>
        </w:tc>
        <w:tc>
          <w:tcPr>
            <w:tcW w:type="dxa" w:w="5860"/>
            <w:vAlign w:val="center"/>
          </w:tcPr>
          <w:p>
            <w:pPr>
              <w:spacing w:after="0" w:line="259" w:lineRule="auto"/>
              <w:jc w:val="left"/>
            </w:pPr>
            <w:r>
              <w:rPr>
                <w:rFonts w:ascii="Arial" w:hAnsi="Arial" w:cs="Arial"/>
                <w:color w:val="20262E"/>
                <w:sz w:val="17"/>
              </w:rPr>
              <w:t>Deploy güveni</w:t>
            </w:r>
          </w:p>
        </w:tc>
      </w:tr>
      <w:tr>
        <w:trPr>
          <w:cantSplit/>
        </w:trPr>
        <w:tc>
          <w:tcPr>
            <w:tcW w:type="dxa" w:w="3500"/>
            <w:vAlign w:val="center"/>
          </w:tcPr>
          <w:p>
            <w:pPr>
              <w:spacing w:after="0" w:line="259" w:lineRule="auto"/>
              <w:jc w:val="left"/>
            </w:pPr>
            <w:r>
              <w:rPr>
                <w:rFonts w:ascii="Arial" w:hAnsi="Arial" w:cs="Arial"/>
                <w:color w:val="20262E"/>
                <w:sz w:val="17"/>
              </w:rPr>
              <w:t>quality.critical_issue_detected</w:t>
            </w:r>
          </w:p>
        </w:tc>
        <w:tc>
          <w:tcPr>
            <w:tcW w:type="dxa" w:w="5860"/>
            <w:vAlign w:val="center"/>
          </w:tcPr>
          <w:p>
            <w:pPr>
              <w:spacing w:after="0" w:line="259" w:lineRule="auto"/>
              <w:jc w:val="left"/>
            </w:pPr>
            <w:r>
              <w:rPr>
                <w:rFonts w:ascii="Arial" w:hAnsi="Arial" w:cs="Arial"/>
                <w:color w:val="20262E"/>
                <w:sz w:val="17"/>
              </w:rPr>
              <w:t>Yayın güvenliği alarmı</w:t>
            </w:r>
          </w:p>
        </w:tc>
      </w:tr>
    </w:tbl>
    <w:p>
      <w:pPr>
        <w:spacing w:before="0" w:after="80" w:line="264" w:lineRule="auto"/>
      </w:pPr>
    </w:p>
    <w:p>
      <w:pPr>
        <w:pStyle w:val="Heading1"/>
      </w:pPr>
      <w:r>
        <w:rPr>
          <w:rFonts w:ascii="Arial" w:hAnsi="Arial" w:cs="Arial"/>
          <w:b/>
          <w:color w:val="2E74B5"/>
          <w:sz w:val="32"/>
        </w:rPr>
        <w:t>Ek C. Kabul testi matrisi</w:t>
      </w:r>
    </w:p>
    <w:tbl>
      <w:tblPr>
        <w:tblW w:type="dxa" w:w="9360"/>
        <w:jc w:val="left"/>
        <w:tblLayout w:type="fixed"/>
        <w:tblLook w:firstColumn="1" w:firstRow="1" w:lastColumn="0" w:lastRow="0" w:noHBand="0" w:noVBand="1" w:val="04A0"/>
        <w:tblInd w:w="120" w:type="dxa"/>
        <w:tblBorders>
          <w:top w:val="single" w:sz="6" w:space="0" w:color="CFD6DE"/>
          <w:left w:val="single" w:sz="6" w:space="0" w:color="CFD6DE"/>
          <w:bottom w:val="single" w:sz="6" w:space="0" w:color="CFD6DE"/>
          <w:right w:val="single" w:sz="6" w:space="0" w:color="CFD6DE"/>
          <w:insideH w:val="single" w:sz="6" w:space="0" w:color="CFD6DE"/>
          <w:insideV w:val="single" w:sz="6" w:space="0" w:color="CFD6DE"/>
        </w:tblBorders>
      </w:tblPr>
      <w:tblGrid>
        <w:gridCol w:w="1750"/>
        <w:gridCol w:w="4600"/>
        <w:gridCol w:w="3010"/>
      </w:tblGrid>
      <w:tr>
        <w:trPr>
          <w:tblHeader w:val="true"/>
        </w:trPr>
        <w:tc>
          <w:tcPr>
            <w:tcW w:type="dxa" w:w="175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Alan</w:t>
            </w:r>
          </w:p>
        </w:tc>
        <w:tc>
          <w:tcPr>
            <w:tcW w:type="dxa" w:w="460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Senaryo</w:t>
            </w:r>
          </w:p>
        </w:tc>
        <w:tc>
          <w:tcPr>
            <w:tcW w:type="dxa" w:w="3010"/>
            <w:tcMar>
              <w:top w:w="80" w:type="dxa"/>
              <w:bottom w:w="80" w:type="dxa"/>
              <w:start w:w="120" w:type="dxa"/>
              <w:end w:w="120" w:type="dxa"/>
            </w:tcMar>
            <w:shd w:fill="F2F4F7" w:val="clear"/>
            <w:vAlign w:val="center"/>
          </w:tcPr>
          <w:p>
            <w:pPr>
              <w:spacing w:after="0" w:line="252" w:lineRule="auto"/>
              <w:jc w:val="left"/>
            </w:pPr>
            <w:r>
              <w:rPr>
                <w:rFonts w:ascii="Arial" w:hAnsi="Arial" w:cs="Arial"/>
                <w:b/>
                <w:color w:val="0B2545"/>
                <w:sz w:val="16"/>
              </w:rPr>
              <w:t>Geçiş ölçütü</w:t>
            </w:r>
          </w:p>
        </w:tc>
      </w:tr>
      <w:tr>
        <w:trPr>
          <w:cantSplit/>
        </w:trPr>
        <w:tc>
          <w:tcPr>
            <w:tcW w:type="dxa" w:w="1750"/>
            <w:vAlign w:val="center"/>
          </w:tcPr>
          <w:p>
            <w:pPr>
              <w:spacing w:after="0" w:line="259" w:lineRule="auto"/>
              <w:jc w:val="left"/>
            </w:pPr>
            <w:r>
              <w:rPr>
                <w:rFonts w:ascii="Arial" w:hAnsi="Arial" w:cs="Arial"/>
                <w:color w:val="20262E"/>
                <w:sz w:val="16"/>
              </w:rPr>
              <w:t>Kimlik cutover</w:t>
            </w:r>
          </w:p>
        </w:tc>
        <w:tc>
          <w:tcPr>
            <w:tcW w:type="dxa" w:w="4600"/>
            <w:vAlign w:val="center"/>
          </w:tcPr>
          <w:p>
            <w:pPr>
              <w:spacing w:after="0" w:line="259" w:lineRule="auto"/>
              <w:jc w:val="left"/>
            </w:pPr>
            <w:r>
              <w:rPr>
                <w:rFonts w:ascii="Arial" w:hAnsi="Arial" w:cs="Arial"/>
                <w:color w:val="20262E"/>
                <w:sz w:val="16"/>
              </w:rPr>
              <w:t>JSON/PG parity, kayıt, giriş, legacy upgrade, aktiflik, rol</w:t>
            </w:r>
          </w:p>
        </w:tc>
        <w:tc>
          <w:tcPr>
            <w:tcW w:type="dxa" w:w="3010"/>
            <w:vAlign w:val="center"/>
          </w:tcPr>
          <w:p>
            <w:pPr>
              <w:spacing w:after="0" w:line="259" w:lineRule="auto"/>
              <w:jc w:val="left"/>
            </w:pPr>
            <w:r>
              <w:rPr>
                <w:rFonts w:ascii="Arial" w:hAnsi="Arial" w:cs="Arial"/>
                <w:color w:val="20262E"/>
                <w:sz w:val="16"/>
              </w:rPr>
              <w:t>Sıfır açıklanmamış sapma; rollback provası</w:t>
            </w:r>
          </w:p>
        </w:tc>
      </w:tr>
      <w:tr>
        <w:trPr>
          <w:cantSplit/>
        </w:trPr>
        <w:tc>
          <w:tcPr>
            <w:tcW w:type="dxa" w:w="1750"/>
            <w:vAlign w:val="center"/>
          </w:tcPr>
          <w:p>
            <w:pPr>
              <w:spacing w:after="0" w:line="259" w:lineRule="auto"/>
              <w:jc w:val="left"/>
            </w:pPr>
            <w:r>
              <w:rPr>
                <w:rFonts w:ascii="Arial" w:hAnsi="Arial" w:cs="Arial"/>
                <w:color w:val="20262E"/>
                <w:sz w:val="16"/>
              </w:rPr>
              <w:t>Session</w:t>
            </w:r>
          </w:p>
        </w:tc>
        <w:tc>
          <w:tcPr>
            <w:tcW w:type="dxa" w:w="4600"/>
            <w:vAlign w:val="center"/>
          </w:tcPr>
          <w:p>
            <w:pPr>
              <w:spacing w:after="0" w:line="259" w:lineRule="auto"/>
              <w:jc w:val="left"/>
            </w:pPr>
            <w:r>
              <w:rPr>
                <w:rFonts w:ascii="Arial" w:hAnsi="Arial" w:cs="Arial"/>
                <w:color w:val="20262E"/>
                <w:sz w:val="16"/>
              </w:rPr>
              <w:t>Idle/absolute timeout, role change, password reset, all-device logout</w:t>
            </w:r>
          </w:p>
        </w:tc>
        <w:tc>
          <w:tcPr>
            <w:tcW w:type="dxa" w:w="3010"/>
            <w:vAlign w:val="center"/>
          </w:tcPr>
          <w:p>
            <w:pPr>
              <w:spacing w:after="0" w:line="259" w:lineRule="auto"/>
              <w:jc w:val="left"/>
            </w:pPr>
            <w:r>
              <w:rPr>
                <w:rFonts w:ascii="Arial" w:hAnsi="Arial" w:cs="Arial"/>
                <w:color w:val="20262E"/>
                <w:sz w:val="16"/>
              </w:rPr>
              <w:t>Revoked token sonraki istekte 401/403</w:t>
            </w:r>
          </w:p>
        </w:tc>
      </w:tr>
      <w:tr>
        <w:trPr>
          <w:cantSplit/>
        </w:trPr>
        <w:tc>
          <w:tcPr>
            <w:tcW w:type="dxa" w:w="1750"/>
            <w:vAlign w:val="center"/>
          </w:tcPr>
          <w:p>
            <w:pPr>
              <w:spacing w:after="0" w:line="259" w:lineRule="auto"/>
              <w:jc w:val="left"/>
            </w:pPr>
            <w:r>
              <w:rPr>
                <w:rFonts w:ascii="Arial" w:hAnsi="Arial" w:cs="Arial"/>
                <w:color w:val="20262E"/>
                <w:sz w:val="16"/>
              </w:rPr>
              <w:t>Rate limit</w:t>
            </w:r>
          </w:p>
        </w:tc>
        <w:tc>
          <w:tcPr>
            <w:tcW w:type="dxa" w:w="4600"/>
            <w:vAlign w:val="center"/>
          </w:tcPr>
          <w:p>
            <w:pPr>
              <w:spacing w:after="0" w:line="259" w:lineRule="auto"/>
              <w:jc w:val="left"/>
            </w:pPr>
            <w:r>
              <w:rPr>
                <w:rFonts w:ascii="Arial" w:hAnsi="Arial" w:cs="Arial"/>
                <w:color w:val="20262E"/>
                <w:sz w:val="16"/>
              </w:rPr>
              <w:t>Aynı hesap farklı IP, aynı IP farklı hesap, iki replica</w:t>
            </w:r>
          </w:p>
        </w:tc>
        <w:tc>
          <w:tcPr>
            <w:tcW w:type="dxa" w:w="3010"/>
            <w:vAlign w:val="center"/>
          </w:tcPr>
          <w:p>
            <w:pPr>
              <w:spacing w:after="0" w:line="259" w:lineRule="auto"/>
              <w:jc w:val="left"/>
            </w:pPr>
            <w:r>
              <w:rPr>
                <w:rFonts w:ascii="Arial" w:hAnsi="Arial" w:cs="Arial"/>
                <w:color w:val="20262E"/>
                <w:sz w:val="16"/>
              </w:rPr>
              <w:t>Politikaya uygun 429; login DoS yaratmaz</w:t>
            </w:r>
          </w:p>
        </w:tc>
      </w:tr>
      <w:tr>
        <w:trPr>
          <w:cantSplit/>
        </w:trPr>
        <w:tc>
          <w:tcPr>
            <w:tcW w:type="dxa" w:w="1750"/>
            <w:vAlign w:val="center"/>
          </w:tcPr>
          <w:p>
            <w:pPr>
              <w:spacing w:after="0" w:line="259" w:lineRule="auto"/>
              <w:jc w:val="left"/>
            </w:pPr>
            <w:r>
              <w:rPr>
                <w:rFonts w:ascii="Arial" w:hAnsi="Arial" w:cs="Arial"/>
                <w:color w:val="20262E"/>
                <w:sz w:val="16"/>
              </w:rPr>
              <w:t>Migration</w:t>
            </w:r>
          </w:p>
        </w:tc>
        <w:tc>
          <w:tcPr>
            <w:tcW w:type="dxa" w:w="4600"/>
            <w:vAlign w:val="center"/>
          </w:tcPr>
          <w:p>
            <w:pPr>
              <w:spacing w:after="0" w:line="259" w:lineRule="auto"/>
              <w:jc w:val="left"/>
            </w:pPr>
            <w:r>
              <w:rPr>
                <w:rFonts w:ascii="Arial" w:hAnsi="Arial" w:cs="Arial"/>
                <w:color w:val="20262E"/>
                <w:sz w:val="16"/>
              </w:rPr>
              <w:t>İki paralel release, uzun lock, başarısız DDL</w:t>
            </w:r>
          </w:p>
        </w:tc>
        <w:tc>
          <w:tcPr>
            <w:tcW w:type="dxa" w:w="3010"/>
            <w:vAlign w:val="center"/>
          </w:tcPr>
          <w:p>
            <w:pPr>
              <w:spacing w:after="0" w:line="259" w:lineRule="auto"/>
              <w:jc w:val="left"/>
            </w:pPr>
            <w:r>
              <w:rPr>
                <w:rFonts w:ascii="Arial" w:hAnsi="Arial" w:cs="Arial"/>
                <w:color w:val="20262E"/>
                <w:sz w:val="16"/>
              </w:rPr>
              <w:t>Tek runner; readiness kapalı; yarım şema yok</w:t>
            </w:r>
          </w:p>
        </w:tc>
      </w:tr>
      <w:tr>
        <w:trPr>
          <w:cantSplit/>
        </w:trPr>
        <w:tc>
          <w:tcPr>
            <w:tcW w:type="dxa" w:w="1750"/>
            <w:vAlign w:val="center"/>
          </w:tcPr>
          <w:p>
            <w:pPr>
              <w:spacing w:after="0" w:line="259" w:lineRule="auto"/>
              <w:jc w:val="left"/>
            </w:pPr>
            <w:r>
              <w:rPr>
                <w:rFonts w:ascii="Arial" w:hAnsi="Arial" w:cs="Arial"/>
                <w:color w:val="20262E"/>
                <w:sz w:val="16"/>
              </w:rPr>
              <w:t>Backup</w:t>
            </w:r>
          </w:p>
        </w:tc>
        <w:tc>
          <w:tcPr>
            <w:tcW w:type="dxa" w:w="4600"/>
            <w:vAlign w:val="center"/>
          </w:tcPr>
          <w:p>
            <w:pPr>
              <w:spacing w:after="0" w:line="259" w:lineRule="auto"/>
              <w:jc w:val="left"/>
            </w:pPr>
            <w:r>
              <w:rPr>
                <w:rFonts w:ascii="Arial" w:hAnsi="Arial" w:cs="Arial"/>
                <w:color w:val="20262E"/>
                <w:sz w:val="16"/>
              </w:rPr>
              <w:t>Yeni ortamda restore, migration ve smoke</w:t>
            </w:r>
          </w:p>
        </w:tc>
        <w:tc>
          <w:tcPr>
            <w:tcW w:type="dxa" w:w="3010"/>
            <w:vAlign w:val="center"/>
          </w:tcPr>
          <w:p>
            <w:pPr>
              <w:spacing w:after="0" w:line="259" w:lineRule="auto"/>
              <w:jc w:val="left"/>
            </w:pPr>
            <w:r>
              <w:rPr>
                <w:rFonts w:ascii="Arial" w:hAnsi="Arial" w:cs="Arial"/>
                <w:color w:val="20262E"/>
                <w:sz w:val="16"/>
              </w:rPr>
              <w:t>Ölçülen RPO/RTO hedef içinde</w:t>
            </w:r>
          </w:p>
        </w:tc>
      </w:tr>
      <w:tr>
        <w:trPr>
          <w:cantSplit/>
        </w:trPr>
        <w:tc>
          <w:tcPr>
            <w:tcW w:type="dxa" w:w="1750"/>
            <w:vAlign w:val="center"/>
          </w:tcPr>
          <w:p>
            <w:pPr>
              <w:spacing w:after="0" w:line="259" w:lineRule="auto"/>
              <w:jc w:val="left"/>
            </w:pPr>
            <w:r>
              <w:rPr>
                <w:rFonts w:ascii="Arial" w:hAnsi="Arial" w:cs="Arial"/>
                <w:color w:val="20262E"/>
                <w:sz w:val="16"/>
              </w:rPr>
              <w:t>Vaka sürümü</w:t>
            </w:r>
          </w:p>
        </w:tc>
        <w:tc>
          <w:tcPr>
            <w:tcW w:type="dxa" w:w="4600"/>
            <w:vAlign w:val="center"/>
          </w:tcPr>
          <w:p>
            <w:pPr>
              <w:spacing w:after="0" w:line="259" w:lineRule="auto"/>
              <w:jc w:val="left"/>
            </w:pPr>
            <w:r>
              <w:rPr>
                <w:rFonts w:ascii="Arial" w:hAnsi="Arial" w:cs="Arial"/>
                <w:color w:val="20262E"/>
                <w:sz w:val="16"/>
              </w:rPr>
              <w:t>Yayın sonrası edit; aktif deneme; rubric değişimi</w:t>
            </w:r>
          </w:p>
        </w:tc>
        <w:tc>
          <w:tcPr>
            <w:tcW w:type="dxa" w:w="3010"/>
            <w:vAlign w:val="center"/>
          </w:tcPr>
          <w:p>
            <w:pPr>
              <w:spacing w:after="0" w:line="259" w:lineRule="auto"/>
              <w:jc w:val="left"/>
            </w:pPr>
            <w:r>
              <w:rPr>
                <w:rFonts w:ascii="Arial" w:hAnsi="Arial" w:cs="Arial"/>
                <w:color w:val="20262E"/>
                <w:sz w:val="16"/>
              </w:rPr>
              <w:t>Geçmiş deneme/skor değişmez</w:t>
            </w:r>
          </w:p>
        </w:tc>
      </w:tr>
      <w:tr>
        <w:trPr>
          <w:cantSplit/>
        </w:trPr>
        <w:tc>
          <w:tcPr>
            <w:tcW w:type="dxa" w:w="1750"/>
            <w:vAlign w:val="center"/>
          </w:tcPr>
          <w:p>
            <w:pPr>
              <w:spacing w:after="0" w:line="259" w:lineRule="auto"/>
              <w:jc w:val="left"/>
            </w:pPr>
            <w:r>
              <w:rPr>
                <w:rFonts w:ascii="Arial" w:hAnsi="Arial" w:cs="Arial"/>
                <w:color w:val="20262E"/>
                <w:sz w:val="16"/>
              </w:rPr>
              <w:t>Skor</w:t>
            </w:r>
          </w:p>
        </w:tc>
        <w:tc>
          <w:tcPr>
            <w:tcW w:type="dxa" w:w="4600"/>
            <w:vAlign w:val="center"/>
          </w:tcPr>
          <w:p>
            <w:pPr>
              <w:spacing w:after="0" w:line="259" w:lineRule="auto"/>
              <w:jc w:val="left"/>
            </w:pPr>
            <w:r>
              <w:rPr>
                <w:rFonts w:ascii="Arial" w:hAnsi="Arial" w:cs="Arial"/>
                <w:color w:val="20262E"/>
                <w:sz w:val="16"/>
              </w:rPr>
              <w:t>Aynı olay dizisi; tekrar complete; kural sürümü</w:t>
            </w:r>
          </w:p>
        </w:tc>
        <w:tc>
          <w:tcPr>
            <w:tcW w:type="dxa" w:w="3010"/>
            <w:vAlign w:val="center"/>
          </w:tcPr>
          <w:p>
            <w:pPr>
              <w:spacing w:after="0" w:line="259" w:lineRule="auto"/>
              <w:jc w:val="left"/>
            </w:pPr>
            <w:r>
              <w:rPr>
                <w:rFonts w:ascii="Arial" w:hAnsi="Arial" w:cs="Arial"/>
                <w:color w:val="20262E"/>
                <w:sz w:val="16"/>
              </w:rPr>
              <w:t>Deterministik ve idempotent</w:t>
            </w:r>
          </w:p>
        </w:tc>
      </w:tr>
      <w:tr>
        <w:trPr>
          <w:cantSplit/>
        </w:trPr>
        <w:tc>
          <w:tcPr>
            <w:tcW w:type="dxa" w:w="1750"/>
            <w:vAlign w:val="center"/>
          </w:tcPr>
          <w:p>
            <w:pPr>
              <w:spacing w:after="0" w:line="259" w:lineRule="auto"/>
              <w:jc w:val="left"/>
            </w:pPr>
            <w:r>
              <w:rPr>
                <w:rFonts w:ascii="Arial" w:hAnsi="Arial" w:cs="Arial"/>
                <w:color w:val="20262E"/>
                <w:sz w:val="16"/>
              </w:rPr>
              <w:t>Yetki</w:t>
            </w:r>
          </w:p>
        </w:tc>
        <w:tc>
          <w:tcPr>
            <w:tcW w:type="dxa" w:w="4600"/>
            <w:vAlign w:val="center"/>
          </w:tcPr>
          <w:p>
            <w:pPr>
              <w:spacing w:after="0" w:line="259" w:lineRule="auto"/>
              <w:jc w:val="left"/>
            </w:pPr>
            <w:r>
              <w:rPr>
                <w:rFonts w:ascii="Arial" w:hAnsi="Arial" w:cs="Arial"/>
                <w:color w:val="20262E"/>
                <w:sz w:val="16"/>
              </w:rPr>
              <w:t>Öğrenci/admin/doktor negatif endpoint matrisi</w:t>
            </w:r>
          </w:p>
        </w:tc>
        <w:tc>
          <w:tcPr>
            <w:tcW w:type="dxa" w:w="3010"/>
            <w:vAlign w:val="center"/>
          </w:tcPr>
          <w:p>
            <w:pPr>
              <w:spacing w:after="0" w:line="259" w:lineRule="auto"/>
              <w:jc w:val="left"/>
            </w:pPr>
            <w:r>
              <w:rPr>
                <w:rFonts w:ascii="Arial" w:hAnsi="Arial" w:cs="Arial"/>
                <w:color w:val="20262E"/>
                <w:sz w:val="16"/>
              </w:rPr>
              <w:t>Varsayılan deny; tüm ihlaller audit/metric</w:t>
            </w:r>
          </w:p>
        </w:tc>
      </w:tr>
      <w:tr>
        <w:trPr>
          <w:cantSplit/>
        </w:trPr>
        <w:tc>
          <w:tcPr>
            <w:tcW w:type="dxa" w:w="1750"/>
            <w:vAlign w:val="center"/>
          </w:tcPr>
          <w:p>
            <w:pPr>
              <w:spacing w:after="0" w:line="259" w:lineRule="auto"/>
              <w:jc w:val="left"/>
            </w:pPr>
            <w:r>
              <w:rPr>
                <w:rFonts w:ascii="Arial" w:hAnsi="Arial" w:cs="Arial"/>
                <w:color w:val="20262E"/>
                <w:sz w:val="16"/>
              </w:rPr>
              <w:t>E2E mobil</w:t>
            </w:r>
          </w:p>
        </w:tc>
        <w:tc>
          <w:tcPr>
            <w:tcW w:type="dxa" w:w="4600"/>
            <w:vAlign w:val="center"/>
          </w:tcPr>
          <w:p>
            <w:pPr>
              <w:spacing w:after="0" w:line="259" w:lineRule="auto"/>
              <w:jc w:val="left"/>
            </w:pPr>
            <w:r>
              <w:rPr>
                <w:rFonts w:ascii="Arial" w:hAnsi="Arial" w:cs="Arial"/>
                <w:color w:val="20262E"/>
                <w:sz w:val="16"/>
              </w:rPr>
              <w:t>Kayıt, nav, vaka, sonuç, profil</w:t>
            </w:r>
          </w:p>
        </w:tc>
        <w:tc>
          <w:tcPr>
            <w:tcW w:type="dxa" w:w="3010"/>
            <w:vAlign w:val="center"/>
          </w:tcPr>
          <w:p>
            <w:pPr>
              <w:spacing w:after="0" w:line="259" w:lineRule="auto"/>
              <w:jc w:val="left"/>
            </w:pPr>
            <w:r>
              <w:rPr>
                <w:rFonts w:ascii="Arial" w:hAnsi="Arial" w:cs="Arial"/>
                <w:color w:val="20262E"/>
                <w:sz w:val="16"/>
              </w:rPr>
              <w:t>Desteklenen viewport'larda taşma/erişim engeli yok</w:t>
            </w:r>
          </w:p>
        </w:tc>
      </w:tr>
      <w:tr>
        <w:trPr>
          <w:cantSplit/>
        </w:trPr>
        <w:tc>
          <w:tcPr>
            <w:tcW w:type="dxa" w:w="1750"/>
            <w:vAlign w:val="center"/>
          </w:tcPr>
          <w:p>
            <w:pPr>
              <w:spacing w:after="0" w:line="259" w:lineRule="auto"/>
              <w:jc w:val="left"/>
            </w:pPr>
            <w:r>
              <w:rPr>
                <w:rFonts w:ascii="Arial" w:hAnsi="Arial" w:cs="Arial"/>
                <w:color w:val="20262E"/>
                <w:sz w:val="16"/>
              </w:rPr>
              <w:t>Erişilebilirlik</w:t>
            </w:r>
          </w:p>
        </w:tc>
        <w:tc>
          <w:tcPr>
            <w:tcW w:type="dxa" w:w="4600"/>
            <w:vAlign w:val="center"/>
          </w:tcPr>
          <w:p>
            <w:pPr>
              <w:spacing w:after="0" w:line="259" w:lineRule="auto"/>
              <w:jc w:val="left"/>
            </w:pPr>
            <w:r>
              <w:rPr>
                <w:rFonts w:ascii="Arial" w:hAnsi="Arial" w:cs="Arial"/>
                <w:color w:val="20262E"/>
                <w:sz w:val="16"/>
              </w:rPr>
              <w:t>Klavye, focus, SR, kontrast, hata mesajı</w:t>
            </w:r>
          </w:p>
        </w:tc>
        <w:tc>
          <w:tcPr>
            <w:tcW w:type="dxa" w:w="3010"/>
            <w:vAlign w:val="center"/>
          </w:tcPr>
          <w:p>
            <w:pPr>
              <w:spacing w:after="0" w:line="259" w:lineRule="auto"/>
              <w:jc w:val="left"/>
            </w:pPr>
            <w:r>
              <w:rPr>
                <w:rFonts w:ascii="Arial" w:hAnsi="Arial" w:cs="Arial"/>
                <w:color w:val="20262E"/>
                <w:sz w:val="16"/>
              </w:rPr>
              <w:t>Kritik WCAG 2.2 AA bulgusu 0</w:t>
            </w:r>
          </w:p>
        </w:tc>
      </w:tr>
      <w:tr>
        <w:trPr>
          <w:cantSplit/>
        </w:trPr>
        <w:tc>
          <w:tcPr>
            <w:tcW w:type="dxa" w:w="1750"/>
            <w:vAlign w:val="center"/>
          </w:tcPr>
          <w:p>
            <w:pPr>
              <w:spacing w:after="0" w:line="259" w:lineRule="auto"/>
              <w:jc w:val="left"/>
            </w:pPr>
            <w:r>
              <w:rPr>
                <w:rFonts w:ascii="Arial" w:hAnsi="Arial" w:cs="Arial"/>
                <w:color w:val="20262E"/>
                <w:sz w:val="16"/>
              </w:rPr>
              <w:t>AI pilot</w:t>
            </w:r>
          </w:p>
        </w:tc>
        <w:tc>
          <w:tcPr>
            <w:tcW w:type="dxa" w:w="4600"/>
            <w:vAlign w:val="center"/>
          </w:tcPr>
          <w:p>
            <w:pPr>
              <w:spacing w:after="0" w:line="259" w:lineRule="auto"/>
              <w:jc w:val="left"/>
            </w:pPr>
            <w:r>
              <w:rPr>
                <w:rFonts w:ascii="Arial" w:hAnsi="Arial" w:cs="Arial"/>
                <w:color w:val="20262E"/>
                <w:sz w:val="16"/>
              </w:rPr>
              <w:t>Fact, contradiction, leakage, prompt injection, fallback</w:t>
            </w:r>
          </w:p>
        </w:tc>
        <w:tc>
          <w:tcPr>
            <w:tcW w:type="dxa" w:w="3010"/>
            <w:vAlign w:val="center"/>
          </w:tcPr>
          <w:p>
            <w:pPr>
              <w:spacing w:after="0" w:line="259" w:lineRule="auto"/>
              <w:jc w:val="left"/>
            </w:pPr>
            <w:r>
              <w:rPr>
                <w:rFonts w:ascii="Arial" w:hAnsi="Arial" w:cs="Arial"/>
                <w:color w:val="20262E"/>
                <w:sz w:val="16"/>
              </w:rPr>
              <w:t>Önceden tanımlı golden eşikler geçer</w:t>
            </w:r>
          </w:p>
        </w:tc>
      </w:tr>
      <w:tr>
        <w:trPr>
          <w:cantSplit/>
        </w:trPr>
        <w:tc>
          <w:tcPr>
            <w:tcW w:type="dxa" w:w="1750"/>
            <w:vAlign w:val="center"/>
          </w:tcPr>
          <w:p>
            <w:pPr>
              <w:spacing w:after="0" w:line="259" w:lineRule="auto"/>
              <w:jc w:val="left"/>
            </w:pPr>
            <w:r>
              <w:rPr>
                <w:rFonts w:ascii="Arial" w:hAnsi="Arial" w:cs="Arial"/>
                <w:color w:val="20262E"/>
                <w:sz w:val="16"/>
              </w:rPr>
              <w:t>MIMIC ETL</w:t>
            </w:r>
          </w:p>
        </w:tc>
        <w:tc>
          <w:tcPr>
            <w:tcW w:type="dxa" w:w="4600"/>
            <w:vAlign w:val="center"/>
          </w:tcPr>
          <w:p>
            <w:pPr>
              <w:spacing w:after="0" w:line="259" w:lineRule="auto"/>
              <w:jc w:val="left"/>
            </w:pPr>
            <w:r>
              <w:rPr>
                <w:rFonts w:ascii="Arial" w:hAnsi="Arial" w:cs="Arial"/>
                <w:color w:val="20262E"/>
                <w:sz w:val="16"/>
              </w:rPr>
              <w:t>Lineage, access, mapping ambiguity, yayın zonu</w:t>
            </w:r>
          </w:p>
        </w:tc>
        <w:tc>
          <w:tcPr>
            <w:tcW w:type="dxa" w:w="3010"/>
            <w:vAlign w:val="center"/>
          </w:tcPr>
          <w:p>
            <w:pPr>
              <w:spacing w:after="0" w:line="259" w:lineRule="auto"/>
              <w:jc w:val="left"/>
            </w:pPr>
            <w:r>
              <w:rPr>
                <w:rFonts w:ascii="Arial" w:hAnsi="Arial" w:cs="Arial"/>
                <w:color w:val="20262E"/>
                <w:sz w:val="16"/>
              </w:rPr>
              <w:t>Raw veri runtime/harici API'de yok</w:t>
            </w:r>
          </w:p>
        </w:tc>
      </w:tr>
    </w:tbl>
    <w:p>
      <w:pPr>
        <w:spacing w:before="0" w:after="80" w:line="264" w:lineRule="auto"/>
      </w:pPr>
    </w:p>
    <w:p>
      <w:pPr>
        <w:pStyle w:val="Heading1"/>
      </w:pPr>
      <w:r>
        <w:rPr>
          <w:rFonts w:ascii="Arial" w:hAnsi="Arial" w:cs="Arial"/>
          <w:b/>
          <w:color w:val="2E74B5"/>
          <w:sz w:val="32"/>
        </w:rPr>
        <w:t>Ek D. Kaynaklar</w:t>
      </w:r>
    </w:p>
    <w:p>
      <w:pPr>
        <w:spacing w:before="0" w:after="120" w:line="264" w:lineRule="auto"/>
      </w:pPr>
      <w:r>
        <w:rPr>
          <w:rFonts w:ascii="Arial" w:hAnsi="Arial" w:cs="Arial"/>
          <w:b w:val="0"/>
          <w:i w:val="0"/>
          <w:color w:val="5D6875"/>
          <w:sz w:val="19"/>
        </w:rPr>
        <w:t>Kaynak sistem özeti ile güncel birincil standart ve resmi dokümantasyon birlikte kullanılmıştır. Erişim tarihi: 12 Ağustos 2026.</w:t>
      </w:r>
    </w:p>
    <w:p>
      <w:pPr>
        <w:spacing w:before="0" w:after="80" w:line="264" w:lineRule="auto"/>
      </w:pPr>
      <w:r>
        <w:rPr>
          <w:rFonts w:ascii="Arial" w:hAnsi="Arial" w:cs="Arial"/>
          <w:b/>
          <w:color w:val="0B2545"/>
          <w:sz w:val="18"/>
        </w:rPr>
        <w:t xml:space="preserve">[1] </w:t>
      </w:r>
      <w:r>
        <w:rPr>
          <w:rFonts w:ascii="Arial" w:hAnsi="Arial" w:cs="Arial"/>
          <w:color w:val="20262E"/>
          <w:sz w:val="18"/>
        </w:rPr>
        <w:t>TIP-AI Güncel Sistem Raporu — kullanıcı tarafından sağlanan Pasted markdown.md; master/a93dad4.</w:t>
      </w:r>
    </w:p>
    <w:p>
      <w:pPr>
        <w:spacing w:before="0" w:after="80" w:line="264" w:lineRule="auto"/>
      </w:pPr>
      <w:r>
        <w:rPr>
          <w:rFonts w:ascii="Arial" w:hAnsi="Arial" w:cs="Arial"/>
          <w:b/>
          <w:color w:val="0B2545"/>
          <w:sz w:val="18"/>
        </w:rPr>
        <w:t xml:space="preserve">[2] </w:t>
      </w:r>
      <w:hyperlink r:id="rId14">
        <w:r>
          <w:rPr>
            <w:rFonts w:ascii="Arial" w:hAnsi="Arial"/>
            <w:color w:val="2E74B5"/>
            <w:u w:val="single"/>
          </w:rPr>
          <w:t>OWASP Application Security Verification Standard (ASVS)</w:t>
        </w:r>
      </w:hyperlink>
    </w:p>
    <w:p>
      <w:pPr>
        <w:spacing w:before="0" w:after="80" w:line="264" w:lineRule="auto"/>
      </w:pPr>
      <w:r>
        <w:rPr>
          <w:rFonts w:ascii="Arial" w:hAnsi="Arial" w:cs="Arial"/>
          <w:b/>
          <w:color w:val="0B2545"/>
          <w:sz w:val="18"/>
        </w:rPr>
        <w:t xml:space="preserve">[3] </w:t>
      </w:r>
      <w:hyperlink r:id="rId15">
        <w:r>
          <w:rPr>
            <w:rFonts w:ascii="Arial" w:hAnsi="Arial"/>
            <w:color w:val="2E74B5"/>
            <w:u w:val="single"/>
          </w:rPr>
          <w:t>OWASP ASVS 5.0.x Cheat Sheet Index</w:t>
        </w:r>
      </w:hyperlink>
    </w:p>
    <w:p>
      <w:pPr>
        <w:spacing w:before="0" w:after="80" w:line="264" w:lineRule="auto"/>
      </w:pPr>
      <w:r>
        <w:rPr>
          <w:rFonts w:ascii="Arial" w:hAnsi="Arial" w:cs="Arial"/>
          <w:b/>
          <w:color w:val="0B2545"/>
          <w:sz w:val="18"/>
        </w:rPr>
        <w:t xml:space="preserve">[4] </w:t>
      </w:r>
      <w:hyperlink r:id="rId16">
        <w:r>
          <w:rPr>
            <w:rFonts w:ascii="Arial" w:hAnsi="Arial"/>
            <w:color w:val="2E74B5"/>
            <w:u w:val="single"/>
          </w:rPr>
          <w:t>OWASP Authentication Cheat Sheet</w:t>
        </w:r>
      </w:hyperlink>
    </w:p>
    <w:p>
      <w:pPr>
        <w:spacing w:before="0" w:after="80" w:line="264" w:lineRule="auto"/>
      </w:pPr>
      <w:r>
        <w:rPr>
          <w:rFonts w:ascii="Arial" w:hAnsi="Arial" w:cs="Arial"/>
          <w:b/>
          <w:color w:val="0B2545"/>
          <w:sz w:val="18"/>
        </w:rPr>
        <w:t xml:space="preserve">[5] </w:t>
      </w:r>
      <w:hyperlink r:id="rId17">
        <w:r>
          <w:rPr>
            <w:rFonts w:ascii="Arial" w:hAnsi="Arial"/>
            <w:color w:val="2E74B5"/>
            <w:u w:val="single"/>
          </w:rPr>
          <w:t>OWASP Session Management Cheat Sheet</w:t>
        </w:r>
      </w:hyperlink>
    </w:p>
    <w:p>
      <w:pPr>
        <w:spacing w:before="0" w:after="80" w:line="264" w:lineRule="auto"/>
      </w:pPr>
      <w:r>
        <w:rPr>
          <w:rFonts w:ascii="Arial" w:hAnsi="Arial" w:cs="Arial"/>
          <w:b/>
          <w:color w:val="0B2545"/>
          <w:sz w:val="18"/>
        </w:rPr>
        <w:t xml:space="preserve">[6] </w:t>
      </w:r>
      <w:hyperlink r:id="rId18">
        <w:r>
          <w:rPr>
            <w:rFonts w:ascii="Arial" w:hAnsi="Arial"/>
            <w:color w:val="2E74B5"/>
            <w:u w:val="single"/>
          </w:rPr>
          <w:t>OWASP Forgot Password Cheat Sheet</w:t>
        </w:r>
      </w:hyperlink>
    </w:p>
    <w:p>
      <w:pPr>
        <w:spacing w:before="0" w:after="80" w:line="264" w:lineRule="auto"/>
      </w:pPr>
      <w:r>
        <w:rPr>
          <w:rFonts w:ascii="Arial" w:hAnsi="Arial" w:cs="Arial"/>
          <w:b/>
          <w:color w:val="0B2545"/>
          <w:sz w:val="18"/>
        </w:rPr>
        <w:t xml:space="preserve">[7] </w:t>
      </w:r>
      <w:hyperlink r:id="rId19">
        <w:r>
          <w:rPr>
            <w:rFonts w:ascii="Arial" w:hAnsi="Arial"/>
            <w:color w:val="2E74B5"/>
            <w:u w:val="single"/>
          </w:rPr>
          <w:t>OWASP Multifactor Authentication Cheat Sheet</w:t>
        </w:r>
      </w:hyperlink>
    </w:p>
    <w:p>
      <w:pPr>
        <w:spacing w:before="0" w:after="80" w:line="264" w:lineRule="auto"/>
      </w:pPr>
      <w:r>
        <w:rPr>
          <w:rFonts w:ascii="Arial" w:hAnsi="Arial" w:cs="Arial"/>
          <w:b/>
          <w:color w:val="0B2545"/>
          <w:sz w:val="18"/>
        </w:rPr>
        <w:t xml:space="preserve">[8] </w:t>
      </w:r>
      <w:hyperlink r:id="rId20">
        <w:r>
          <w:rPr>
            <w:rFonts w:ascii="Arial" w:hAnsi="Arial"/>
            <w:color w:val="2E74B5"/>
            <w:u w:val="single"/>
          </w:rPr>
          <w:t>NIST SP 800-63B — Authentication and Authenticator Management</w:t>
        </w:r>
      </w:hyperlink>
    </w:p>
    <w:p>
      <w:pPr>
        <w:spacing w:before="0" w:after="80" w:line="264" w:lineRule="auto"/>
      </w:pPr>
      <w:r>
        <w:rPr>
          <w:rFonts w:ascii="Arial" w:hAnsi="Arial" w:cs="Arial"/>
          <w:b/>
          <w:color w:val="0B2545"/>
          <w:sz w:val="18"/>
        </w:rPr>
        <w:t xml:space="preserve">[9] </w:t>
      </w:r>
      <w:hyperlink r:id="rId21">
        <w:r>
          <w:rPr>
            <w:rFonts w:ascii="Arial" w:hAnsi="Arial"/>
            <w:color w:val="2E74B5"/>
            <w:u w:val="single"/>
          </w:rPr>
          <w:t>PostgreSQL Documentation — Explicit and Advisory Locking</w:t>
        </w:r>
      </w:hyperlink>
    </w:p>
    <w:p>
      <w:pPr>
        <w:spacing w:before="0" w:after="80" w:line="264" w:lineRule="auto"/>
      </w:pPr>
      <w:r>
        <w:rPr>
          <w:rFonts w:ascii="Arial" w:hAnsi="Arial" w:cs="Arial"/>
          <w:b/>
          <w:color w:val="0B2545"/>
          <w:sz w:val="18"/>
        </w:rPr>
        <w:t xml:space="preserve">[10] </w:t>
      </w:r>
      <w:hyperlink r:id="rId22">
        <w:r>
          <w:rPr>
            <w:rFonts w:ascii="Arial" w:hAnsi="Arial"/>
            <w:color w:val="2E74B5"/>
            <w:u w:val="single"/>
          </w:rPr>
          <w:t>OpenTelemetry — What is OpenTelemetry?</w:t>
        </w:r>
      </w:hyperlink>
    </w:p>
    <w:p>
      <w:pPr>
        <w:spacing w:before="0" w:after="80" w:line="264" w:lineRule="auto"/>
      </w:pPr>
      <w:r>
        <w:rPr>
          <w:rFonts w:ascii="Arial" w:hAnsi="Arial" w:cs="Arial"/>
          <w:b/>
          <w:color w:val="0B2545"/>
          <w:sz w:val="18"/>
        </w:rPr>
        <w:t xml:space="preserve">[11] </w:t>
      </w:r>
      <w:hyperlink r:id="rId23">
        <w:r>
          <w:rPr>
            <w:rFonts w:ascii="Arial" w:hAnsi="Arial"/>
            <w:color w:val="2E74B5"/>
            <w:u w:val="single"/>
          </w:rPr>
          <w:t>OWASP Logging Cheat Sheet</w:t>
        </w:r>
      </w:hyperlink>
    </w:p>
    <w:p>
      <w:pPr>
        <w:spacing w:before="0" w:after="80" w:line="264" w:lineRule="auto"/>
      </w:pPr>
      <w:r>
        <w:rPr>
          <w:rFonts w:ascii="Arial" w:hAnsi="Arial" w:cs="Arial"/>
          <w:b/>
          <w:color w:val="0B2545"/>
          <w:sz w:val="18"/>
        </w:rPr>
        <w:t xml:space="preserve">[12] </w:t>
      </w:r>
      <w:hyperlink r:id="rId24">
        <w:r>
          <w:rPr>
            <w:rFonts w:ascii="Arial" w:hAnsi="Arial"/>
            <w:color w:val="2E74B5"/>
            <w:u w:val="single"/>
          </w:rPr>
          <w:t>W3C Web Content Accessibility Guidelines (WCAG) 2.2</w:t>
        </w:r>
      </w:hyperlink>
    </w:p>
    <w:p>
      <w:pPr>
        <w:spacing w:before="0" w:after="80" w:line="264" w:lineRule="auto"/>
      </w:pPr>
      <w:r>
        <w:rPr>
          <w:rFonts w:ascii="Arial" w:hAnsi="Arial" w:cs="Arial"/>
          <w:b/>
          <w:color w:val="0B2545"/>
          <w:sz w:val="18"/>
        </w:rPr>
        <w:t xml:space="preserve">[13] </w:t>
      </w:r>
      <w:hyperlink r:id="rId25">
        <w:r>
          <w:rPr>
            <w:rFonts w:ascii="Arial" w:hAnsi="Arial"/>
            <w:color w:val="2E74B5"/>
            <w:u w:val="single"/>
          </w:rPr>
          <w:t>Next.js Production Checklist</w:t>
        </w:r>
      </w:hyperlink>
    </w:p>
    <w:p>
      <w:pPr>
        <w:spacing w:before="0" w:after="80" w:line="264" w:lineRule="auto"/>
      </w:pPr>
      <w:r>
        <w:rPr>
          <w:rFonts w:ascii="Arial" w:hAnsi="Arial" w:cs="Arial"/>
          <w:b/>
          <w:color w:val="0B2545"/>
          <w:sz w:val="18"/>
        </w:rPr>
        <w:t xml:space="preserve">[14] </w:t>
      </w:r>
      <w:hyperlink r:id="rId26">
        <w:r>
          <w:rPr>
            <w:rFonts w:ascii="Arial" w:hAnsi="Arial"/>
            <w:color w:val="2E74B5"/>
            <w:u w:val="single"/>
          </w:rPr>
          <w:t>1EdTech Learning Tools Interoperability (LTI)</w:t>
        </w:r>
      </w:hyperlink>
    </w:p>
    <w:p>
      <w:pPr>
        <w:spacing w:before="0" w:after="80" w:line="264" w:lineRule="auto"/>
      </w:pPr>
      <w:r>
        <w:rPr>
          <w:rFonts w:ascii="Arial" w:hAnsi="Arial" w:cs="Arial"/>
          <w:b/>
          <w:color w:val="0B2545"/>
          <w:sz w:val="18"/>
        </w:rPr>
        <w:t xml:space="preserve">[15] </w:t>
      </w:r>
      <w:hyperlink r:id="rId27">
        <w:r>
          <w:rPr>
            <w:rFonts w:ascii="Arial" w:hAnsi="Arial"/>
            <w:color w:val="2E74B5"/>
            <w:u w:val="single"/>
          </w:rPr>
          <w:t>1EdTech Caliper Analytics</w:t>
        </w:r>
      </w:hyperlink>
    </w:p>
    <w:p>
      <w:pPr>
        <w:spacing w:before="0" w:after="80" w:line="264" w:lineRule="auto"/>
      </w:pPr>
      <w:r>
        <w:rPr>
          <w:rFonts w:ascii="Arial" w:hAnsi="Arial" w:cs="Arial"/>
          <w:b/>
          <w:color w:val="0B2545"/>
          <w:sz w:val="18"/>
        </w:rPr>
        <w:t xml:space="preserve">[16] </w:t>
      </w:r>
      <w:hyperlink r:id="rId28">
        <w:r>
          <w:rPr>
            <w:rFonts w:ascii="Arial" w:hAnsi="Arial"/>
            <w:color w:val="2E74B5"/>
            <w:u w:val="single"/>
          </w:rPr>
          <w:t>NIST AI Risk Management Framework — Generative AI Profile</w:t>
        </w:r>
      </w:hyperlink>
    </w:p>
    <w:p>
      <w:pPr>
        <w:spacing w:before="0" w:after="80" w:line="264" w:lineRule="auto"/>
      </w:pPr>
      <w:r>
        <w:rPr>
          <w:rFonts w:ascii="Arial" w:hAnsi="Arial" w:cs="Arial"/>
          <w:b/>
          <w:color w:val="0B2545"/>
          <w:sz w:val="18"/>
        </w:rPr>
        <w:t xml:space="preserve">[17] </w:t>
      </w:r>
      <w:hyperlink r:id="rId29">
        <w:r>
          <w:rPr>
            <w:rFonts w:ascii="Arial" w:hAnsi="Arial"/>
            <w:color w:val="2E74B5"/>
            <w:u w:val="single"/>
          </w:rPr>
          <w:t>PhysioNet MIMIC-III Clinical Database</w:t>
        </w:r>
      </w:hyperlink>
    </w:p>
    <w:p>
      <w:pPr>
        <w:spacing w:before="0" w:after="80" w:line="264" w:lineRule="auto"/>
      </w:pPr>
      <w:r>
        <w:rPr>
          <w:rFonts w:ascii="Arial" w:hAnsi="Arial" w:cs="Arial"/>
          <w:b/>
          <w:color w:val="0B2545"/>
          <w:sz w:val="18"/>
        </w:rPr>
        <w:t xml:space="preserve">[18] </w:t>
      </w:r>
      <w:hyperlink r:id="rId30">
        <w:r>
          <w:rPr>
            <w:rFonts w:ascii="Arial" w:hAnsi="Arial"/>
            <w:color w:val="2E74B5"/>
            <w:u w:val="single"/>
          </w:rPr>
          <w:t>PhysioNet Credentialed Health Data Use Agreement</w:t>
        </w:r>
      </w:hyperlink>
    </w:p>
    <w:p>
      <w:pPr>
        <w:spacing w:before="0" w:after="80" w:line="264" w:lineRule="auto"/>
      </w:pPr>
      <w:r>
        <w:rPr>
          <w:rFonts w:ascii="Arial" w:hAnsi="Arial" w:cs="Arial"/>
          <w:b/>
          <w:color w:val="0B2545"/>
          <w:sz w:val="18"/>
        </w:rPr>
        <w:t xml:space="preserve">[19] </w:t>
      </w:r>
      <w:hyperlink r:id="rId31">
        <w:r>
          <w:rPr>
            <w:rFonts w:ascii="Arial" w:hAnsi="Arial"/>
            <w:color w:val="2E74B5"/>
            <w:u w:val="single"/>
          </w:rPr>
          <w:t>PhysioNet — Use of MIMIC Data with Large Language Models and Online Services</w:t>
        </w:r>
      </w:hyperlink>
    </w:p>
    <w:p>
      <w:pPr>
        <w:spacing w:before="0" w:after="80" w:line="264" w:lineRule="auto"/>
      </w:pPr>
      <w:r>
        <w:rPr>
          <w:rFonts w:ascii="Arial" w:hAnsi="Arial" w:cs="Arial"/>
          <w:b/>
          <w:color w:val="0B2545"/>
          <w:sz w:val="18"/>
        </w:rPr>
        <w:t xml:space="preserve">[20] </w:t>
      </w:r>
      <w:hyperlink r:id="rId32">
        <w:r>
          <w:rPr>
            <w:rFonts w:ascii="Arial" w:hAnsi="Arial"/>
            <w:color w:val="2E74B5"/>
            <w:u w:val="single"/>
          </w:rPr>
          <w:t>KVKK — Özel Nitelikli Kişisel Verilerin İşlenmesine İlişkin Rehber</w:t>
        </w:r>
      </w:hyperlink>
    </w:p>
    <w:p>
      <w:pPr>
        <w:spacing w:before="0" w:after="80" w:line="264" w:lineRule="auto"/>
      </w:pPr>
      <w:r>
        <w:rPr>
          <w:rFonts w:ascii="Arial" w:hAnsi="Arial" w:cs="Arial"/>
          <w:b/>
          <w:color w:val="0B2545"/>
          <w:sz w:val="18"/>
        </w:rPr>
        <w:t xml:space="preserve">[21] </w:t>
      </w:r>
      <w:hyperlink r:id="rId33">
        <w:r>
          <w:rPr>
            <w:rFonts w:ascii="Arial" w:hAnsi="Arial"/>
            <w:color w:val="2E74B5"/>
            <w:u w:val="single"/>
          </w:rPr>
          <w:t>KVKK — Rehberler</w:t>
        </w:r>
      </w:hyperlink>
    </w:p>
    <w:p>
      <w:pPr>
        <w:spacing w:before="0" w:after="80" w:line="264" w:lineRule="auto"/>
      </w:pPr>
      <w:r>
        <w:rPr>
          <w:rFonts w:ascii="Arial" w:hAnsi="Arial" w:cs="Arial"/>
          <w:b/>
          <w:color w:val="0B2545"/>
          <w:sz w:val="18"/>
        </w:rPr>
        <w:t xml:space="preserve">[22] </w:t>
      </w:r>
      <w:hyperlink r:id="rId34">
        <w:r>
          <w:rPr>
            <w:rFonts w:ascii="Arial" w:hAnsi="Arial"/>
            <w:color w:val="2E74B5"/>
            <w:u w:val="single"/>
          </w:rPr>
          <w:t>KVKK Kurul Kararı Özeti — Üniversite ve veri güvenliği yükümlülükleri</w:t>
        </w:r>
      </w:hyperlink>
    </w:p>
    <w:sectPr w:rsidR="00FC693F" w:rsidRPr="0006063C" w:rsidSect="00034616">
      <w:headerReference w:type="default" r:id="rId9"/>
      <w:headerReference w:type="even" r:id="rId10"/>
      <w:footerReference w:type="default" r:id="rId11"/>
      <w:footerReference w:type="even" r:id="rId12"/>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blPr>
    <w:tblGrid>
      <w:gridCol w:w="6480"/>
      <w:gridCol w:w="2880"/>
    </w:tblGrid>
    <w:tr>
      <w:tc>
        <w:tcPr>
          <w:tcW w:type="dxa" w:w="6480"/>
          <w:tcMar>
            <w:top w:w="80" w:type="dxa"/>
            <w:bottom w:w="80" w:type="dxa"/>
            <w:start w:w="120" w:type="dxa"/>
            <w:end w:w="120" w:type="dxa"/>
          </w:tcMar>
        </w:tcPr>
        <w:p>
          <w:pPr>
            <w:spacing w:after="0"/>
          </w:pPr>
          <w:r>
            <w:rPr>
              <w:rFonts w:ascii="Arial" w:hAnsi="Arial" w:cs="Arial"/>
              <w:color w:val="5D6875"/>
              <w:sz w:val="17"/>
            </w:rPr>
            <w:t>Teknik değerlendirme • 12 Ağustos 2026</w:t>
          </w:r>
        </w:p>
      </w:tc>
      <w:tc>
        <w:tcPr>
          <w:tcW w:type="dxa" w:w="2880"/>
          <w:tcMar>
            <w:top w:w="80" w:type="dxa"/>
            <w:bottom w:w="80" w:type="dxa"/>
            <w:start w:w="120" w:type="dxa"/>
            <w:end w:w="120" w:type="dxa"/>
          </w:tcMar>
        </w:tcPr>
        <w:p>
          <w:pPr>
            <w:spacing w:after="0"/>
            <w:jc w:val="right"/>
          </w:pPr>
          <w:r>
            <w:rPr>
              <w:rFonts w:ascii="Arial" w:hAnsi="Arial" w:cs="Arial"/>
              <w:color w:val="5D6875"/>
              <w:sz w:val="17"/>
            </w:rPr>
            <w:t xml:space="preserve">Sayfa </w:t>
          </w:r>
          <w:r>
            <w:rPr>
              <w:rFonts w:ascii="Arial" w:hAnsi="Arial" w:cs="Arial"/>
              <w:color w:val="5D6875"/>
              <w:sz w:val="18"/>
            </w:rPr>
            <w:fldChar w:fldCharType="begin"/>
            <w:instrText xml:space="preserve">PAGE</w:instrText>
            <w:fldChar w:fldCharType="separate"/>
            <w:t>1</w:t>
            <w:fldChar w:fldCharType="end"/>
          </w:r>
          <w:r>
            <w:rPr>
              <w:rFonts w:ascii="Arial" w:hAnsi="Arial" w:cs="Arial"/>
              <w:color w:val="5D6875"/>
              <w:sz w:val="17"/>
            </w:rPr>
            <w:t xml:space="preserve"> / </w:t>
          </w:r>
          <w:r>
            <w:rPr>
              <w:rFonts w:ascii="Arial" w:hAnsi="Arial" w:cs="Arial"/>
              <w:color w:val="5D6875"/>
              <w:sz w:val="18"/>
            </w:rPr>
            <w:fldChar w:fldCharType="begin"/>
            <w:instrText xml:space="preserve">NUMPAGES</w:instrText>
            <w:fldChar w:fldCharType="separate"/>
            <w:t>1</w: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dxa" w:w="9360"/>
      <w:jc w:val="left"/>
      <w:tblLayout w:type="fixed"/>
      <w:tblLook w:firstColumn="1" w:firstRow="1" w:lastColumn="0" w:lastRow="0" w:noHBand="0" w:noVBand="1" w:val="04A0"/>
      <w:tblInd w:w="0" w:type="dxa"/>
      <w:tblBorders/>
    </w:tblPr>
    <w:tblGrid>
      <w:gridCol w:w="6480"/>
      <w:gridCol w:w="2880"/>
    </w:tblGrid>
    <w:tr>
      <w:tc>
        <w:tcPr>
          <w:tcW w:type="dxa" w:w="6480"/>
          <w:tcMar>
            <w:top w:w="80" w:type="dxa"/>
            <w:bottom w:w="80" w:type="dxa"/>
            <w:start w:w="120" w:type="dxa"/>
            <w:end w:w="120" w:type="dxa"/>
          </w:tcMar>
        </w:tcPr>
        <w:p>
          <w:pPr>
            <w:spacing w:after="0"/>
          </w:pPr>
          <w:r>
            <w:rPr>
              <w:rFonts w:ascii="Arial" w:hAnsi="Arial" w:cs="Arial"/>
              <w:color w:val="5D6875"/>
              <w:sz w:val="17"/>
            </w:rPr>
            <w:t>Teknik değerlendirme • 12 Ağustos 2026</w:t>
          </w:r>
        </w:p>
      </w:tc>
      <w:tc>
        <w:tcPr>
          <w:tcW w:type="dxa" w:w="2880"/>
          <w:tcMar>
            <w:top w:w="80" w:type="dxa"/>
            <w:bottom w:w="80" w:type="dxa"/>
            <w:start w:w="120" w:type="dxa"/>
            <w:end w:w="120" w:type="dxa"/>
          </w:tcMar>
        </w:tcPr>
        <w:p>
          <w:pPr>
            <w:spacing w:after="0"/>
            <w:jc w:val="right"/>
          </w:pPr>
          <w:r>
            <w:rPr>
              <w:rFonts w:ascii="Arial" w:hAnsi="Arial" w:cs="Arial"/>
              <w:color w:val="5D6875"/>
              <w:sz w:val="17"/>
            </w:rPr>
            <w:t xml:space="preserve">Sayfa </w:t>
          </w:r>
          <w:r>
            <w:rPr>
              <w:rFonts w:ascii="Arial" w:hAnsi="Arial" w:cs="Arial"/>
              <w:color w:val="5D6875"/>
              <w:sz w:val="18"/>
            </w:rPr>
            <w:fldChar w:fldCharType="begin"/>
            <w:instrText xml:space="preserve">PAGE</w:instrText>
            <w:fldChar w:fldCharType="separate"/>
            <w:t>1</w:t>
            <w:fldChar w:fldCharType="end"/>
          </w:r>
          <w:r>
            <w:rPr>
              <w:rFonts w:ascii="Arial" w:hAnsi="Arial" w:cs="Arial"/>
              <w:color w:val="5D6875"/>
              <w:sz w:val="17"/>
            </w:rPr>
            <w:t xml:space="preserve"> / </w:t>
          </w:r>
          <w:r>
            <w:rPr>
              <w:rFonts w:ascii="Arial" w:hAnsi="Arial" w:cs="Arial"/>
              <w:color w:val="5D6875"/>
              <w:sz w:val="18"/>
            </w:rPr>
            <w:fldChar w:fldCharType="begin"/>
            <w:instrText xml:space="preserve">NUMPAGES</w:instrText>
            <w:fldChar w:fldCharType="separate"/>
            <w:t>1</w: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s="Arial"/>
        <w:b/>
        <w:color w:val="5D6875"/>
        <w:sz w:val="17"/>
      </w:rPr>
      <w:t>TIP-AI | Sistem Geliştirme ve Üretim Olgunluğu Raporu</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Arial" w:hAnsi="Arial" w:cs="Arial"/>
        <w:b/>
        <w:color w:val="5D6875"/>
        <w:sz w:val="17"/>
      </w:rPr>
      <w:t>TIP-AI | Sistem Geliştirme ve Üretim Olgunluğu Raporu</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0">
    <w:multiLevelType w:val="singleLevel"/>
    <w:lvl w:ilvl="0">
      <w:start w:val="1"/>
      <w:numFmt w:val="bullet"/>
      <w:lvlText w:val="•"/>
      <w:suff w:val="tab"/>
      <w:pPr>
        <w:tabs>
          <w:tab w:val="num" w:pos="720"/>
        </w:tabs>
        <w:ind w:left="720" w:hanging="360"/>
      </w:pPr>
      <w:rPr>
        <w:rFonts w:ascii="Arial" w:hAnsi="Arial"/>
      </w:rPr>
    </w:lvl>
  </w:abstractNum>
  <w:abstractNum w:abstractNumId="91">
    <w:multiLevelType w:val="singleLevel"/>
    <w:lvl w:ilvl="0">
      <w:start w:val="1"/>
      <w:numFmt w:val="decimal"/>
      <w:lvlText w:val="%1."/>
      <w:suff w:val="tab"/>
      <w:pPr>
        <w:tabs>
          <w:tab w:val="num" w:pos="720"/>
        </w:tabs>
        <w:ind w:left="720" w:hanging="360"/>
      </w:pPr>
      <w:rPr>
        <w:rFonts w:ascii="Arial" w:hAnsi="Arial"/>
      </w:rPr>
    </w:lvl>
  </w:abstractNum>
  <w:num w:numId="90">
    <w:abstractNumId w:val="90"/>
  </w:num>
  <w:num w:numId="91">
    <w:abstractNumId w:val="9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evenAndOddHeaders/>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264" w:lineRule="auto"/>
    </w:pPr>
    <w:rPr>
      <w:rFonts w:ascii="Arial" w:hAnsi="Arial"/>
      <w:color w:val="20262E"/>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rial" w:hAnsi="Arial"/>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Arial" w:hAnsi="Arial"/>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80" w:lineRule="auto"/>
      <w:contextualSpacing/>
    </w:pPr>
    <w:rPr>
      <w:rFonts w:ascii="Arial" w:hAnsi="Arial"/>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80" w:lineRule="auto"/>
      <w:contextualSpacing/>
    </w:pPr>
    <w:rPr>
      <w:rFonts w:ascii="Arial" w:hAnsi="Arial"/>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header" Target="header2.xml"/><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image" Target="media/image1.png"/><Relationship Id="rId14" Type="http://schemas.openxmlformats.org/officeDocument/2006/relationships/hyperlink" Target="https://owasp.org/www-project-application-security-verification-standard/" TargetMode="External"/><Relationship Id="rId15" Type="http://schemas.openxmlformats.org/officeDocument/2006/relationships/hyperlink" Target="https://cheatsheetseries.owasp.org/IndexASVS.html" TargetMode="External"/><Relationship Id="rId16" Type="http://schemas.openxmlformats.org/officeDocument/2006/relationships/hyperlink" Target="https://cheatsheetseries.owasp.org/cheatsheets/Authentication_Cheat_Sheet.html" TargetMode="External"/><Relationship Id="rId17" Type="http://schemas.openxmlformats.org/officeDocument/2006/relationships/hyperlink" Target="https://cheatsheetseries.owasp.org/cheatsheets/Session_Management_Cheat_Sheet.html" TargetMode="External"/><Relationship Id="rId18" Type="http://schemas.openxmlformats.org/officeDocument/2006/relationships/hyperlink" Target="https://cheatsheetseries.owasp.org/cheatsheets/Forgot_Password_Cheat_Sheet.html" TargetMode="External"/><Relationship Id="rId19" Type="http://schemas.openxmlformats.org/officeDocument/2006/relationships/hyperlink" Target="https://cheatsheetseries.owasp.org/cheatsheets/Multifactor_Authentication_Cheat_Sheet.html" TargetMode="External"/><Relationship Id="rId20" Type="http://schemas.openxmlformats.org/officeDocument/2006/relationships/hyperlink" Target="https://pages.nist.gov/800-63-4/sp800-63b.html" TargetMode="External"/><Relationship Id="rId21" Type="http://schemas.openxmlformats.org/officeDocument/2006/relationships/hyperlink" Target="https://www.postgresql.org/docs/current/explicit-locking.html" TargetMode="External"/><Relationship Id="rId22" Type="http://schemas.openxmlformats.org/officeDocument/2006/relationships/hyperlink" Target="https://opentelemetry.io/docs/what-is-opentelemetry/" TargetMode="External"/><Relationship Id="rId23" Type="http://schemas.openxmlformats.org/officeDocument/2006/relationships/hyperlink" Target="https://cheatsheetseries.owasp.org/cheatsheets/Logging_Cheat_Sheet.html" TargetMode="External"/><Relationship Id="rId24" Type="http://schemas.openxmlformats.org/officeDocument/2006/relationships/hyperlink" Target="https://www.w3.org/TR/WCAG22/" TargetMode="External"/><Relationship Id="rId25" Type="http://schemas.openxmlformats.org/officeDocument/2006/relationships/hyperlink" Target="https://nextjs.org/docs/app/guides/production-checklist" TargetMode="External"/><Relationship Id="rId26" Type="http://schemas.openxmlformats.org/officeDocument/2006/relationships/hyperlink" Target="https://www.1edtech.org/standards/lti" TargetMode="External"/><Relationship Id="rId27" Type="http://schemas.openxmlformats.org/officeDocument/2006/relationships/hyperlink" Target="https://www.1edtech.org/standards/caliper" TargetMode="External"/><Relationship Id="rId28" Type="http://schemas.openxmlformats.org/officeDocument/2006/relationships/hyperlink" Target="https://www.nist.gov/publications/artificial-intelligence-risk-management-framework-generative-artificial-intelligence" TargetMode="External"/><Relationship Id="rId29" Type="http://schemas.openxmlformats.org/officeDocument/2006/relationships/hyperlink" Target="https://physionet.org/content/mimiciii/" TargetMode="External"/><Relationship Id="rId30" Type="http://schemas.openxmlformats.org/officeDocument/2006/relationships/hyperlink" Target="https://physionet.org/content/mimiciii/view-dua/1.4/" TargetMode="External"/><Relationship Id="rId31" Type="http://schemas.openxmlformats.org/officeDocument/2006/relationships/hyperlink" Target="https://physionet.org/news/post/llm-responsible-use/" TargetMode="External"/><Relationship Id="rId32" Type="http://schemas.openxmlformats.org/officeDocument/2006/relationships/hyperlink" Target="https://www.kvkk.gov.tr/Icerik/8184/Ozel-Nitelikli-Kisisel-Verilerin-Islenmesine-Iliskin-Rehber" TargetMode="External"/><Relationship Id="rId33" Type="http://schemas.openxmlformats.org/officeDocument/2006/relationships/hyperlink" Target="https://www.kvkk.gov.tr/Icerik/2030/rehberler" TargetMode="External"/><Relationship Id="rId34" Type="http://schemas.openxmlformats.org/officeDocument/2006/relationships/hyperlink" Target="https://www.kvkk.gov.tr/Icerik/7267/2021-112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TIP-AI Sistem Geliştirme ve Üretim Olgunluğu Raporu</dc:title>
  <dc:subject>Mevcut özelliklerin iyileştirilmesi ve yol haritası</dc:subject>
  <dc:creator>OpenAI</dc:creator>
  <cp:keywords>TIP-AI, PostgreSQL, Next.js, güvenlik, klinik eğitim, yol haritası</cp:keywords>
  <dc:description>generated by python-docx</dc:description>
  <cp:lastModifiedBy/>
  <cp:revision>1</cp:revision>
  <dcterms:created xsi:type="dcterms:W3CDTF">2013-12-23T23:15:00Z</dcterms:created>
  <dcterms:modified xsi:type="dcterms:W3CDTF">2013-12-23T23:15:00Z</dcterms:modified>
  <cp:category/>
</cp:coreProperties>
</file>