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İSTANBUL\MALTEPE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KÜÇÜKYALI MERKEZ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Hanımeller Sok Bağdat Cad. 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Çamlık B 12</w:t>
            </w:r>
          </w:p>
        </w:tc>
      </w:tr>
      <w:tr>
        <w:trPr>
          <w:trHeight w:val="439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Konut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Germaş Gıda Aş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3586963565</w:t>
            </w:r>
          </w:p>
        </w:tc>
      </w:tr>
      <w:tr>
        <w:trPr>
          <w:trHeight w:val="830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AAA Caddesi BBB Sokak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Burak Şensöz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31726820368</w:t>
            </w:r>
          </w:p>
        </w:tc>
      </w:tr>
      <w:tr>
        <w:trPr>
          <w:trHeight w:val="827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Hanımeller Sok No.3 D.3 Özkanca Sitesi B Blok Küçükyalı  Maltepe/İstanbul</w:t>
            </w:r>
          </w:p>
        </w:tc>
      </w:tr>
      <w:tr>
        <w:trPr>
          <w:trHeight w:val="439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18.03.2022</w:t>
            </w:r>
          </w:p>
        </w:tc>
      </w:tr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12 Ay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30,000.00 ₺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2,500.00 ₺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Banka Hesabına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Mesken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Boş</w:t>
            </w:r>
          </w:p>
        </w:tc>
      </w:tr>
      <w:tr>
        <w:trPr>
          <w:trHeight w:val="1656"/>
        </w:trPr>
        <w:tc>
          <w:tcPr>
            <w:tcW w:w="3135" w:type="dxa"/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Tarihi Kombi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(imza)</w:t>
      </w:r>
    </w:p>
    <w:p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0" locked="0" layoutInCell="1" allowOverlap="1" hidden="0">
                <wp:simplePos x="0" y="0"/>
                <wp:positionH relativeFrom="page">
                  <wp:posOffset>749935</wp:posOffset>
                </wp:positionH>
                <wp:positionV relativeFrom="paragraph">
                  <wp:posOffset>101600</wp:posOffset>
                </wp:positionV>
                <wp:extent cx="5761990" cy="187960"/>
                <wp:effectExtent l="0" t="0" r="0" b="0"/>
                <wp:wrapTopAndBottom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1990" cy="187960"/>
                        </a:xfrm>
                        <a:custGeom xmlns:a="http://schemas.openxmlformats.org/drawingml/2006/main">
                          <a:avLst/>
                          <a:gdLst>
                            <a:gd name="T0" fmla="*/ 5715 w 9074"/>
                            <a:gd name="T1" fmla="*/ 101600 h 296"/>
                            <a:gd name="T2" fmla="*/ 0 w 9074"/>
                            <a:gd name="T3" fmla="*/ 101600 h 296"/>
                            <a:gd name="T4" fmla="*/ 0 w 9074"/>
                            <a:gd name="T5" fmla="*/ 289560 h 296"/>
                            <a:gd name="T6" fmla="*/ 5715 w 9074"/>
                            <a:gd name="T7" fmla="*/ 289560 h 296"/>
                            <a:gd name="T8" fmla="*/ 5715 w 9074"/>
                            <a:gd name="T9" fmla="*/ 101600 h 296"/>
                            <a:gd name="T10" fmla="*/ 5761990 w 9074"/>
                            <a:gd name="T11" fmla="*/ 101600 h 296"/>
                            <a:gd name="T12" fmla="*/ 5755640 w 9074"/>
                            <a:gd name="T13" fmla="*/ 101600 h 296"/>
                            <a:gd name="T14" fmla="*/ 5715 w 9074"/>
                            <a:gd name="T15" fmla="*/ 101600 h 296"/>
                            <a:gd name="T16" fmla="*/ 5715 w 9074"/>
                            <a:gd name="T17" fmla="*/ 107950 h 296"/>
                            <a:gd name="T18" fmla="*/ 5755640 w 9074"/>
                            <a:gd name="T19" fmla="*/ 107950 h 296"/>
                            <a:gd name="T20" fmla="*/ 5755640 w 9074"/>
                            <a:gd name="T21" fmla="*/ 283210 h 296"/>
                            <a:gd name="T22" fmla="*/ 5715 w 9074"/>
                            <a:gd name="T23" fmla="*/ 283210 h 296"/>
                            <a:gd name="T24" fmla="*/ 5715 w 9074"/>
                            <a:gd name="T25" fmla="*/ 289560 h 296"/>
                            <a:gd name="T26" fmla="*/ 5755640 w 9074"/>
                            <a:gd name="T27" fmla="*/ 289560 h 296"/>
                            <a:gd name="T28" fmla="*/ 5761990 w 9074"/>
                            <a:gd name="T29" fmla="*/ 289560 h 296"/>
                            <a:gd name="T30" fmla="*/ 5761990 w 9074"/>
                            <a:gd name="T31" fmla="*/ 101600 h 29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074" h="29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6"/>
                              </a:lnTo>
                              <a:lnTo>
                                <a:pt x="9" y="296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074" y="0"/>
                              </a:moveTo>
                              <a:lnTo>
                                <a:pt x="9064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9064" y="10"/>
                              </a:lnTo>
                              <a:lnTo>
                                <a:pt x="9064" y="286"/>
                              </a:lnTo>
                              <a:lnTo>
                                <a:pt x="9" y="286"/>
                              </a:lnTo>
                              <a:lnTo>
                                <a:pt x="9" y="296"/>
                              </a:lnTo>
                              <a:lnTo>
                                <a:pt x="9064" y="296"/>
                              </a:lnTo>
                              <a:lnTo>
                                <a:pt x="9074" y="296"/>
                              </a:lnTo>
                              <a:lnTo>
                                <a:pt x="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35" style="height:14.8pt;margin-left:59.05pt;margin-top:8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width:453.7pt;z-index:-3807379455" o:bwmode="auto" coordsize="9074,296" o:spt="100" adj="-11796480,,5400" path="m9,l,,,296l9,296l9,xm9074,l9064,l9,l9,10l9064,10l9064,286l9,286l9,296l9064,296l9074,296l9074,xe" fillcolor="#000" stroked="f">
                <v:path arrowok="t" o:connecttype="custom" o:connectlocs="3629025,64516000;0,64516000;0,183870600;3629025,183870600;3629025,64516000;2147483646,64516000;2147483646,64516000;3629025,64516000;3629025,68548250;2147483646,68548250;2147483646,179838350;3629025,179838350;3629025,183870600;2147483646,183870600;2147483646,183870600;2147483646,64516000" o:connectangles="0,0,0,0,0,0,0,0,0,0,0,0,0,0,0,0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mc:Fallback>
        </mc:AlternateContent>
      </w:r>
    </w:p>
    <w:p>
      <w:pPr>
        <w:rPr>
          <w:sz w:val="10"/>
        </w:rPr>
        <w:sectPr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</w:t>
      </w:r>
    </w:p>
    <w:p>
      <w:pPr>
        <w:rPr/>
        <w:sectPr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 xml:space="preserve">bankası,</w:t>
            </w:r>
          </w:p>
          <w:p>
            <w:pPr>
              <w:pStyle w:val="TableParagraph"/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………………… Şubesindeki ……………………………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2 kira bedeli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 xml:space="preserve">TL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3175" r="3810" b="3810"/>
                <wp:docPr id="2" name="_x0000_i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(onsekiz)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…………..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7969"/>
                            <a:ext cx="62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Kiracı: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22" y="7969"/>
                            <a:ext cx="2530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  <w:p>
                              <w:pPr>
                                <w:spacing w:before="165"/>
                                <w:ind w:left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855" y="7969"/>
                            <a:ext cx="121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2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Kiralayan: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3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72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07" y="9671"/>
                            <a:ext cx="51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6" o:spid="_x0000_i1036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1027" o:spid="_x0000_s1037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28" o:spid="_x0000_s1038" type="#_x0000_t202" style="height:7710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(onsekiz)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…………..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</w:p>
                    </w:txbxContent>
                  </v:textbox>
                </v:shape>
                <v:shape id="_x0000_s1029" o:spid="_x0000_s1039" type="#_x0000_t202" style="height:682;left:482;mso-wrap-style:square;position:absolute;top:7969;v-text-anchor:top;visibility:visible;width:623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Kiracı: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0" o:spid="_x0000_s1040" type="#_x0000_t202" style="height:682;left:2222;mso-wrap-style:square;position:absolute;top:7969;v-text-anchor:top;visibility:visible;width:253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Borçlu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Kefil:</w:t>
                        </w:r>
                      </w:p>
                      <w:p>
                        <w:pPr>
                          <w:spacing w:before="165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1" o:spid="_x0000_s1041" type="#_x0000_t202" style="height:682;left:5855;mso-wrap-style:square;position:absolute;top:7969;v-text-anchor:top;visibility:visible;width:1212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Kiralayan: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2" o:spid="_x0000_s1042" type="#_x0000_t202" style="height:221;left:533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33" o:spid="_x0000_s1043" type="#_x0000_t202" style="height:221;left:2272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34" o:spid="_x0000_s1044" type="#_x0000_t202" style="height:221;left:5907;mso-wrap-style:square;position:absolute;top:9671;v-text-anchor:top;visibility:visible;width:51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822</Words>
  <Characters>4689</Characters>
  <Application>Microsoft Office Word</Application>
  <DocSecurity>0</DocSecurity>
  <Lines>39</Lines>
  <Paragraphs>10</Paragraphs>
  <CharactersWithSpaces>5501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2</cp:revision>
  <dcterms:created xsi:type="dcterms:W3CDTF">2022-03-17T05:23:00Z</dcterms:created>
  <dcterms:modified xsi:type="dcterms:W3CDTF">2022-03-17T05:23:00Z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