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62" w:lineRule="auto" w:before="3874" w:after="0"/>
        <w:ind w:left="1412" w:right="3312" w:firstLine="0"/>
        <w:jc w:val="left"/>
      </w:pPr>
      <w:r>
        <w:rPr>
          <w:rFonts w:ascii="Roboto" w:hAnsi="Roboto" w:eastAsia="Roboto"/>
          <w:b w:val="0"/>
          <w:i/>
          <w:color w:val="FFFFFF"/>
          <w:sz w:val="36"/>
        </w:rPr>
        <w:t xml:space="preserve">Peer Review Framework for Predictive Analytics </w:t>
      </w:r>
      <w:r>
        <w:rPr>
          <w:rFonts w:ascii="Roboto" w:hAnsi="Roboto" w:eastAsia="Roboto"/>
          <w:b w:val="0"/>
          <w:i/>
          <w:color w:val="FFFFFF"/>
          <w:sz w:val="36"/>
        </w:rPr>
        <w:t>in Humanitarian Response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-1270</wp:posOffset>
            </wp:positionH>
            <wp:positionV relativeFrom="page">
              <wp:posOffset>0</wp:posOffset>
            </wp:positionV>
            <wp:extent cx="7774940" cy="100651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4940" cy="100651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834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2"/>
        </w:rPr>
        <w:t>MODEL REPORT:</w:t>
      </w:r>
    </w:p>
    <w:p>
      <w:pPr>
        <w:autoSpaceDN w:val="0"/>
        <w:autoSpaceDE w:val="0"/>
        <w:widowControl/>
        <w:spacing w:line="240" w:lineRule="auto" w:before="126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6"/>
        </w:rPr>
        <w:t>Drought Anticipatory Action</w:t>
      </w:r>
    </w:p>
    <w:p>
      <w:pPr>
        <w:autoSpaceDN w:val="0"/>
        <w:autoSpaceDE w:val="0"/>
        <w:widowControl/>
        <w:spacing w:line="240" w:lineRule="auto" w:before="116" w:after="0"/>
        <w:ind w:left="1440" w:right="0" w:firstLine="0"/>
        <w:jc w:val="left"/>
      </w:pPr>
      <w:r>
        <w:rPr>
          <w:rFonts w:ascii="Roboto" w:hAnsi="Roboto" w:eastAsia="Roboto"/>
          <w:b/>
          <w:i w:val="0"/>
          <w:color w:val="FFFFFF"/>
          <w:sz w:val="56"/>
        </w:rPr>
        <w:t>Trigger in Niger</w:t>
      </w:r>
    </w:p>
    <w:p>
      <w:pPr>
        <w:autoSpaceDN w:val="0"/>
        <w:autoSpaceDE w:val="0"/>
        <w:widowControl/>
        <w:spacing w:line="240" w:lineRule="auto" w:before="112" w:after="0"/>
        <w:ind w:left="1440" w:right="0" w:firstLine="0"/>
        <w:jc w:val="left"/>
      </w:pPr>
      <w:r>
        <w:rPr>
          <w:rFonts w:ascii="Roboto" w:hAnsi="Roboto" w:eastAsia="Roboto"/>
          <w:b/>
          <w:i/>
          <w:color w:val="FFFFFF"/>
          <w:sz w:val="32"/>
        </w:rPr>
        <w:t>Anticipatory Action Working Group, Niger</w:t>
      </w:r>
    </w:p>
    <w:p>
      <w:pPr>
        <w:autoSpaceDN w:val="0"/>
        <w:autoSpaceDE w:val="0"/>
        <w:widowControl/>
        <w:spacing w:line="240" w:lineRule="auto" w:before="37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FFFFFF"/>
          <w:sz w:val="36"/>
        </w:rPr>
        <w:t>January 2023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1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60.0" w:type="dxa"/>
      </w:tblPr>
      <w:tblGrid>
        <w:gridCol w:w="6120"/>
        <w:gridCol w:w="6120"/>
      </w:tblGrid>
      <w:tr>
        <w:trPr>
          <w:trHeight w:hRule="exact" w:val="854"/>
        </w:trPr>
        <w:tc>
          <w:tcPr>
            <w:tcW w:type="dxa" w:w="5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97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351280" cy="3898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3898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956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351280" cy="4660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4660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90" w:lineRule="auto" w:before="618" w:after="0"/>
        <w:ind w:left="1440" w:right="3456" w:firstLine="0"/>
        <w:jc w:val="left"/>
      </w:pPr>
      <w:r>
        <w:rPr>
          <w:rFonts w:ascii="Roboto" w:hAnsi="Roboto" w:eastAsia="Roboto"/>
          <w:b/>
          <w:i w:val="0"/>
          <w:color w:val="1BB480"/>
          <w:sz w:val="32"/>
        </w:rPr>
        <w:t xml:space="preserve">Model Report: </w:t>
      </w:r>
      <w:r>
        <w:br/>
      </w:r>
      <w:r>
        <w:rPr>
          <w:rFonts w:ascii="Roboto" w:hAnsi="Roboto" w:eastAsia="Roboto"/>
          <w:b w:val="0"/>
          <w:i w:val="0"/>
          <w:color w:val="1BB480"/>
          <w:sz w:val="32"/>
        </w:rPr>
        <w:t>Anticipatory Action Trigger for Drought in Niger</w:t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9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8" w:lineRule="auto" w:before="404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1. Background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This document summarizes the documentation and findings developed in the peer review of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Anticipatory Action Trigger for Drought in Niger. The trigger mechanism was designed for an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anticipatory action framework coordinated by OCHA. The goal of the trigger mechanism is to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detect increased drought risk in Niger and trigger the release of funds from the Central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Emergency Response Fund in anticipation of drought-related humanitarian needs. The release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of funds can be triggered from six months ahead of the rainy season (which runs from July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through September) until one month into the season. The trigger mechanism includes a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predictive model that uses seasonal precipitation forecasts and an observational model that </w:t>
      </w:r>
      <w:r>
        <w:rPr>
          <w:rFonts w:ascii="Roboto" w:hAnsi="Roboto" w:eastAsia="Roboto"/>
          <w:b w:val="0"/>
          <w:i w:val="0"/>
          <w:color w:val="000000"/>
          <w:sz w:val="22"/>
        </w:rPr>
        <w:t>uses the Standardized Precipitation Index.</w:t>
      </w:r>
    </w:p>
    <w:p>
      <w:pPr>
        <w:autoSpaceDN w:val="0"/>
        <w:autoSpaceDE w:val="0"/>
        <w:widowControl/>
        <w:spacing w:line="240" w:lineRule="auto" w:before="350" w:after="0"/>
        <w:ind w:left="1440" w:right="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The review was conducted between May 2022 and January 2023.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4" w:lineRule="auto" w:before="350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2. Main Findings and Recommendations 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documentation describing the model and its application, as well as the outcomes of the </w:t>
      </w:r>
      <w:r>
        <w:rPr>
          <w:rFonts w:ascii="Roboto" w:hAnsi="Roboto" w:eastAsia="Roboto"/>
          <w:b w:val="0"/>
          <w:i w:val="0"/>
          <w:color w:val="000000"/>
          <w:sz w:val="22"/>
        </w:rPr>
        <w:t>review process, are available through the following links: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3" w:history="1">
          <w:r>
            <w:rPr>
              <w:rStyle w:val="Hyperlink"/>
            </w:rPr>
            <w:t>Model Card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describes version 1 of the trigger mechanism. It was completed by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OCHA in June 2022 and updated in October 2022.</w:t>
      </w:r>
    </w:p>
    <w:p>
      <w:pPr>
        <w:autoSpaceDN w:val="0"/>
        <w:tabs>
          <w:tab w:pos="2160" w:val="left"/>
        </w:tabs>
        <w:autoSpaceDE w:val="0"/>
        <w:widowControl/>
        <w:spacing w:line="271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4" w:history="1">
          <w:r>
            <w:rPr>
              <w:rStyle w:val="Hyperlink"/>
            </w:rPr>
            <w:t>Model Evaluation Matrix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presents the outcomes of the technical review and was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completed by Mohammad Shamsudduha, Associate Professor in Humanitarian Science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at the Institute for Risk and Disaster Reduction, University College London, in December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2022.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5" w:history="1">
          <w:r>
            <w:rPr>
              <w:rStyle w:val="Hyperlink"/>
            </w:rPr>
            <w:t>Implementation Plan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summarizes the concrete actions that the trigger mechanism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will inform and was developed by OCHA in October 2022.</w:t>
      </w:r>
    </w:p>
    <w:p>
      <w:pPr>
        <w:autoSpaceDN w:val="0"/>
        <w:tabs>
          <w:tab w:pos="2160" w:val="left"/>
        </w:tabs>
        <w:autoSpaceDE w:val="0"/>
        <w:widowControl/>
        <w:spacing w:line="271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</w:t>
      </w:r>
      <w:r>
        <w:rPr>
          <w:rFonts w:ascii="Roboto" w:hAnsi="Roboto" w:eastAsia="Roboto"/>
          <w:b w:val="0"/>
          <w:i w:val="0"/>
          <w:color w:val="1154CC"/>
          <w:sz w:val="22"/>
        </w:rPr>
        <w:t xml:space="preserve"> </w:t>
      </w:r>
      <w:r>
        <w:rPr>
          <w:rFonts w:ascii="Roboto" w:hAnsi="Roboto" w:eastAsia="Roboto"/>
          <w:b w:val="0"/>
          <w:i w:val="0"/>
          <w:color w:val="1154CC"/>
          <w:sz w:val="22"/>
          <w:u w:val="single"/>
        </w:rPr>
        <w:hyperlink r:id="rId16" w:history="1">
          <w:r>
            <w:rPr>
              <w:rStyle w:val="Hyperlink"/>
            </w:rPr>
            <w:t>Ethical Matrix</w:t>
          </w:r>
        </w:hyperlink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 identifies issues that may come up in the implementation of the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trigger mechanism and stakeholders that may be impacted by those issues. The Ethical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Matrix was completed in January 2023 by Andrea Romaoli Garcia, ITU Topic Driver on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Open Code.</w:t>
      </w:r>
    </w:p>
    <w:p>
      <w:pPr>
        <w:autoSpaceDN w:val="0"/>
        <w:autoSpaceDE w:val="0"/>
        <w:widowControl/>
        <w:spacing w:line="262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sections below provide a summary of the main findings and recommendations developed in </w:t>
      </w:r>
      <w:r>
        <w:rPr>
          <w:rFonts w:ascii="Roboto" w:hAnsi="Roboto" w:eastAsia="Roboto"/>
          <w:b w:val="0"/>
          <w:i w:val="0"/>
          <w:color w:val="000000"/>
          <w:sz w:val="22"/>
        </w:rPr>
        <w:t>the review.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1776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2.1 Technical Review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2" w:lineRule="auto" w:before="382" w:after="0"/>
        <w:ind w:left="1440" w:right="4608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Intended Use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 intended use of the predictive model is appropriate.</w:t>
      </w:r>
    </w:p>
    <w:p>
      <w:pPr>
        <w:autoSpaceDN w:val="0"/>
        <w:tabs>
          <w:tab w:pos="2160" w:val="left"/>
        </w:tabs>
        <w:autoSpaceDE w:val="0"/>
        <w:widowControl/>
        <w:spacing w:line="276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model may not detect localized rainfall shortages, which could lead to the model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missing a trigger where it should detect increased drought risk. In addition, crop failure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depends on a number of factors other than rainfall, including the use and availability of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groundwater for irrigation as well as changes in temperature. The fact that these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additional factors are not included in the model should be considered in the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interpretation of model outputs.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4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Model Development and Documentation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resolution of the spatial coverage of the predictive model is very high at 0.05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degrees. The predictive model produces outputs on a monthly basis. The geographic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scope of the predictive model includes the entire country of Niger. These parameters are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appropriate for a national-scale model.</w:t>
      </w:r>
    </w:p>
    <w:p>
      <w:pPr>
        <w:autoSpaceDN w:val="0"/>
        <w:tabs>
          <w:tab w:pos="2160" w:val="left"/>
        </w:tabs>
        <w:autoSpaceDE w:val="0"/>
        <w:widowControl/>
        <w:spacing w:line="271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spatial resolution of the predictive model at 0.05 degrees is too high given that the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predictive model is primarily dependent on precipitation variability. Correlation between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forecasts and observational rainfall data produced by CHIRPS is weak in Maradi and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Niamey regions, where the irrigation is the highest in the country.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1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Model Evaluation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predictive model is evaluated using accuracy, hit rate, miss rate, false positives and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false negatives as parameters. These model evaluation criteria are appropriate for this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predictive model.</w:t>
      </w:r>
    </w:p>
    <w:p>
      <w:pPr>
        <w:autoSpaceDN w:val="0"/>
        <w:tabs>
          <w:tab w:pos="2160" w:val="left"/>
        </w:tabs>
        <w:autoSpaceDE w:val="0"/>
        <w:widowControl/>
        <w:spacing w:line="269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 comparison between the predictive model outputs and NextGen forecasts was based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only on CHIRPS gridded rainfall data. No detailed information is provided on the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downscaling of the forecasts and evaluation of the downscaled technique.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2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Operational Readiness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Activities and funding are provided on a “no-regrets” basis after a trigger activation.</w:t>
      </w:r>
    </w:p>
    <w:p>
      <w:pPr>
        <w:autoSpaceDN w:val="0"/>
        <w:autoSpaceDE w:val="0"/>
        <w:widowControl/>
        <w:spacing w:line="269" w:lineRule="auto" w:before="44" w:after="0"/>
        <w:ind w:left="2160" w:right="1450" w:firstLine="0"/>
        <w:jc w:val="both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Activities and funding are purposefully selected to still be valuable in the absence of a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shock. The addition of an observational trigger based on SPI is a strength of this </w:t>
      </w:r>
      <w:r>
        <w:rPr>
          <w:rFonts w:ascii="Roboto" w:hAnsi="Roboto" w:eastAsia="Roboto"/>
          <w:b w:val="0"/>
          <w:i w:val="0"/>
          <w:color w:val="000000"/>
          <w:sz w:val="22"/>
        </w:rPr>
        <w:t>anticipatory trigger mechanism.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forecast accuracy could be improved if the predictive model is tailored to individual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areas within Niger.</w:t>
      </w:r>
    </w:p>
    <w:p>
      <w:pPr>
        <w:autoSpaceDN w:val="0"/>
        <w:tabs>
          <w:tab w:pos="2160" w:val="left"/>
          <w:tab w:pos="2962" w:val="left"/>
          <w:tab w:pos="3898" w:val="left"/>
        </w:tabs>
        <w:autoSpaceDE w:val="0"/>
        <w:widowControl/>
        <w:spacing w:line="269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There is little mention of local/national capacity building or strengthening in the process.</w:t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performance of the predictive model should be evaluated against the observational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model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outputs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to better understand the weaknesses in the predictive model.</w:t>
      </w:r>
    </w:p>
    <w:p>
      <w:pPr>
        <w:autoSpaceDN w:val="0"/>
        <w:autoSpaceDE w:val="0"/>
        <w:widowControl/>
        <w:spacing w:line="262" w:lineRule="auto" w:before="46" w:after="0"/>
        <w:ind w:left="216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Strengthening the predictive model outputs increases the potential impact of the trigger </w:t>
      </w:r>
      <w:r>
        <w:rPr>
          <w:rFonts w:ascii="Roboto" w:hAnsi="Roboto" w:eastAsia="Roboto"/>
          <w:b w:val="0"/>
          <w:i w:val="0"/>
          <w:color w:val="000000"/>
          <w:sz w:val="22"/>
        </w:rPr>
        <w:t>mechanism due to the increased lead time.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3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00.0" w:type="dxa"/>
      </w:tblPr>
      <w:tblGrid>
        <w:gridCol w:w="6120"/>
        <w:gridCol w:w="6120"/>
      </w:tblGrid>
      <w:tr>
        <w:trPr>
          <w:trHeight w:hRule="exact" w:val="340"/>
        </w:trPr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10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●</w:t>
            </w:r>
          </w:p>
        </w:tc>
        <w:tc>
          <w:tcPr>
            <w:tcW w:type="dxa" w:w="9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20" w:right="0" w:firstLine="0"/>
              <w:jc w:val="left"/>
            </w:pPr>
            <w:r>
              <w:rPr>
                <w:rFonts w:ascii="Roboto" w:hAnsi="Roboto" w:eastAsia="Roboto"/>
                <w:b w:val="0"/>
                <w:i w:val="0"/>
                <w:color w:val="000000"/>
                <w:sz w:val="22"/>
              </w:rPr>
              <w:t>The low or even negative correlation between the predictive model outputs and CHIRPS</w:t>
            </w:r>
          </w:p>
        </w:tc>
      </w:tr>
    </w:tbl>
    <w:p>
      <w:pPr>
        <w:autoSpaceDN w:val="0"/>
        <w:autoSpaceDE w:val="0"/>
        <w:widowControl/>
        <w:spacing w:line="262" w:lineRule="auto" w:before="24" w:after="0"/>
        <w:ind w:left="216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 xml:space="preserve">precipitation in the northern part of Niger should be examined to improve the </w:t>
      </w:r>
      <w:r>
        <w:rPr>
          <w:rFonts w:ascii="Roboto" w:hAnsi="Roboto" w:eastAsia="Roboto"/>
          <w:b w:val="0"/>
          <w:i w:val="0"/>
          <w:color w:val="000000"/>
          <w:sz w:val="22"/>
        </w:rPr>
        <w:t>performance and validity of the predictive model.</w:t>
      </w:r>
    </w:p>
    <w:p>
      <w:pPr>
        <w:autoSpaceDN w:val="0"/>
        <w:autoSpaceDE w:val="0"/>
        <w:widowControl/>
        <w:spacing w:line="240" w:lineRule="auto" w:before="654" w:after="0"/>
        <w:ind w:left="1440" w:right="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>2.2 Ethical Review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2" w:lineRule="auto" w:before="354" w:after="0"/>
        <w:ind w:left="1440" w:right="4032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False negative activation</w:t>
      </w:r>
      <w:r>
        <w:rPr>
          <w:rFonts w:ascii="Roboto" w:hAnsi="Roboto" w:eastAsia="Roboto"/>
          <w:b w:val="0"/>
          <w:i/>
          <w:color w:val="1BB480"/>
          <w:sz w:val="22"/>
        </w:rPr>
        <w:t xml:space="preserve"> (non-activation in the presence of a shock)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 false negative would deprive the community of timely aid.</w:t>
      </w:r>
    </w:p>
    <w:p>
      <w:pPr>
        <w:autoSpaceDN w:val="0"/>
        <w:tabs>
          <w:tab w:pos="2160" w:val="left"/>
        </w:tabs>
        <w:autoSpaceDE w:val="0"/>
        <w:widowControl/>
        <w:spacing w:line="269" w:lineRule="auto" w:before="44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Recommendation: The outputs of the predictive model should be continuously evaluated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against the outputs of the observational model and against CHIRPS precipitation data to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lower the likelihood of false negatives.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6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False positive activation</w:t>
      </w:r>
      <w:r>
        <w:rPr>
          <w:rFonts w:ascii="Roboto" w:hAnsi="Roboto" w:eastAsia="Roboto"/>
          <w:b w:val="0"/>
          <w:i/>
          <w:color w:val="1BB480"/>
          <w:sz w:val="22"/>
        </w:rPr>
        <w:t xml:space="preserve"> (activation in the absence of a shock)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 false positive would increase the risk of wasted financial resources. Such error could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undermine the confidence of stakeholders and donors and could lead to discontinuation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of the trigger mechanism. A false negative primarily impacts other stakeholders,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including local NGOs, the model developers and UN entities, due to the misallocation of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resources. It also undermines trust in the trigger mechanism.</w:t>
      </w:r>
    </w:p>
    <w:p>
      <w:pPr>
        <w:autoSpaceDN w:val="0"/>
        <w:autoSpaceDE w:val="0"/>
        <w:widowControl/>
        <w:spacing w:line="274" w:lineRule="auto" w:before="46" w:after="0"/>
        <w:ind w:left="1800" w:right="1440" w:firstLine="0"/>
        <w:jc w:val="left"/>
      </w:pPr>
      <w:r>
        <w:rPr>
          <w:rFonts w:ascii="Roboto" w:hAnsi="Roboto" w:eastAsia="Roboto"/>
          <w:b w:val="0"/>
          <w:i w:val="0"/>
          <w:color w:val="000000"/>
          <w:sz w:val="22"/>
        </w:rPr>
        <w:t>Recommendation: A false positive is more tolerable compared to a false negative, as a</w:t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br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false positive triggers activities and funding that benefit the population even in the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absence of a shock. The outputs of the predictive model should be continuously </w:t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evaluated against the outputs of the observational model and against CHIRPS </w:t>
      </w:r>
      <w:r>
        <w:rPr>
          <w:rFonts w:ascii="Roboto" w:hAnsi="Roboto" w:eastAsia="Roboto"/>
          <w:b w:val="0"/>
          <w:i w:val="0"/>
          <w:color w:val="000000"/>
          <w:sz w:val="22"/>
        </w:rPr>
        <w:t>precipitation data to lower the likelihood of false positives.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71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Identity exposure</w:t>
      </w:r>
      <w:r>
        <w:rPr>
          <w:rFonts w:ascii="Roboto" w:hAnsi="Roboto" w:eastAsia="Roboto"/>
          <w:b w:val="0"/>
          <w:i/>
          <w:color w:val="1BB480"/>
          <w:sz w:val="22"/>
        </w:rPr>
        <w:t xml:space="preserve"> (exposure of individual identities through potential use of additional data </w:t>
      </w:r>
      <w:r>
        <w:rPr>
          <w:rFonts w:ascii="Roboto" w:hAnsi="Roboto" w:eastAsia="Roboto"/>
          <w:b w:val="0"/>
          <w:i/>
          <w:color w:val="1BB480"/>
          <w:sz w:val="22"/>
        </w:rPr>
        <w:t>sources in implementation of the model)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Unauthorized access to any personal data used in future implementation of the trigger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mechanism could cause harm and carries reputational risk.</w:t>
      </w:r>
    </w:p>
    <w:p>
      <w:pPr>
        <w:autoSpaceDN w:val="0"/>
        <w:tabs>
          <w:tab w:pos="2160" w:val="left"/>
        </w:tabs>
        <w:autoSpaceDE w:val="0"/>
        <w:widowControl/>
        <w:spacing w:line="274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Recommendation: Given that the trigger mechanism does not include the use of any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personal data there is little concern that a data breach could result in re-identification. If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the implementation of the trigger mechanism evolves over time to include additional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personal data, the tools and infrastructure used in implementation should be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re-evaluated and adjusted as needed to mitigate the risk of identity exposure.</w:t>
      </w:r>
    </w:p>
    <w:p>
      <w:pPr>
        <w:autoSpaceDN w:val="0"/>
        <w:tabs>
          <w:tab w:pos="1800" w:val="left"/>
          <w:tab w:pos="2160" w:val="left"/>
        </w:tabs>
        <w:autoSpaceDE w:val="0"/>
        <w:widowControl/>
        <w:spacing w:line="269" w:lineRule="auto" w:before="350" w:after="0"/>
        <w:ind w:left="1440" w:right="1440" w:firstLine="0"/>
        <w:jc w:val="left"/>
      </w:pPr>
      <w:r>
        <w:rPr>
          <w:rFonts w:ascii="Roboto" w:hAnsi="Roboto" w:eastAsia="Roboto"/>
          <w:b w:val="0"/>
          <w:i/>
          <w:color w:val="1BB480"/>
          <w:sz w:val="24"/>
        </w:rPr>
        <w:t>Bias in available data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Bias in data availability resulting from gaps in data for different regions in Niger could </w:t>
      </w:r>
      <w:r>
        <w:tab/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affect the allocation of funding and activities.</w:t>
      </w:r>
    </w:p>
    <w:p>
      <w:pPr>
        <w:autoSpaceDN w:val="0"/>
        <w:tabs>
          <w:tab w:pos="2160" w:val="left"/>
        </w:tabs>
        <w:autoSpaceDE w:val="0"/>
        <w:widowControl/>
        <w:spacing w:line="262" w:lineRule="auto" w:before="46" w:after="0"/>
        <w:ind w:left="1800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>●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 xml:space="preserve">Recommendation: Determine whether there are gaps resulting in biases in climate data </w:t>
      </w:r>
      <w:r>
        <w:tab/>
      </w:r>
      <w:r>
        <w:rPr>
          <w:rFonts w:ascii="Roboto" w:hAnsi="Roboto" w:eastAsia="Roboto"/>
          <w:b w:val="0"/>
          <w:i w:val="0"/>
          <w:color w:val="000000"/>
          <w:sz w:val="22"/>
        </w:rPr>
        <w:t>availability for Niger in order to prevent unfair allocation of funding and activities.</w:t>
      </w: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66" w:lineRule="auto" w:before="1446" w:after="0"/>
        <w:ind w:left="1440" w:right="1440" w:firstLine="0"/>
        <w:jc w:val="left"/>
      </w:pPr>
      <w:r>
        <w:rPr>
          <w:rFonts w:ascii="Roboto Medium" w:hAnsi="Roboto Medium" w:eastAsia="Roboto Medium"/>
          <w:b w:val="0"/>
          <w:i w:val="0"/>
          <w:color w:val="1F69B3"/>
          <w:sz w:val="24"/>
        </w:rPr>
        <w:t xml:space="preserve">Feedback </w:t>
      </w:r>
      <w:r>
        <w:br/>
      </w:r>
      <w:r>
        <w:rPr>
          <w:rFonts w:ascii="Source Sans Pro" w:hAnsi="Source Sans Pro" w:eastAsia="Source Sans Pro"/>
          <w:b w:val="0"/>
          <w:i w:val="0"/>
          <w:color w:val="000000"/>
          <w:sz w:val="22"/>
        </w:rPr>
        <w:t xml:space="preserve">The Centre invites individuals and organizations working in the humanitarian, academic, research and </w:t>
      </w:r>
      <w:r>
        <w:rPr>
          <w:rFonts w:ascii="Source Sans Pro" w:hAnsi="Source Sans Pro" w:eastAsia="Source Sans Pro"/>
          <w:b w:val="0"/>
          <w:i w:val="0"/>
          <w:color w:val="000000"/>
          <w:sz w:val="22"/>
        </w:rPr>
        <w:t xml:space="preserve">private sector to engage with us on the peer review process. Please send feedback on the Peer Review </w:t>
      </w:r>
      <w:r>
        <w:rPr>
          <w:rFonts w:ascii="Source Sans Pro" w:hAnsi="Source Sans Pro" w:eastAsia="Source Sans Pro"/>
          <w:b w:val="0"/>
          <w:i w:val="0"/>
          <w:color w:val="000000"/>
          <w:sz w:val="22"/>
        </w:rPr>
        <w:t xml:space="preserve">Framework to </w:t>
      </w:r>
      <w:r>
        <w:rPr>
          <w:rFonts w:ascii="Source Sans Pro" w:hAnsi="Source Sans Pro" w:eastAsia="Source Sans Pro"/>
          <w:b w:val="0"/>
          <w:i w:val="0"/>
          <w:color w:val="000000"/>
          <w:sz w:val="22"/>
          <w:u w:val="single"/>
        </w:rPr>
        <w:hyperlink r:id="rId17" w:history="1">
          <w:r>
            <w:rPr>
              <w:rStyle w:val="Hyperlink"/>
            </w:rPr>
            <w:t>centrehumdata@un.org</w:t>
          </w:r>
        </w:hyperlink>
      </w:r>
      <w:r>
        <w:rPr>
          <w:rFonts w:ascii="Source Sans Pro" w:hAnsi="Source Sans Pro" w:eastAsia="Source Sans Pro"/>
          <w:b w:val="0"/>
          <w:i w:val="0"/>
          <w:color w:val="000000"/>
          <w:sz w:val="22"/>
        </w:rPr>
        <w:t>.</w:t>
      </w:r>
    </w:p>
    <w:sectPr w:rsidR="00FC693F" w:rsidRPr="0006063C" w:rsidSect="00034616"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drive.google.com/file/d/1Dim0c86H2R1Qtj6IkDxY9eWy1SVKJ77c/view?usp=sharing" TargetMode="External"/><Relationship Id="rId14" Type="http://schemas.openxmlformats.org/officeDocument/2006/relationships/hyperlink" Target="https://docs.google.com/spreadsheets/d/10iVRz2DFKCRKBRrNkJL3YbjmTjviDOfv/edit?usp=sharing&amp;ouid=105443320454649949267&amp;rtpof=true&amp;sd=true" TargetMode="External"/><Relationship Id="rId15" Type="http://schemas.openxmlformats.org/officeDocument/2006/relationships/hyperlink" Target="https://drive.google.com/file/d/1lf7_VdtqXT5LWgWDnu-duYlNjh4qXMQU/view?usp=sharing" TargetMode="External"/><Relationship Id="rId16" Type="http://schemas.openxmlformats.org/officeDocument/2006/relationships/hyperlink" Target="https://docs.google.com/spreadsheets/d/1RrIPpodeqIRHm9MmBv6FB0zIGP_3V5r5QFwd7wF-rl8/edit?usp=sharing" TargetMode="External"/><Relationship Id="rId17" Type="http://schemas.openxmlformats.org/officeDocument/2006/relationships/hyperlink" Target="mailto:centrehumdata@u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