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6120"/>
        <w:gridCol w:w="6120"/>
      </w:tblGrid>
      <w:tr>
        <w:trPr>
          <w:trHeight w:hRule="exact" w:val="1472"/>
        </w:trPr>
        <w:tc>
          <w:tcPr>
            <w:tcW w:type="dxa" w:w="5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37640" cy="8585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40" cy="858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0" w:right="7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52600" cy="542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542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98" w:after="0"/>
        <w:ind w:left="1440" w:right="0" w:firstLine="0"/>
        <w:jc w:val="left"/>
      </w:pPr>
      <w:r>
        <w:rPr>
          <w:rFonts w:ascii="Roboto" w:hAnsi="Roboto" w:eastAsia="Roboto"/>
          <w:b/>
          <w:i w:val="0"/>
          <w:color w:val="1BB480"/>
          <w:sz w:val="32"/>
        </w:rPr>
        <w:t>Trigger Mechanism for</w:t>
      </w:r>
    </w:p>
    <w:p>
      <w:pPr>
        <w:autoSpaceDN w:val="0"/>
        <w:autoSpaceDE w:val="0"/>
        <w:widowControl/>
        <w:spacing w:line="240" w:lineRule="auto" w:before="68" w:after="0"/>
        <w:ind w:left="1440" w:right="0" w:firstLine="0"/>
        <w:jc w:val="left"/>
      </w:pPr>
      <w:r>
        <w:rPr>
          <w:rFonts w:ascii="Roboto" w:hAnsi="Roboto" w:eastAsia="Roboto"/>
          <w:b/>
          <w:i w:val="0"/>
          <w:color w:val="1BB480"/>
          <w:sz w:val="32"/>
        </w:rPr>
        <w:t>Anticipatory Action in the Central American Dry Corridor (CADC)</w:t>
      </w:r>
    </w:p>
    <w:p>
      <w:pPr>
        <w:autoSpaceDN w:val="0"/>
        <w:autoSpaceDE w:val="0"/>
        <w:widowControl/>
        <w:spacing w:line="264" w:lineRule="auto" w:before="128" w:after="0"/>
        <w:ind w:left="1440" w:right="8064" w:firstLine="0"/>
        <w:jc w:val="left"/>
      </w:pPr>
      <w:r>
        <w:rPr>
          <w:rFonts w:ascii="Roboto" w:hAnsi="Roboto" w:eastAsia="Roboto"/>
          <w:b w:val="0"/>
          <w:i w:val="0"/>
          <w:color w:val="1BB480"/>
          <w:sz w:val="32"/>
        </w:rPr>
        <w:t xml:space="preserve">Technical Note </w:t>
      </w:r>
      <w:r>
        <w:br/>
      </w:r>
      <w:r>
        <w:rPr>
          <w:rFonts w:ascii="Roboto" w:hAnsi="Roboto" w:eastAsia="Roboto"/>
          <w:b w:val="0"/>
          <w:i w:val="0"/>
          <w:color w:val="999999"/>
          <w:sz w:val="22"/>
        </w:rPr>
        <w:t>Version 3 (01 March 2024)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auto" w:before="462" w:after="0"/>
        <w:ind w:left="1440" w:right="1442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Anticipatory action is planned to preemptively intervene against drought-related impacts in the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Central American Dry Corridor (CADC) that runs through Guatemala, Honduras, Nicaragua, and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El Salvador. A framework was developed collaboratively by the regional and national partners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and the Centre for Humanitarian Data (CHD). It includes pre-agreed financing, pre-selected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interventions, and a trigger for automated activation. This note describes the technical aspects </w:t>
      </w:r>
      <w:r>
        <w:rPr>
          <w:rFonts w:ascii="Roboto" w:hAnsi="Roboto" w:eastAsia="Roboto"/>
          <w:b w:val="0"/>
          <w:i w:val="0"/>
          <w:color w:val="000000"/>
          <w:sz w:val="22"/>
        </w:rPr>
        <w:t>of the trigger mechanism.</w:t>
      </w:r>
    </w:p>
    <w:p>
      <w:pPr>
        <w:autoSpaceDN w:val="0"/>
        <w:autoSpaceDE w:val="0"/>
        <w:widowControl/>
        <w:spacing w:line="276" w:lineRule="auto" w:before="394" w:after="0"/>
        <w:ind w:left="1440" w:right="1440" w:firstLine="0"/>
        <w:jc w:val="left"/>
      </w:pPr>
      <w:r>
        <w:rPr>
          <w:rFonts w:ascii="Roboto Medium" w:hAnsi="Roboto Medium" w:eastAsia="Roboto Medium"/>
          <w:b w:val="0"/>
          <w:i w:val="0"/>
          <w:color w:val="1F69B3"/>
          <w:sz w:val="24"/>
        </w:rPr>
        <w:t xml:space="preserve">Trigger Development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CHD led the development of the technical development of the trigger mechanism with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inputs from regional and local partners . The requirements for the mechanism were identified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through conversations with the regional and national partners. Options for the mechanism were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defined, validated against historical data, discussed with stakeholders, and tuned over several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iterations. The version of the mechanism discussed in this note has been approved by the </w:t>
      </w:r>
      <w:r>
        <w:rPr>
          <w:rFonts w:ascii="Roboto" w:hAnsi="Roboto" w:eastAsia="Roboto"/>
          <w:b w:val="0"/>
          <w:i w:val="0"/>
          <w:color w:val="000000"/>
          <w:sz w:val="22"/>
        </w:rPr>
        <w:t>humanitarian country team and is currently being monitored for potential activations in 2024.</w:t>
      </w:r>
    </w:p>
    <w:p>
      <w:pPr>
        <w:autoSpaceDN w:val="0"/>
        <w:autoSpaceDE w:val="0"/>
        <w:widowControl/>
        <w:spacing w:line="276" w:lineRule="auto" w:before="394" w:after="0"/>
        <w:ind w:left="1440" w:right="1440" w:firstLine="0"/>
        <w:jc w:val="left"/>
      </w:pPr>
      <w:r>
        <w:rPr>
          <w:rFonts w:ascii="Roboto Medium" w:hAnsi="Roboto Medium" w:eastAsia="Roboto Medium"/>
          <w:b w:val="0"/>
          <w:i w:val="0"/>
          <w:color w:val="1F69B3"/>
          <w:sz w:val="24"/>
        </w:rPr>
        <w:t xml:space="preserve">Trigger Overview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Anticipatory Action (AA) project focuses on the 4 primary countries through which the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CADC spans: Nicaragua, El Salvador, Guatemala, and Honduras. The triggering mechanism is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based on the seasonal rainfall forecast with threshold set for individual countries based on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historical seasonal rainfall forecasts and estimated return periods. Based on the requirements </w:t>
      </w:r>
      <w:r>
        <w:rPr>
          <w:rFonts w:ascii="Roboto" w:hAnsi="Roboto" w:eastAsia="Roboto"/>
          <w:b w:val="0"/>
          <w:i w:val="0"/>
          <w:color w:val="000000"/>
          <w:sz w:val="22"/>
        </w:rPr>
        <w:t>from operational partners the following analytical decisions had to be made: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080"/>
        <w:gridCol w:w="4080"/>
        <w:gridCol w:w="4080"/>
      </w:tblGrid>
      <w:tr>
        <w:trPr>
          <w:trHeight w:hRule="exact" w:val="520"/>
        </w:trPr>
        <w:tc>
          <w:tcPr>
            <w:tcW w:type="dxa" w:w="8500"/>
            <w:gridSpan w:val="3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shd w:fill="1bb4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84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FFFFFF"/>
                <w:sz w:val="24"/>
              </w:rPr>
              <w:t>Table 1. Key trigger design decisions</w:t>
            </w:r>
          </w:p>
        </w:tc>
      </w:tr>
      <w:tr>
        <w:trPr>
          <w:trHeight w:hRule="exact" w:val="520"/>
        </w:trPr>
        <w:tc>
          <w:tcPr>
            <w:tcW w:type="dxa" w:w="9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shd w:fill="1bb480"/>
            <w:tcMar>
              <w:start w:w="0" w:type="dxa"/>
              <w:end w:w="0" w:type="dxa"/>
            </w:tcMar>
          </w:tcPr>
          <w:p/>
        </w:tc>
        <w:tc>
          <w:tcPr>
            <w:tcW w:type="dxa" w:w="322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shd w:fill="1bb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90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FFFFFF"/>
                <w:sz w:val="24"/>
              </w:rPr>
              <w:t>Decision Type</w:t>
            </w:r>
          </w:p>
        </w:tc>
        <w:tc>
          <w:tcPr>
            <w:tcW w:type="dxa" w:w="43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shd w:fill="1bb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96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FFFFFF"/>
                <w:sz w:val="24"/>
              </w:rPr>
              <w:t>Decision made</w:t>
            </w:r>
          </w:p>
        </w:tc>
      </w:tr>
      <w:tr>
        <w:trPr>
          <w:trHeight w:hRule="exact" w:val="540"/>
        </w:trPr>
        <w:tc>
          <w:tcPr>
            <w:tcW w:type="dxa" w:w="9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84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322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90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Event Type</w:t>
            </w:r>
          </w:p>
        </w:tc>
        <w:tc>
          <w:tcPr>
            <w:tcW w:type="dxa" w:w="43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96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MJJA &amp; SON seasonal rainfall deficit</w:t>
            </w:r>
          </w:p>
        </w:tc>
      </w:tr>
      <w:tr>
        <w:trPr>
          <w:trHeight w:hRule="exact" w:val="520"/>
        </w:trPr>
        <w:tc>
          <w:tcPr>
            <w:tcW w:type="dxa" w:w="9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84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322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90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Geographic level of analysis</w:t>
            </w:r>
          </w:p>
        </w:tc>
        <w:tc>
          <w:tcPr>
            <w:tcW w:type="dxa" w:w="43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96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Country level</w:t>
            </w:r>
          </w:p>
        </w:tc>
      </w:tr>
      <w:tr>
        <w:trPr>
          <w:trHeight w:hRule="exact" w:val="520"/>
        </w:trPr>
        <w:tc>
          <w:tcPr>
            <w:tcW w:type="dxa" w:w="9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84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322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90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Forecast lead time</w:t>
            </w:r>
          </w:p>
        </w:tc>
        <w:tc>
          <w:tcPr>
            <w:tcW w:type="dxa" w:w="43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96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Up to 4 months</w:t>
            </w:r>
          </w:p>
        </w:tc>
      </w:tr>
      <w:tr>
        <w:trPr>
          <w:trHeight w:hRule="exact" w:val="540"/>
        </w:trPr>
        <w:tc>
          <w:tcPr>
            <w:tcW w:type="dxa" w:w="9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84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4.</w:t>
            </w:r>
          </w:p>
        </w:tc>
        <w:tc>
          <w:tcPr>
            <w:tcW w:type="dxa" w:w="322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90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Activation thresholds</w:t>
            </w:r>
          </w:p>
        </w:tc>
        <w:tc>
          <w:tcPr>
            <w:tcW w:type="dxa" w:w="43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96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1 in 4 year rainfall deficit</w:t>
            </w:r>
          </w:p>
        </w:tc>
      </w:tr>
      <w:tr>
        <w:trPr>
          <w:trHeight w:hRule="exact" w:val="820"/>
        </w:trPr>
        <w:tc>
          <w:tcPr>
            <w:tcW w:type="dxa" w:w="9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84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5.</w:t>
            </w:r>
          </w:p>
        </w:tc>
        <w:tc>
          <w:tcPr>
            <w:tcW w:type="dxa" w:w="322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90" w:right="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Forecast to use</w:t>
            </w:r>
          </w:p>
        </w:tc>
        <w:tc>
          <w:tcPr>
            <w:tcW w:type="dxa" w:w="43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96" w:right="720" w:firstLine="0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 xml:space="preserve">ECMWF SEAS 51/ National Forecast </w:t>
            </w:r>
            <w:r>
              <w:rPr>
                <w:rFonts w:ascii="Source Sans Pro" w:hAnsi="Source Sans Pro" w:eastAsia="Source Sans Pro"/>
                <w:b w:val="0"/>
                <w:i w:val="0"/>
                <w:color w:val="000000"/>
                <w:sz w:val="24"/>
              </w:rPr>
              <w:t>(INSIVUMEH for Guatemala only)</w:t>
            </w:r>
          </w:p>
        </w:tc>
      </w:tr>
    </w:tbl>
    <w:p>
      <w:pPr>
        <w:autoSpaceDN w:val="0"/>
        <w:autoSpaceDE w:val="0"/>
        <w:widowControl/>
        <w:spacing w:line="262" w:lineRule="auto" w:before="356" w:after="0"/>
        <w:ind w:left="144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rationale and description of each of these decisions is provided in the next section with </w:t>
      </w:r>
      <w:r>
        <w:rPr>
          <w:rFonts w:ascii="Roboto" w:hAnsi="Roboto" w:eastAsia="Roboto"/>
          <w:b w:val="0"/>
          <w:i w:val="0"/>
          <w:color w:val="000000"/>
          <w:sz w:val="22"/>
        </w:rPr>
        <w:t>more additional details provided in the Appendix section.</w:t>
      </w:r>
    </w:p>
    <w:p>
      <w:pPr>
        <w:autoSpaceDN w:val="0"/>
        <w:autoSpaceDE w:val="0"/>
        <w:widowControl/>
        <w:spacing w:line="240" w:lineRule="auto" w:before="394" w:after="0"/>
        <w:ind w:left="1440" w:right="0" w:firstLine="0"/>
        <w:jc w:val="left"/>
      </w:pPr>
      <w:r>
        <w:rPr>
          <w:rFonts w:ascii="Roboto Medium" w:hAnsi="Roboto Medium" w:eastAsia="Roboto Medium"/>
          <w:b w:val="0"/>
          <w:i w:val="0"/>
          <w:color w:val="1F69B3"/>
          <w:sz w:val="24"/>
        </w:rPr>
        <w:t>Rationale</w:t>
      </w:r>
    </w:p>
    <w:p>
      <w:pPr>
        <w:autoSpaceDN w:val="0"/>
        <w:autoSpaceDE w:val="0"/>
        <w:widowControl/>
        <w:spacing w:line="240" w:lineRule="auto" w:before="410" w:after="0"/>
        <w:ind w:left="1440" w:right="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Event Type</w:t>
      </w:r>
    </w:p>
    <w:p>
      <w:pPr>
        <w:autoSpaceDN w:val="0"/>
        <w:autoSpaceDE w:val="0"/>
        <w:widowControl/>
        <w:spacing w:line="274" w:lineRule="auto" w:before="170" w:after="0"/>
        <w:ind w:left="1440" w:right="1444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trigger is designed to monitor seasonal drought as measured by forecasted cumulative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seasonal rainfall deficit. Country and regional partners identified the two key seasons for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monitoring as the Primera (May - August) and Postrera (September - November) seasons. If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critical rainfall deficits/drought conditions are forecasted in either window, the AA framework is </w:t>
      </w:r>
      <w:r>
        <w:rPr>
          <w:rFonts w:ascii="Roboto" w:hAnsi="Roboto" w:eastAsia="Roboto"/>
          <w:b w:val="0"/>
          <w:i w:val="0"/>
          <w:color w:val="000000"/>
          <w:sz w:val="22"/>
        </w:rPr>
        <w:t>to be activated.</w:t>
      </w:r>
    </w:p>
    <w:p>
      <w:pPr>
        <w:autoSpaceDN w:val="0"/>
        <w:autoSpaceDE w:val="0"/>
        <w:widowControl/>
        <w:spacing w:line="240" w:lineRule="auto" w:before="406" w:after="0"/>
        <w:ind w:left="1440" w:right="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Geographic level of analysis</w:t>
      </w:r>
    </w:p>
    <w:p>
      <w:pPr>
        <w:autoSpaceDN w:val="0"/>
        <w:autoSpaceDE w:val="0"/>
        <w:widowControl/>
        <w:spacing w:line="274" w:lineRule="auto" w:before="170" w:after="0"/>
        <w:ind w:left="1440" w:right="1446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analysis and monitoring occurs at the country level. All countries are monitored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simultaneously with the same framework and decision logic, but can be activated independently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and at different times. To allow operational flexibility in targeting, the analysis was conducted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over the entirety of each country to ensure that no area of possible intervention/activity was </w:t>
      </w:r>
      <w:r>
        <w:rPr>
          <w:rFonts w:ascii="Roboto" w:hAnsi="Roboto" w:eastAsia="Roboto"/>
          <w:b w:val="0"/>
          <w:i w:val="0"/>
          <w:color w:val="000000"/>
          <w:sz w:val="22"/>
        </w:rPr>
        <w:t>excluded.</w:t>
      </w:r>
    </w:p>
    <w:p>
      <w:pPr>
        <w:autoSpaceDN w:val="0"/>
        <w:autoSpaceDE w:val="0"/>
        <w:widowControl/>
        <w:spacing w:line="240" w:lineRule="auto" w:before="754" w:after="0"/>
        <w:ind w:left="1440" w:right="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Forecast used</w:t>
      </w:r>
    </w:p>
    <w:p>
      <w:pPr>
        <w:autoSpaceDN w:val="0"/>
        <w:tabs>
          <w:tab w:pos="1800" w:val="left"/>
          <w:tab w:pos="2160" w:val="left"/>
          <w:tab w:pos="3816" w:val="left"/>
        </w:tabs>
        <w:autoSpaceDE w:val="0"/>
        <w:widowControl/>
        <w:spacing w:line="274" w:lineRule="auto" w:before="170" w:after="0"/>
        <w:ind w:left="144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use of ECMWF, IRI, and national forecast data were assessed for all four countries during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design process.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Where possible, the use of national forecast data was prioritized.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Guatemala was the only country for which in-county partners could secure national forecast </w:t>
      </w:r>
      <w:r>
        <w:rPr>
          <w:rFonts w:ascii="Roboto" w:hAnsi="Roboto" w:eastAsia="Roboto"/>
          <w:b w:val="0"/>
          <w:i w:val="0"/>
          <w:color w:val="000000"/>
          <w:sz w:val="22"/>
        </w:rPr>
        <w:t>data. Therefore, the agreed upon forecast data sources for the trigger are: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/>
          <w:i w:val="0"/>
          <w:color w:val="000000"/>
          <w:sz w:val="22"/>
        </w:rPr>
        <w:t>Nicaragua, Honduras, El Salvador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 - ECMWF Seasonal Forecast</w:t>
      </w:r>
    </w:p>
    <w:p>
      <w:pPr>
        <w:autoSpaceDN w:val="0"/>
        <w:autoSpaceDE w:val="0"/>
        <w:widowControl/>
        <w:spacing w:line="240" w:lineRule="auto" w:before="532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6"/>
        </w:rPr>
        <w:t>Page 2 of 10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4080"/>
        <w:gridCol w:w="4080"/>
        <w:gridCol w:w="4080"/>
      </w:tblGrid>
      <w:tr>
        <w:trPr>
          <w:trHeight w:hRule="exact" w:val="340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●</w:t>
            </w:r>
          </w:p>
        </w:tc>
        <w:tc>
          <w:tcPr>
            <w:tcW w:type="dxa" w:w="7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Roboto" w:hAnsi="Roboto" w:eastAsia="Roboto"/>
                <w:b/>
                <w:i w:val="0"/>
                <w:color w:val="000000"/>
                <w:sz w:val="22"/>
              </w:rPr>
              <w:t>Guatemala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 - Official national forecast provided the Instituto nacional</w:t>
            </w:r>
          </w:p>
        </w:tc>
        <w:tc>
          <w:tcPr>
            <w:tcW w:type="dxa" w:w="2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de Sismología,</w:t>
            </w:r>
          </w:p>
        </w:tc>
      </w:tr>
    </w:tbl>
    <w:p>
      <w:pPr>
        <w:autoSpaceDN w:val="0"/>
        <w:autoSpaceDE w:val="0"/>
        <w:widowControl/>
        <w:spacing w:line="269" w:lineRule="auto" w:before="24" w:after="0"/>
        <w:ind w:left="2160" w:right="1454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Vulcanologia, Meteorologia e Hidrología (INSIVUMEH) for all months except May where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national forecast does not provide a prediction for publication month as required by </w:t>
      </w:r>
      <w:r>
        <w:rPr>
          <w:rFonts w:ascii="Roboto" w:hAnsi="Roboto" w:eastAsia="Roboto"/>
          <w:b w:val="0"/>
          <w:i w:val="0"/>
          <w:color w:val="000000"/>
          <w:sz w:val="22"/>
        </w:rPr>
        <w:t>the implementing partners (Figure 1). For this month ECMWF Seasonal will be used.</w:t>
      </w:r>
    </w:p>
    <w:p>
      <w:pPr>
        <w:autoSpaceDN w:val="0"/>
        <w:autoSpaceDE w:val="0"/>
        <w:widowControl/>
        <w:spacing w:line="240" w:lineRule="auto" w:before="350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>For a more in depth discussion of the forecast data source please see the appendix below.</w:t>
      </w:r>
    </w:p>
    <w:p>
      <w:pPr>
        <w:autoSpaceDN w:val="0"/>
        <w:autoSpaceDE w:val="0"/>
        <w:widowControl/>
        <w:spacing w:line="240" w:lineRule="auto" w:before="406" w:after="0"/>
        <w:ind w:left="1440" w:right="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Forecast Lead Time</w:t>
      </w:r>
    </w:p>
    <w:p>
      <w:pPr>
        <w:autoSpaceDN w:val="0"/>
        <w:tabs>
          <w:tab w:pos="7942" w:val="left"/>
        </w:tabs>
        <w:autoSpaceDE w:val="0"/>
        <w:widowControl/>
        <w:spacing w:line="278" w:lineRule="auto" w:before="170" w:after="0"/>
        <w:ind w:left="144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forecast lead times used for the framework monitoring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were decided based on the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operational requirements of implementing partners and constraints of forecast data products.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Each monthly global ECMWF forecast publication provides 7 monthly lead times including the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forecast for the month of forecast publication whereas INSIVUMEH forecast provides 6 monthly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lead times with the first month being the month after publication of the forecast. During the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design process the CHD provided analysis and specific thresholds for each possible lead time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and provided the recommendation to adopt the shortest lead time possible that still would </w:t>
      </w:r>
      <w:r>
        <w:rPr>
          <w:rFonts w:ascii="Roboto" w:hAnsi="Roboto" w:eastAsia="Roboto"/>
          <w:b w:val="0"/>
          <w:i w:val="0"/>
          <w:color w:val="000000"/>
          <w:sz w:val="22"/>
        </w:rPr>
        <w:t>provide the partners with sufficient time to implement activities.</w:t>
      </w:r>
    </w:p>
    <w:p>
      <w:pPr>
        <w:autoSpaceDN w:val="0"/>
        <w:autoSpaceDE w:val="0"/>
        <w:widowControl/>
        <w:spacing w:line="262" w:lineRule="auto" w:before="348" w:after="388"/>
        <w:ind w:left="144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After reviewing all activities, stakeholders/partners agreed to the following lead times and </w:t>
      </w:r>
      <w:r>
        <w:rPr>
          <w:rFonts w:ascii="Roboto" w:hAnsi="Roboto" w:eastAsia="Roboto"/>
          <w:b w:val="0"/>
          <w:i w:val="0"/>
          <w:color w:val="000000"/>
          <w:sz w:val="22"/>
        </w:rPr>
        <w:t>monitoring periods: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448"/>
        <w:gridCol w:w="2448"/>
        <w:gridCol w:w="2448"/>
        <w:gridCol w:w="2448"/>
        <w:gridCol w:w="2448"/>
      </w:tblGrid>
      <w:tr>
        <w:trPr>
          <w:trHeight w:hRule="exact" w:val="480"/>
        </w:trPr>
        <w:tc>
          <w:tcPr>
            <w:tcW w:type="dxa" w:w="9360"/>
            <w:gridSpan w:val="5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shd w:fill="1bb4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6" w:after="0"/>
              <w:ind w:left="8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FFFFFF"/>
                <w:sz w:val="22"/>
              </w:rPr>
              <w:t>Table 2. Trigger matrix</w:t>
            </w:r>
          </w:p>
        </w:tc>
      </w:tr>
      <w:tr>
        <w:trPr>
          <w:trHeight w:hRule="exact" w:val="1020"/>
        </w:trPr>
        <w:tc>
          <w:tcPr>
            <w:tcW w:type="dxa" w:w="20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shd w:fill="1bb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8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FFFFFF"/>
                <w:sz w:val="22"/>
              </w:rPr>
              <w:t>Trigger</w:t>
            </w:r>
          </w:p>
        </w:tc>
        <w:tc>
          <w:tcPr>
            <w:tcW w:type="dxa" w:w="170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shd w:fill="1bb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00" w:right="576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FFFFFF"/>
                <w:sz w:val="22"/>
              </w:rPr>
              <w:t xml:space="preserve">Potential </w:t>
            </w:r>
            <w:r>
              <w:rPr>
                <w:rFonts w:ascii="Roboto" w:hAnsi="Roboto" w:eastAsia="Roboto"/>
                <w:b w:val="0"/>
                <w:i w:val="0"/>
                <w:color w:val="FFFFFF"/>
                <w:sz w:val="22"/>
              </w:rPr>
              <w:t xml:space="preserve">activation </w:t>
            </w:r>
            <w:r>
              <w:rPr>
                <w:rFonts w:ascii="Roboto" w:hAnsi="Roboto" w:eastAsia="Roboto"/>
                <w:b w:val="0"/>
                <w:i w:val="0"/>
                <w:color w:val="FFFFFF"/>
                <w:sz w:val="22"/>
              </w:rPr>
              <w:t>points</w:t>
            </w:r>
          </w:p>
        </w:tc>
        <w:tc>
          <w:tcPr>
            <w:tcW w:type="dxa" w:w="130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shd w:fill="1bb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96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FFFFFF"/>
                <w:sz w:val="22"/>
              </w:rPr>
              <w:t>Indicator</w:t>
            </w:r>
          </w:p>
        </w:tc>
        <w:tc>
          <w:tcPr>
            <w:tcW w:type="dxa" w:w="202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shd w:fill="1bb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8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FFFFFF"/>
                <w:sz w:val="22"/>
              </w:rPr>
              <w:t>Data Source</w:t>
            </w:r>
          </w:p>
        </w:tc>
        <w:tc>
          <w:tcPr>
            <w:tcW w:type="dxa" w:w="230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shd w:fill="1bb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9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FFFFFF"/>
                <w:sz w:val="22"/>
              </w:rPr>
              <w:t>Trigger</w:t>
            </w:r>
          </w:p>
        </w:tc>
      </w:tr>
      <w:tr>
        <w:trPr>
          <w:trHeight w:hRule="exact" w:val="1020"/>
        </w:trPr>
        <w:tc>
          <w:tcPr>
            <w:tcW w:type="dxa" w:w="20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2" w:after="0"/>
              <w:ind w:left="84" w:right="288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Primera Window 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(Window A)</w:t>
            </w:r>
          </w:p>
        </w:tc>
        <w:tc>
          <w:tcPr>
            <w:tcW w:type="dxa" w:w="170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2" w:after="0"/>
              <w:ind w:left="0" w:right="1008" w:firstLine="0"/>
              <w:jc w:val="center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Mar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April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May</w:t>
            </w:r>
          </w:p>
        </w:tc>
        <w:tc>
          <w:tcPr>
            <w:tcW w:type="dxa" w:w="130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2" w:after="0"/>
              <w:ind w:left="96" w:right="288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22"/>
              </w:rPr>
              <w:t xml:space="preserve">MJJA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seasonal 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forecast</w:t>
            </w:r>
          </w:p>
        </w:tc>
        <w:tc>
          <w:tcPr>
            <w:tcW w:type="dxa" w:w="202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34" w:val="left"/>
              </w:tabs>
              <w:autoSpaceDE w:val="0"/>
              <w:widowControl/>
              <w:spacing w:line="240" w:lineRule="auto" w:before="112" w:after="0"/>
              <w:ind w:left="8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Global </w:t>
            </w:r>
            <w:r>
              <w:tab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Forecast</w:t>
            </w:r>
          </w:p>
          <w:p>
            <w:pPr>
              <w:autoSpaceDN w:val="0"/>
              <w:tabs>
                <w:tab w:pos="1698" w:val="left"/>
              </w:tabs>
              <w:autoSpaceDE w:val="0"/>
              <w:widowControl/>
              <w:spacing w:line="240" w:lineRule="auto" w:before="6" w:after="0"/>
              <w:ind w:left="8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(ECMWF) 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or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8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National Forecast</w:t>
            </w:r>
          </w:p>
        </w:tc>
        <w:tc>
          <w:tcPr>
            <w:tcW w:type="dxa" w:w="230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0" w:val="left"/>
              </w:tabs>
              <w:autoSpaceDE w:val="0"/>
              <w:widowControl/>
              <w:spacing w:line="240" w:lineRule="auto" w:before="112" w:after="0"/>
              <w:ind w:left="9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MJJA </w:t>
            </w:r>
            <w:r>
              <w:tab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precipitation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9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&lt;= 1 in 4 year RP</w:t>
            </w:r>
          </w:p>
        </w:tc>
      </w:tr>
      <w:tr>
        <w:trPr>
          <w:trHeight w:hRule="exact" w:val="1020"/>
        </w:trPr>
        <w:tc>
          <w:tcPr>
            <w:tcW w:type="dxa" w:w="204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144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Postrera Window 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(Window B)</w:t>
            </w:r>
          </w:p>
        </w:tc>
        <w:tc>
          <w:tcPr>
            <w:tcW w:type="dxa" w:w="170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100" w:right="1152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Jun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Jul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Aug</w:t>
            </w:r>
          </w:p>
        </w:tc>
        <w:tc>
          <w:tcPr>
            <w:tcW w:type="dxa" w:w="130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96" w:right="288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000000"/>
                <w:sz w:val="22"/>
              </w:rPr>
              <w:t xml:space="preserve">SON </w:t>
            </w:r>
            <w:r>
              <w:br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seasonal 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forecast</w:t>
            </w:r>
          </w:p>
        </w:tc>
        <w:tc>
          <w:tcPr>
            <w:tcW w:type="dxa" w:w="202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34" w:val="left"/>
              </w:tabs>
              <w:autoSpaceDE w:val="0"/>
              <w:widowControl/>
              <w:spacing w:line="240" w:lineRule="auto" w:before="108" w:after="0"/>
              <w:ind w:left="8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Global </w:t>
            </w:r>
            <w:r>
              <w:tab/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Forecast</w:t>
            </w:r>
          </w:p>
          <w:p>
            <w:pPr>
              <w:autoSpaceDN w:val="0"/>
              <w:tabs>
                <w:tab w:pos="1698" w:val="left"/>
              </w:tabs>
              <w:autoSpaceDE w:val="0"/>
              <w:widowControl/>
              <w:spacing w:line="240" w:lineRule="auto" w:before="6" w:after="0"/>
              <w:ind w:left="8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(ECMWF) 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or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84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National Forecast</w:t>
            </w:r>
          </w:p>
        </w:tc>
        <w:tc>
          <w:tcPr>
            <w:tcW w:type="dxa" w:w="2300"/>
            <w:tcBorders>
              <w:start w:sz="8.0" w:val="single" w:color="#D9D9D9"/>
              <w:top w:sz="8.0" w:val="single" w:color="#D9D9D9"/>
              <w:end w:sz="8.0" w:val="single" w:color="#D9D9D9"/>
              <w:bottom w:sz="8.0" w:val="single" w:color="#D9D9D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9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 xml:space="preserve">SON precipitation &lt;= </w:t>
            </w: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1 in 4 year RP</w:t>
            </w:r>
          </w:p>
        </w:tc>
      </w:tr>
    </w:tbl>
    <w:p>
      <w:pPr>
        <w:autoSpaceDN w:val="0"/>
        <w:autoSpaceDE w:val="0"/>
        <w:widowControl/>
        <w:spacing w:line="240" w:lineRule="auto" w:before="3582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6"/>
        </w:rPr>
        <w:t>Page 3 of 10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590" w:after="0"/>
        <w:ind w:left="15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00040" cy="1847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40" w:after="0"/>
        <w:ind w:left="1544" w:right="1584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Figure 1. Time periods of interest in blue will be monitored from forecast data published in yellow. May </w:t>
      </w:r>
      <w:r>
        <w:rPr>
          <w:rFonts w:ascii="Roboto" w:hAnsi="Roboto" w:eastAsia="Roboto"/>
          <w:b w:val="0"/>
          <w:i w:val="0"/>
          <w:color w:val="000000"/>
          <w:sz w:val="20"/>
        </w:rPr>
        <w:t>is highlighted in green due to the overlap</w:t>
      </w:r>
      <w:r>
        <w:rPr>
          <w:rFonts w:ascii="Source Sans Pro" w:hAnsi="Source Sans Pro" w:eastAsia="Source Sans Pr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auto" w:before="484" w:after="0"/>
        <w:ind w:left="1440" w:right="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Thresholds</w:t>
      </w:r>
    </w:p>
    <w:p>
      <w:pPr>
        <w:autoSpaceDN w:val="0"/>
        <w:tabs>
          <w:tab w:pos="8106" w:val="left"/>
          <w:tab w:pos="9126" w:val="left"/>
        </w:tabs>
        <w:autoSpaceDE w:val="0"/>
        <w:widowControl/>
        <w:spacing w:line="276" w:lineRule="auto" w:before="170" w:after="0"/>
        <w:ind w:left="144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Thresholds were based on a 1 in 4 year return period (RP) event and calculated independently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for each country. For each year of historical seasonal forecast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data (1981-2022) the total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seasonal rainfall (for each season) was calculated and averaged to each of the countries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boundaries for each lead time. This historical record was then used to calculate the threshold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that corresponded to 25 % activation rate (or 1 in 4 year RP). This process was run on both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ECMWF seasonal and national forecast (for Guatemala) data separately.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Thresholds were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calculated per country, activation window, lead time, and forecast data source to compensate </w:t>
      </w:r>
      <w:r>
        <w:rPr>
          <w:rFonts w:ascii="Roboto" w:hAnsi="Roboto" w:eastAsia="Roboto"/>
          <w:b w:val="0"/>
          <w:i w:val="0"/>
          <w:color w:val="000000"/>
          <w:sz w:val="22"/>
        </w:rPr>
        <w:t>for any bias in forecast values across lead times (see Appendix for additional details).</w:t>
      </w:r>
    </w:p>
    <w:p>
      <w:pPr>
        <w:autoSpaceDN w:val="0"/>
        <w:autoSpaceDE w:val="0"/>
        <w:widowControl/>
        <w:spacing w:line="240" w:lineRule="auto" w:before="408" w:after="0"/>
        <w:ind w:left="1440" w:right="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Monitoring</w:t>
      </w:r>
    </w:p>
    <w:p>
      <w:pPr>
        <w:autoSpaceDN w:val="0"/>
        <w:autoSpaceDE w:val="0"/>
        <w:widowControl/>
        <w:spacing w:line="278" w:lineRule="auto" w:before="170" w:after="0"/>
        <w:ind w:left="1440" w:right="1442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CHD is responsible for monitoring the seasonal forecast and updating the activation status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on a monthly basis with an automated email alert to relevant stakeholders. As the ECMWF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Seasonal forecast is published on the 5th of each month, the trigger notification for Nicaragua,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Honduras, and El Salvador are distributed on the 5th of each month. INSIVUMEH provided a date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range for the Guatemala national forecast publication as the 5th-10th each month. Therefore,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Guatemala trigger status update is made upon receival of this forecast. No cutoff date has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been established for using the national forecast in Guatemala, but is at the discretion of CERF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and partners based on operational requirements. The monitoring is automated through a GitHub </w:t>
      </w:r>
      <w:r>
        <w:rPr>
          <w:rFonts w:ascii="Roboto" w:hAnsi="Roboto" w:eastAsia="Roboto"/>
          <w:b w:val="0"/>
          <w:i w:val="0"/>
          <w:color w:val="000000"/>
          <w:sz w:val="22"/>
        </w:rPr>
        <w:t>action available in this GitHub</w:t>
      </w:r>
      <w:r>
        <w:rPr>
          <w:rFonts w:ascii="Roboto" w:hAnsi="Roboto" w:eastAsia="Roboto"/>
          <w:b w:val="0"/>
          <w:i w:val="0"/>
          <w:color w:val="1154CC"/>
          <w:sz w:val="22"/>
        </w:rPr>
        <w:t xml:space="preserve"> 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13" w:history="1">
          <w:r>
            <w:rPr>
              <w:rStyle w:val="Hyperlink"/>
            </w:rPr>
            <w:t>repository</w:t>
          </w:r>
        </w:hyperlink>
      </w:r>
      <w:r>
        <w:rPr>
          <w:rFonts w:ascii="Roboto" w:hAnsi="Roboto" w:eastAsia="Roboto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auto" w:before="2712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6"/>
        </w:rPr>
        <w:t>Page 4 of 10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6" w:after="0"/>
        <w:ind w:left="1440" w:right="0" w:firstLine="0"/>
        <w:jc w:val="left"/>
      </w:pPr>
      <w:r>
        <w:rPr>
          <w:rFonts w:ascii="Roboto Medium" w:hAnsi="Roboto Medium" w:eastAsia="Roboto Medium"/>
          <w:b w:val="0"/>
          <w:i w:val="0"/>
          <w:color w:val="1F69B3"/>
          <w:sz w:val="24"/>
        </w:rPr>
        <w:t>Appendix</w:t>
      </w:r>
    </w:p>
    <w:p>
      <w:pPr>
        <w:autoSpaceDN w:val="0"/>
        <w:autoSpaceDE w:val="0"/>
        <w:widowControl/>
        <w:spacing w:line="240" w:lineRule="auto" w:before="410" w:after="0"/>
        <w:ind w:left="1440" w:right="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Forecast (Lead Time &amp; Data Source)</w:t>
      </w:r>
    </w:p>
    <w:p>
      <w:pPr>
        <w:autoSpaceDN w:val="0"/>
        <w:autoSpaceDE w:val="0"/>
        <w:widowControl/>
        <w:spacing w:line="274" w:lineRule="auto" w:before="170" w:after="0"/>
        <w:ind w:left="1440" w:right="1446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Data sources &amp; Accessibility: to monitor seasonal drought, seasonal forecasts were required.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trigger was designed with flexibility to incorporate national forecast data sources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where/when available and global data sets when no national forecasts could be obtained. Thus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far Guatemala’s national forecast provided by INSIVUMEH was the only national forecast data </w:t>
      </w:r>
      <w:r>
        <w:rPr>
          <w:rFonts w:ascii="Roboto" w:hAnsi="Roboto" w:eastAsia="Roboto"/>
          <w:b w:val="0"/>
          <w:i w:val="0"/>
          <w:color w:val="000000"/>
          <w:sz w:val="22"/>
        </w:rPr>
        <w:t>set that could be obtained by in-country partners.</w:t>
      </w:r>
    </w:p>
    <w:p>
      <w:pPr>
        <w:autoSpaceDN w:val="0"/>
        <w:tabs>
          <w:tab w:pos="1800" w:val="left"/>
          <w:tab w:pos="2160" w:val="left"/>
          <w:tab w:pos="2230" w:val="left"/>
          <w:tab w:pos="3744" w:val="left"/>
        </w:tabs>
        <w:autoSpaceDE w:val="0"/>
        <w:widowControl/>
        <w:spacing w:line="276" w:lineRule="auto" w:before="350" w:after="0"/>
        <w:ind w:left="144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For Nicaragua, Guatemala, and El Salvador where no national forecast data could be secured,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ECMWF and IRI global forecasts were evaluated. ECMWF was eventually chosen over IRI for the </w:t>
      </w:r>
      <w:r>
        <w:rPr>
          <w:rFonts w:ascii="Roboto" w:hAnsi="Roboto" w:eastAsia="Roboto"/>
          <w:b w:val="0"/>
          <w:i w:val="0"/>
          <w:color w:val="000000"/>
          <w:sz w:val="22"/>
        </w:rPr>
        <w:t>following reasons: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ECMWF provides hindcast/forecast data from 1981 to present compared to IRI which is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only available from 2017 onwards. The longer historical record of ECMWF allows the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calculation of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activation rates at different thresholds with a much higher degree of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confidence.</w:t>
      </w:r>
    </w:p>
    <w:p>
      <w:pPr>
        <w:autoSpaceDN w:val="0"/>
        <w:tabs>
          <w:tab w:pos="2160" w:val="left"/>
        </w:tabs>
        <w:autoSpaceDE w:val="0"/>
        <w:widowControl/>
        <w:spacing w:line="278" w:lineRule="auto" w:before="44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ECMWF provides monthly total precipitation which allows flexible temporal aggregation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whereas IRI only provides trimester (3-month) probabilities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ECMWF is released earlier in the month (5th compared to 16th)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ECMWF units are easily converted to total precipitation which is easier for stakeholders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to understand than tercile probabilities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ECMWF seasonal forecast data obtained from the MARS catalog can be provided at 0.4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degrees resolution which is a higher resolution than IRI data which can only be obtained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at 1 degree resolution.</w:t>
      </w:r>
    </w:p>
    <w:p>
      <w:pPr>
        <w:autoSpaceDN w:val="0"/>
        <w:autoSpaceDE w:val="0"/>
        <w:widowControl/>
        <w:spacing w:line="276" w:lineRule="auto" w:before="350" w:after="0"/>
        <w:ind w:left="1440" w:right="1442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2"/>
        </w:rPr>
        <w:t>The ECMWF Seasonal forecast is made public through the</w:t>
      </w:r>
      <w:r>
        <w:rPr>
          <w:rFonts w:ascii="Roboto" w:hAnsi="Roboto" w:eastAsia="Roboto"/>
          <w:b w:val="0"/>
          <w:i w:val="0"/>
          <w:color w:val="1154CC"/>
          <w:sz w:val="22"/>
        </w:rPr>
        <w:t xml:space="preserve"> 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14" w:history="1">
          <w:r>
            <w:rPr>
              <w:rStyle w:val="Hyperlink"/>
            </w:rPr>
            <w:t>Copernicus Data Store (CDS)</w:t>
          </w:r>
        </w:hyperlink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 on the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5th of every month. This publicly available data has a resolution of 1 degree and contains 6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months of lead time (including publication month). The full ECMWF SEAS5 historical forecast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data set which includes 7 months of lead time and has a resolution of 0.4 degrees is available to </w:t>
      </w:r>
      <w:r>
        <w:rPr>
          <w:rFonts w:ascii="Roboto" w:hAnsi="Roboto" w:eastAsia="Roboto"/>
          <w:b w:val="0"/>
          <w:i w:val="0"/>
          <w:color w:val="000000"/>
          <w:sz w:val="22"/>
        </w:rPr>
        <w:t>World Meteorological Organization (WMO) members through the</w:t>
      </w:r>
      <w:r>
        <w:rPr>
          <w:rFonts w:ascii="Roboto" w:hAnsi="Roboto" w:eastAsia="Roboto"/>
          <w:b w:val="0"/>
          <w:i w:val="0"/>
          <w:color w:val="1154CC"/>
          <w:sz w:val="22"/>
        </w:rPr>
        <w:t xml:space="preserve"> 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15" w:history="1">
          <w:r>
            <w:rPr>
              <w:rStyle w:val="Hyperlink"/>
            </w:rPr>
            <w:t>ECMWF MARS catalog</w:t>
          </w:r>
        </w:hyperlink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. For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up-to-date ECMWF data with the full 7 months of lead time at 0.4 degrees resolution the CHD </w:t>
      </w:r>
      <w:r>
        <w:rPr>
          <w:rFonts w:ascii="Roboto" w:hAnsi="Roboto" w:eastAsia="Roboto"/>
          <w:b w:val="0"/>
          <w:i w:val="0"/>
          <w:color w:val="000000"/>
          <w:sz w:val="22"/>
        </w:rPr>
        <w:t>receives the seasonal forecast data directly from ECMWF.</w:t>
      </w:r>
    </w:p>
    <w:p>
      <w:pPr>
        <w:autoSpaceDN w:val="0"/>
        <w:autoSpaceDE w:val="0"/>
        <w:widowControl/>
        <w:spacing w:line="240" w:lineRule="auto" w:before="406" w:after="0"/>
        <w:ind w:left="1440" w:right="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Operational requirements:</w:t>
      </w:r>
    </w:p>
    <w:p>
      <w:pPr>
        <w:autoSpaceDN w:val="0"/>
        <w:autoSpaceDE w:val="0"/>
        <w:widowControl/>
        <w:spacing w:line="276" w:lineRule="auto" w:before="170" w:after="0"/>
        <w:ind w:left="1440" w:right="1446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AA partners compiled a list of required start times by activity and agency (Figure 2). After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receiving the required lead times by agencies and conducting a deep dive session it was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decided to remove the February forecast publication from the Primera monitoring window and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September from the Postrera monitoring window. This was done based on the activity timeline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(Figure 2) and to standardize the monitoring period and probability of activation across </w:t>
      </w:r>
      <w:r>
        <w:rPr>
          <w:rFonts w:ascii="Roboto" w:hAnsi="Roboto" w:eastAsia="Roboto"/>
          <w:b w:val="0"/>
          <w:i w:val="0"/>
          <w:color w:val="000000"/>
          <w:sz w:val="22"/>
        </w:rPr>
        <w:t>countries and while reducing uncertainty in trigger mechanism.</w:t>
      </w:r>
    </w:p>
    <w:p>
      <w:pPr>
        <w:autoSpaceDN w:val="0"/>
        <w:autoSpaceDE w:val="0"/>
        <w:widowControl/>
        <w:spacing w:line="240" w:lineRule="auto" w:before="922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6"/>
        </w:rPr>
        <w:t>Page 5 of 10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57140" cy="42379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423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2" w:after="0"/>
        <w:ind w:left="154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Figure 2. Timeline of activities and required activation months</w:t>
      </w:r>
    </w:p>
    <w:p>
      <w:pPr>
        <w:autoSpaceDN w:val="0"/>
        <w:autoSpaceDE w:val="0"/>
        <w:widowControl/>
        <w:spacing w:line="240" w:lineRule="auto" w:before="486" w:after="0"/>
        <w:ind w:left="1440" w:right="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Thresholds/Trigger</w:t>
      </w:r>
    </w:p>
    <w:p>
      <w:pPr>
        <w:autoSpaceDN w:val="0"/>
        <w:autoSpaceDE w:val="0"/>
        <w:widowControl/>
        <w:spacing w:line="274" w:lineRule="auto" w:before="170" w:after="0"/>
        <w:ind w:left="1440" w:right="1440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As no drought impact data was available in the regions, the thresholds were set primarily based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on historical activation rates/return period level calculations. The threshold was finally set to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activate only if the seasonal rainfall was forecasted to be at least a 1 in 4 year return period level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deficit at any lead time. The calculated thresholds based on the 4 year return period levels are </w:t>
      </w:r>
      <w:r>
        <w:rPr>
          <w:rFonts w:ascii="Roboto" w:hAnsi="Roboto" w:eastAsia="Roboto"/>
          <w:b w:val="0"/>
          <w:i w:val="0"/>
          <w:color w:val="000000"/>
          <w:sz w:val="22"/>
        </w:rPr>
        <w:t>presented below in tables 3 and 4 for the Primera and Postrera season, respectively.</w:t>
      </w:r>
    </w:p>
    <w:p>
      <w:pPr>
        <w:autoSpaceDN w:val="0"/>
        <w:autoSpaceDE w:val="0"/>
        <w:widowControl/>
        <w:spacing w:line="240" w:lineRule="auto" w:before="3652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6"/>
        </w:rPr>
        <w:t>Page 6 of 10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564" w:after="0"/>
        <w:ind w:left="154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Table 3. Primera Thresholds</w:t>
      </w:r>
    </w:p>
    <w:p>
      <w:pPr>
        <w:autoSpaceDN w:val="0"/>
        <w:autoSpaceDE w:val="0"/>
        <w:widowControl/>
        <w:spacing w:line="240" w:lineRule="auto" w:before="2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8980" cy="320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2" w:after="0"/>
        <w:ind w:left="154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Table 4. Postrera Thresholds</w:t>
      </w:r>
    </w:p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8980" cy="2819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281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3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6"/>
        </w:rPr>
        <w:t>Page 7 of 10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1444" w:after="0"/>
        <w:ind w:left="144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analytical method for historical analysis/thresholding can be conceptualized as two steps: </w:t>
      </w:r>
      <w:r>
        <w:rPr>
          <w:rFonts w:ascii="Roboto" w:hAnsi="Roboto" w:eastAsia="Roboto"/>
          <w:b w:val="0"/>
          <w:i w:val="0"/>
          <w:color w:val="000000"/>
          <w:sz w:val="22"/>
        </w:rPr>
        <w:t>1. Data aggregation, 2. Return period/activation rate calculation &amp; bias correction.</w:t>
      </w:r>
    </w:p>
    <w:p>
      <w:pPr>
        <w:autoSpaceDN w:val="0"/>
        <w:autoSpaceDE w:val="0"/>
        <w:widowControl/>
        <w:spacing w:line="240" w:lineRule="auto" w:before="366" w:after="0"/>
        <w:ind w:left="1440" w:right="0" w:firstLine="0"/>
        <w:jc w:val="left"/>
      </w:pPr>
      <w:r>
        <w:rPr>
          <w:rFonts w:ascii="Roboto" w:hAnsi="Roboto" w:eastAsia="Roboto"/>
          <w:b w:val="0"/>
          <w:i/>
          <w:color w:val="666666"/>
          <w:sz w:val="22"/>
        </w:rPr>
        <w:t>Aggregation</w:t>
      </w:r>
    </w:p>
    <w:p>
      <w:pPr>
        <w:autoSpaceDN w:val="0"/>
        <w:autoSpaceDE w:val="0"/>
        <w:widowControl/>
        <w:spacing w:line="276" w:lineRule="auto" w:before="126" w:after="0"/>
        <w:ind w:left="1440" w:right="1446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Thresholds were designed using ECMWF SEAS5 seasonal precipitation forecast from the public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Copernicus Data Store &amp; MARS catalog as well as the national seasonal precipitation forecast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for Guatemala provided by INSIVUMEH . All available historical forecast data from 1981-2022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was downloaded and processed for historical analyses. The data was downloaded as monthly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precipitation rate estimates over the area of interest, for each month the mean of the 51 </w:t>
      </w:r>
      <w:r>
        <w:rPr>
          <w:rFonts w:ascii="Roboto" w:hAnsi="Roboto" w:eastAsia="Roboto"/>
          <w:b w:val="0"/>
          <w:i w:val="0"/>
          <w:color w:val="000000"/>
          <w:sz w:val="22"/>
        </w:rPr>
        <w:t>ensemble members was calculated at the pixel level to obtain 1 raster per month.</w:t>
      </w:r>
    </w:p>
    <w:p>
      <w:pPr>
        <w:autoSpaceDN w:val="0"/>
        <w:tabs>
          <w:tab w:pos="6700" w:val="left"/>
        </w:tabs>
        <w:autoSpaceDE w:val="0"/>
        <w:widowControl/>
        <w:spacing w:line="274" w:lineRule="auto" w:before="350" w:after="0"/>
        <w:ind w:left="144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average monthly precipitation was then extracted for every month and lead time for each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country by an area-weighted mean statistic. The zonal mean statistic was chosen as the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aggregation method for simplification purposes.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monthly zonal statistics were then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aggregated temporally to the seasonal windows (MJJA &amp; SON) for each lead time combination </w:t>
      </w:r>
      <w:r>
        <w:rPr>
          <w:rFonts w:ascii="Roboto" w:hAnsi="Roboto" w:eastAsia="Roboto"/>
          <w:b w:val="0"/>
          <w:i w:val="0"/>
          <w:color w:val="000000"/>
          <w:sz w:val="22"/>
        </w:rPr>
        <w:t>available.</w:t>
      </w:r>
    </w:p>
    <w:p>
      <w:pPr>
        <w:autoSpaceDN w:val="0"/>
        <w:autoSpaceDE w:val="0"/>
        <w:widowControl/>
        <w:spacing w:line="240" w:lineRule="auto" w:before="366" w:after="0"/>
        <w:ind w:left="1440" w:right="0" w:firstLine="0"/>
        <w:jc w:val="left"/>
      </w:pPr>
      <w:r>
        <w:rPr>
          <w:rFonts w:ascii="Roboto" w:hAnsi="Roboto" w:eastAsia="Roboto"/>
          <w:b w:val="0"/>
          <w:i/>
          <w:color w:val="666666"/>
          <w:sz w:val="22"/>
        </w:rPr>
        <w:t>Threshold Setting &amp; Bias Correction</w:t>
      </w:r>
    </w:p>
    <w:p>
      <w:pPr>
        <w:autoSpaceDN w:val="0"/>
        <w:tabs>
          <w:tab w:pos="2390" w:val="left"/>
          <w:tab w:pos="10546" w:val="left"/>
        </w:tabs>
        <w:autoSpaceDE w:val="0"/>
        <w:widowControl/>
        <w:spacing w:line="276" w:lineRule="auto" w:before="126" w:after="0"/>
        <w:ind w:left="144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From the yearly historical data, the 25th percentile (1 in 4 year RP level) was calculated for each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country,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window, and lead time. The percentile calculation was performed at each lead time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separately as different lead times can be biased in a number of ways. For example, across all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four countries of interest, we see that the ECMWF seasonal forecast systematically predicts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lower rainfall quantities at longer lead times during the Primera season (Figure 3).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By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calculating the percentiles for each lead time separately we ensure equal probability across all </w:t>
      </w:r>
      <w:r>
        <w:rPr>
          <w:rFonts w:ascii="Roboto" w:hAnsi="Roboto" w:eastAsia="Roboto"/>
          <w:b w:val="0"/>
          <w:i w:val="0"/>
          <w:color w:val="000000"/>
          <w:sz w:val="22"/>
        </w:rPr>
        <w:t>relevant forecast publication months.</w:t>
      </w:r>
    </w:p>
    <w:p>
      <w:pPr>
        <w:autoSpaceDN w:val="0"/>
        <w:autoSpaceDE w:val="0"/>
        <w:widowControl/>
        <w:spacing w:line="240" w:lineRule="auto" w:before="5718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6"/>
        </w:rPr>
        <w:t>Page 8 of 10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5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01159" cy="31711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1159" cy="317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6" w:after="0"/>
        <w:ind w:left="1544" w:right="0" w:firstLine="0"/>
        <w:jc w:val="left"/>
      </w:pPr>
      <w:r>
        <w:rPr>
          <w:rFonts w:ascii="Source Sans Pro" w:hAnsi="Source Sans Pro" w:eastAsia="Source Sans Pro"/>
          <w:b w:val="0"/>
          <w:i w:val="0"/>
          <w:color w:val="000000"/>
          <w:sz w:val="20"/>
        </w:rPr>
        <w:t>Figure 3. Forecasted rainfall bias by country and lead time during the primera season (ECMWF Seasonal).</w:t>
      </w:r>
    </w:p>
    <w:p>
      <w:pPr>
        <w:autoSpaceDN w:val="0"/>
        <w:tabs>
          <w:tab w:pos="6838" w:val="left"/>
        </w:tabs>
        <w:autoSpaceDE w:val="0"/>
        <w:widowControl/>
        <w:spacing w:line="278" w:lineRule="auto" w:before="126" w:after="0"/>
        <w:ind w:left="144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It must be noted that by setting a threshold at the 4 year return period level and monitoring each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publication month/lead time independently, the joint probability of activation across any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forecast publication months rises substantially. Additionally, when considering, the probability of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activation across either season (Primera/Postrera)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this joint probability of activation rises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further. These joint activation rates were discussed in the CADC AA Deep dive session led by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CERF &amp; the CHD and were considered in the final decision to choose a 1 in 4 year RP level for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monitoring at each forecast publication date. Table 5 presents the joint activation rate across all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lead times for each season as well as combined activation rates across seasons based on the </w:t>
      </w:r>
      <w:r>
        <w:rPr>
          <w:rFonts w:ascii="Roboto" w:hAnsi="Roboto" w:eastAsia="Roboto"/>
          <w:b w:val="0"/>
          <w:i w:val="0"/>
          <w:color w:val="000000"/>
          <w:sz w:val="22"/>
        </w:rPr>
        <w:t>thresholds and activation points presented in tables 3 &amp; 4.</w:t>
      </w:r>
    </w:p>
    <w:p>
      <w:pPr>
        <w:autoSpaceDN w:val="0"/>
        <w:autoSpaceDE w:val="0"/>
        <w:widowControl/>
        <w:spacing w:line="240" w:lineRule="auto" w:before="166" w:after="0"/>
        <w:ind w:left="154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Table 5. Joint Return Periods/Activation Rates</w:t>
      </w:r>
    </w:p>
    <w:p>
      <w:pPr>
        <w:autoSpaceDN w:val="0"/>
        <w:autoSpaceDE w:val="0"/>
        <w:widowControl/>
        <w:spacing w:line="240" w:lineRule="auto" w:before="256" w:after="0"/>
        <w:ind w:left="15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05499" cy="20866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5499" cy="2086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76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6"/>
        </w:rPr>
        <w:t>Page 9 of 10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6" w:after="0"/>
        <w:ind w:left="1440" w:right="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Observation Indicators Consideration/Exclusion</w:t>
      </w:r>
    </w:p>
    <w:p>
      <w:pPr>
        <w:autoSpaceDN w:val="0"/>
        <w:autoSpaceDE w:val="0"/>
        <w:widowControl/>
        <w:spacing w:line="274" w:lineRule="auto" w:before="170" w:after="0"/>
        <w:ind w:left="1440" w:right="1440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Observational crop/vegetation monitoring with indicators such as Vegetative Health Index (VHI)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&amp; Agricultural Stress Index System (ASIS) were considered, but left out of the framework as data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obtained during the identified critical seasons (as opposed to before) can’t preemptively inform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or support the bulk of AA activities focused on agricultural provided by operational partners </w:t>
      </w:r>
      <w:r>
        <w:rPr>
          <w:rFonts w:ascii="Roboto" w:hAnsi="Roboto" w:eastAsia="Roboto"/>
          <w:b w:val="0"/>
          <w:i w:val="0"/>
          <w:color w:val="000000"/>
          <w:sz w:val="22"/>
        </w:rPr>
        <w:t>which must be implemented before the growing period commences.</w:t>
      </w:r>
    </w:p>
    <w:p>
      <w:pPr>
        <w:autoSpaceDN w:val="0"/>
        <w:tabs>
          <w:tab w:pos="5132" w:val="left"/>
        </w:tabs>
        <w:autoSpaceDE w:val="0"/>
        <w:widowControl/>
        <w:spacing w:line="276" w:lineRule="auto" w:before="350" w:after="0"/>
        <w:ind w:left="144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use of observational vegetative health indicators was initially proposed by the partners in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early iterations of the framework.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After initial investigation of VHI and ASIS by the CHD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according to various framework revisions suggested by FAO, FAO recommended removing ASIS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from consideration as it is meant to be monitored during certain stages of the growing season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which do not align with lead time/operational requirements of the agencies. The use of VHI to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capture pre-existing vulnerabilities and thereby condition triggers was suggested, but a coherent </w:t>
      </w:r>
      <w:r>
        <w:rPr>
          <w:rFonts w:ascii="Roboto" w:hAnsi="Roboto" w:eastAsia="Roboto"/>
          <w:b w:val="0"/>
          <w:i w:val="0"/>
          <w:color w:val="000000"/>
          <w:sz w:val="22"/>
        </w:rPr>
        <w:t>strategy that could align with operational requirements of agencies was not found or adopted.</w:t>
      </w:r>
    </w:p>
    <w:p>
      <w:pPr>
        <w:autoSpaceDN w:val="0"/>
        <w:autoSpaceDE w:val="0"/>
        <w:widowControl/>
        <w:spacing w:line="240" w:lineRule="auto" w:before="406" w:after="0"/>
        <w:ind w:left="1440" w:right="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Areas for Improvement in future iterations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69" w:lineRule="auto" w:before="168" w:after="0"/>
        <w:ind w:left="144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following two potential areas of improvement were identified and may be considered in </w:t>
      </w:r>
      <w:r>
        <w:rPr>
          <w:rFonts w:ascii="Roboto" w:hAnsi="Roboto" w:eastAsia="Roboto"/>
          <w:b w:val="0"/>
          <w:i w:val="0"/>
          <w:color w:val="000000"/>
          <w:sz w:val="22"/>
        </w:rPr>
        <w:t>future iterations of the framework: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Integration of additional national forecast data sources.</w:t>
      </w:r>
    </w:p>
    <w:p>
      <w:pPr>
        <w:autoSpaceDN w:val="0"/>
        <w:tabs>
          <w:tab w:pos="2160" w:val="left"/>
        </w:tabs>
        <w:autoSpaceDE w:val="0"/>
        <w:widowControl/>
        <w:spacing w:line="262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Observational indicators such as VHI could be further explored with key inputs from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partners.</w:t>
      </w:r>
    </w:p>
    <w:p>
      <w:pPr>
        <w:autoSpaceDN w:val="0"/>
        <w:autoSpaceDE w:val="0"/>
        <w:widowControl/>
        <w:spacing w:line="240" w:lineRule="auto" w:before="14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2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100" w:after="0"/>
        <w:ind w:left="144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Contact the OCHA Centre for Humanitarian Data via Zachary Arno, Data Scientist at 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t>zachary.arno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21" w:history="1">
          <w:r>
            <w:rPr>
              <w:rStyle w:val="Hyperlink"/>
            </w:rPr>
            <w:t>@un.org</w:t>
          </w:r>
        </w:hyperlink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 with any questions or feedback.</w:t>
      </w:r>
    </w:p>
    <w:p>
      <w:pPr>
        <w:autoSpaceDN w:val="0"/>
        <w:autoSpaceDE w:val="0"/>
        <w:widowControl/>
        <w:spacing w:line="240" w:lineRule="auto" w:before="4650" w:after="0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6"/>
        </w:rPr>
        <w:t>Page 10 of 10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github.com/OCHA-DAP/ds-aa-lac-dry-corridor" TargetMode="External"/><Relationship Id="rId14" Type="http://schemas.openxmlformats.org/officeDocument/2006/relationships/hyperlink" Target="https://cds.climate.copernicus.eu/cdsapp#!/dataset/seasonal-original-single-levels?tab=form" TargetMode="External"/><Relationship Id="rId15" Type="http://schemas.openxmlformats.org/officeDocument/2006/relationships/hyperlink" Target="https://www.ecmwf.int/en/forecasts/access-forecasts/access-archive-datasets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hyperlink" Target="mailto:leonardo.milano@u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