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78"/>
        <w:ind w:left="0" w:right="0"/>
      </w:pPr>
    </w:p>
    <w:p>
      <w:pPr>
        <w:autoSpaceDN w:val="0"/>
        <w:autoSpaceDE w:val="0"/>
        <w:widowControl/>
        <w:spacing w:line="262" w:lineRule="exact" w:before="0" w:after="434"/>
        <w:ind w:left="2592" w:right="259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 xml:space="preserve">UNITED STATES DISTRICT COURT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>FOR THE DISTRICT OF COLUMBIA</w:t>
      </w:r>
    </w:p>
    <w:p>
      <w:pPr>
        <w:sectPr>
          <w:pgSz w:w="12240" w:h="15840"/>
          <w:pgMar w:top="1100" w:right="1440" w:bottom="1084" w:left="142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74"/>
      </w:tblGrid>
      <w:tr>
        <w:trPr>
          <w:trHeight w:hRule="exact" w:val="2870"/>
        </w:trPr>
        <w:tc>
          <w:tcPr>
            <w:tcW w:type="dxa" w:w="4598"/>
            <w:tcBorders>
              <w:start w:sz="6.399999999999977" w:val="single" w:color="#000000"/>
              <w:top w:sz="6.399999999999864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598"/>
            </w:tblGrid>
            <w:tr>
              <w:trPr>
                <w:trHeight w:hRule="exact" w:val="2794"/>
              </w:trPr>
              <w:tc>
                <w:tcPr>
                  <w:tcW w:type="dxa" w:w="4522"/>
                  <w:tcBorders>
                    <w:start w:sz="6.399999999999977" w:val="single" w:color="#000000"/>
                    <w:top w:sz="7.2000000000000455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84" w:val="left"/>
                      <w:tab w:pos="2284" w:val="left"/>
                    </w:tabs>
                    <w:autoSpaceDE w:val="0"/>
                    <w:widowControl/>
                    <w:spacing w:line="510" w:lineRule="exact" w:before="0" w:after="0"/>
                    <w:ind w:left="124" w:right="1296" w:firstLine="0"/>
                    <w:jc w:val="left"/>
                  </w:pPr>
                  <w:r>
                    <w:rPr>
                      <w:rFonts w:ascii="TimesNewRoman,Bold" w:hAnsi="TimesNewRoman,Bold" w:eastAsia="TimesNewRoman,Bold"/>
                      <w:b/>
                      <w:i w:val="0"/>
                      <w:color w:val="000000"/>
                      <w:sz w:val="24"/>
                    </w:rPr>
                    <w:t xml:space="preserve">SAMUEL MURRAY,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,Bold" w:hAnsi="TimesNewRoman,Bold" w:eastAsia="TimesNewRoman,Bold"/>
                      <w:b/>
                      <w:i w:val="0"/>
                      <w:color w:val="000000"/>
                      <w:sz w:val="24"/>
                    </w:rPr>
                    <w:t xml:space="preserve">Plaintiff, </w:t>
                  </w:r>
                  <w:r>
                    <w:rPr>
                      <w:rFonts w:ascii="TimesNewRoman,Bold" w:hAnsi="TimesNewRoman,Bold" w:eastAsia="TimesNewRoman,Bold"/>
                      <w:b/>
                      <w:i w:val="0"/>
                      <w:color w:val="000000"/>
                      <w:sz w:val="24"/>
                    </w:rPr>
                    <w:t>v.</w:t>
                  </w:r>
                </w:p>
                <w:p>
                  <w:pPr>
                    <w:autoSpaceDN w:val="0"/>
                    <w:tabs>
                      <w:tab w:pos="2284" w:val="left"/>
                    </w:tabs>
                    <w:autoSpaceDE w:val="0"/>
                    <w:widowControl/>
                    <w:spacing w:line="566" w:lineRule="exact" w:before="6" w:after="0"/>
                    <w:ind w:left="124" w:right="720" w:firstLine="0"/>
                    <w:jc w:val="left"/>
                  </w:pPr>
                  <w:r>
                    <w:rPr>
                      <w:rFonts w:ascii="TimesNewRoman,Bold" w:hAnsi="TimesNewRoman,Bold" w:eastAsia="TimesNewRoman,Bold"/>
                      <w:b/>
                      <w:i w:val="0"/>
                      <w:color w:val="000000"/>
                      <w:sz w:val="24"/>
                    </w:rPr>
                    <w:t xml:space="preserve">DISTRICT OF COLUMBIA et al., </w:t>
                  </w:r>
                  <w:r>
                    <w:rPr>
                      <w:rFonts w:ascii="TimesNewRoman,Bold" w:hAnsi="TimesNewRoman,Bold" w:eastAsia="TimesNewRoman,Bold"/>
                      <w:b/>
                      <w:i w:val="0"/>
                      <w:color w:val="000000"/>
                      <w:sz w:val="24"/>
                    </w:rPr>
                    <w:t>Defendants.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1100" w:right="1440" w:bottom="1084" w:left="1426" w:header="720" w:footer="720" w:gutter="0"/>
          <w:cols w:num="2" w:equalWidth="0">
            <w:col w:w="4736" w:space="0"/>
            <w:col w:w="46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exact" w:before="0" w:after="2026"/>
        <w:ind w:left="12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>Civil Action 06-02013  (HHK)</w:t>
      </w:r>
    </w:p>
    <w:p>
      <w:pPr>
        <w:sectPr>
          <w:type w:val="nextColumn"/>
          <w:pgSz w:w="12240" w:h="15840"/>
          <w:pgMar w:top="1100" w:right="1440" w:bottom="1084" w:left="1426" w:header="720" w:footer="720" w:gutter="0"/>
          <w:cols w:num="2" w:equalWidth="0">
            <w:col w:w="4736" w:space="0"/>
            <w:col w:w="4638" w:space="0"/>
          </w:cols>
          <w:docGrid w:linePitch="360"/>
        </w:sectPr>
      </w:pPr>
    </w:p>
    <w:p>
      <w:pPr>
        <w:autoSpaceDN w:val="0"/>
        <w:tabs>
          <w:tab w:pos="734" w:val="left"/>
          <w:tab w:pos="2692" w:val="left"/>
          <w:tab w:pos="3750" w:val="left"/>
        </w:tabs>
        <w:autoSpaceDE w:val="0"/>
        <w:widowControl/>
        <w:spacing w:line="520" w:lineRule="exact" w:before="0" w:after="0"/>
        <w:ind w:left="14" w:right="288" w:firstLine="0"/>
        <w:jc w:val="left"/>
      </w:pPr>
      <w:r>
        <w:tab/>
      </w: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 xml:space="preserve">MEMORANDUM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Samuel Murray, a District of Columbia employee in the Department of Youth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Rehabilitation Services (“Department”), brings this action against the District of Columbia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(“District”), and Monica Bennet (“Bennet”), a supervisor in the Department.   Murray claims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that Bennet sexually harassed him and that he was subjected to retaliation. Murray, proceeding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pro se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,  purports to base his claims on the “CIUVIL (sic) RIGHTS ACT OF 1966, AS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AMENDED.” Complaint 1.    Before the court is the District’s motion to dismiss or, in the </w:t>
      </w:r>
      <w:r>
        <w:rPr>
          <w:rFonts w:ascii="TimesNewRoman" w:hAnsi="TimesNewRoman" w:eastAsia="TimesNewRoman"/>
          <w:b w:val="0"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566" w:lineRule="exact" w:before="0" w:after="1368"/>
        <w:ind w:left="14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alternative, for summary judgment (#21).  Upon consideration of the motion and the record of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this case, the court concludes that the motion must be granted.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4687"/>
        <w:gridCol w:w="4687"/>
      </w:tblGrid>
      <w:tr>
        <w:trPr>
          <w:trHeight w:hRule="exact" w:val="538"/>
        </w:trPr>
        <w:tc>
          <w:tcPr>
            <w:tcW w:type="dxa" w:w="110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2" w:after="0"/>
              <w:ind w:left="0" w:right="31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816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3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It is apparent that Murray grounds his claims on Title VII of the Civil Rights Act</w:t>
            </w:r>
          </w:p>
        </w:tc>
      </w:tr>
    </w:tbl>
    <w:p>
      <w:pPr>
        <w:autoSpaceDN w:val="0"/>
        <w:autoSpaceDE w:val="0"/>
        <w:widowControl/>
        <w:spacing w:line="240" w:lineRule="exact" w:before="12" w:after="0"/>
        <w:ind w:left="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of 1964, as amended 42 U.S.C. § 2000e-16(a)(“Title VII”). </w:t>
      </w:r>
    </w:p>
    <w:p>
      <w:pPr>
        <w:sectPr>
          <w:type w:val="continuous"/>
          <w:pgSz w:w="12240" w:h="15840"/>
          <w:pgMar w:top="1100" w:right="1440" w:bottom="1084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 xml:space="preserve">I. </w:t>
      </w:r>
    </w:p>
    <w:p>
      <w:pPr>
        <w:autoSpaceDN w:val="0"/>
        <w:autoSpaceDE w:val="0"/>
        <w:widowControl/>
        <w:spacing w:line="566" w:lineRule="exact" w:before="0" w:after="0"/>
        <w:ind w:left="0" w:right="144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Murray, a driver in the Transportation Unit of the Department,  claims that Bennet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sexually harassed  him. According to the complaint,“in February 2002, during [Murray’s] first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week of employment at [the Department][he] had a conversation with Monica Bennet,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Supervisor,  in which Supervisor Bennet expressed negative perceptions of men and general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animosity towards men.”  Complaint 2.  When Murray reported Bennet’s comments he was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immediately reassigned so that he no longer reported to her.  Thereafter, however, Murray had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several unpleasant contacts and experiences with Bennet.  For example, in April 2002, Murray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was assigned a task by Bennet and was told that the task could be completed at a later time.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When, Murray was unable to complete the task immediately, however, “Bennet issued Murray a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written  warning for insubordination.” Id.  On another occasion, although Murray had been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approved leave, Bennet nevertheless “wrote Murray up” for taking leave without approval.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On yet another occasion, Bennet made graphic sexual comments to Murray when he was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standing near three other male employees. According to Murray, Bennet used sexually explicit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language when she described her interpretation of the definition of the term “pimp juice” which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was written down the leg of his pants.  Bennet then “proceeded to assault  [Murray ] during the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incident, stroking [his] leg, hip, and buttocks region as she spoke with [Murray] in a sexual and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seductive manner.” Id at 4.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According to Murray, he reported these incidents to persons in authority at the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Department and wrote a letter to the Mayor’s Office, but nothing was done.  Instead Bennet  was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allowed to do various things which Murray charges were a form of retaliation for his having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made a complaint against her. </w:t>
      </w:r>
    </w:p>
    <w:p>
      <w:pPr>
        <w:autoSpaceDN w:val="0"/>
        <w:autoSpaceDE w:val="0"/>
        <w:widowControl/>
        <w:spacing w:line="240" w:lineRule="exact" w:before="54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740" w:right="1440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4586" w:firstLine="0"/>
        <w:jc w:val="right"/>
      </w:pP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 xml:space="preserve">II. </w:t>
      </w:r>
    </w:p>
    <w:p>
      <w:pPr>
        <w:autoSpaceDN w:val="0"/>
        <w:tabs>
          <w:tab w:pos="720" w:val="left"/>
        </w:tabs>
        <w:autoSpaceDE w:val="0"/>
        <w:widowControl/>
        <w:spacing w:line="566" w:lineRule="exact" w:before="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Exhaustion of Administrative Remedies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The district moves to dismiss this case on the grounds that Murray has failed to allege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that he has exhausted his administrative remedies. Reciting familiar legal principles, the District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correctly points out that a non-federal employee complaining of a violation of Title VII must first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file an administrative charge with the EEOC and allow the agency enough time to act on the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charge.  Only after the EEOC has notified the claimant of its decision to dismiss the charge , or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its  inability to timely file a civil action, can the claimant bring a lawsuit  himself. </w:t>
      </w:r>
    </w:p>
    <w:p>
      <w:pPr>
        <w:autoSpaceDN w:val="0"/>
        <w:autoSpaceDE w:val="0"/>
        <w:widowControl/>
        <w:spacing w:line="566" w:lineRule="exact" w:before="0" w:after="0"/>
        <w:ind w:left="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If a Title VII plaintiff  fails to allege that he has exhausted  his administrative remedies, the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proper course is to dismiss the plaintiff’s claim without prejudice. 2006 WL 1825796 (D.D.C).</w:t>
      </w:r>
    </w:p>
    <w:p>
      <w:pPr>
        <w:autoSpaceDN w:val="0"/>
        <w:autoSpaceDE w:val="0"/>
        <w:widowControl/>
        <w:spacing w:line="566" w:lineRule="exact" w:before="2" w:after="0"/>
        <w:ind w:left="0" w:right="288" w:firstLine="72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Here, Murray neither has alleged that he exhausted his administrative remedies nor, in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response to the instant motion, asserted that he has done so.  Accordingly, Murray’s complaint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against the District is dismissed without prejudice. </w:t>
      </w:r>
    </w:p>
    <w:p>
      <w:pPr>
        <w:autoSpaceDN w:val="0"/>
        <w:tabs>
          <w:tab w:pos="720" w:val="left"/>
        </w:tabs>
        <w:autoSpaceDE w:val="0"/>
        <w:widowControl/>
        <w:spacing w:line="566" w:lineRule="exact" w:before="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Vicarious liability of Bennet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Title II prohibits acts of discrimination by an “employer” and makes a clear distinction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between “persons” and “employers.” 42 U.S.C.§ 2000e-2(a).  The significance of this distinction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for Murray is that he is unable to maintain a Title VII action against Bennet in her individual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capacity. 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Gary v Long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, 59 F3d 1391, 1399(D.C. Cir.), cert.  denied, 516 U.S. 1011,133 L.Ed. 2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493, 116 S.Ct. 569 (1995). </w:t>
      </w:r>
    </w:p>
    <w:p>
      <w:pPr>
        <w:autoSpaceDN w:val="0"/>
        <w:autoSpaceDE w:val="0"/>
        <w:widowControl/>
        <w:spacing w:line="240" w:lineRule="exact" w:before="223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740" w:right="1440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8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>III.</w:t>
      </w:r>
    </w:p>
    <w:p>
      <w:pPr>
        <w:autoSpaceDN w:val="0"/>
        <w:tabs>
          <w:tab w:pos="720" w:val="left"/>
        </w:tabs>
        <w:autoSpaceDE w:val="0"/>
        <w:widowControl/>
        <w:spacing w:line="564" w:lineRule="exact" w:before="0" w:after="0"/>
        <w:ind w:left="0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For the above stated reasons this action is dismissed against the District without prejudice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and dismissed against Bennet with prejudice. </w:t>
      </w:r>
    </w:p>
    <w:p>
      <w:pPr>
        <w:autoSpaceDN w:val="0"/>
        <w:autoSpaceDE w:val="0"/>
        <w:widowControl/>
        <w:spacing w:line="240" w:lineRule="exact" w:before="326" w:after="0"/>
        <w:ind w:left="72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An appropriate order accompanies this memorandum.</w:t>
      </w:r>
    </w:p>
    <w:p>
      <w:pPr>
        <w:autoSpaceDN w:val="0"/>
        <w:autoSpaceDE w:val="0"/>
        <w:widowControl/>
        <w:spacing w:line="240" w:lineRule="exact" w:before="894" w:after="0"/>
        <w:ind w:left="0" w:right="2164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Henry H. Kennedy, Jr.</w:t>
      </w:r>
    </w:p>
    <w:p>
      <w:pPr>
        <w:autoSpaceDN w:val="0"/>
        <w:autoSpaceDE w:val="0"/>
        <w:widowControl/>
        <w:spacing w:line="240" w:lineRule="exact" w:before="42" w:after="0"/>
        <w:ind w:left="0" w:right="1634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United States District Judge</w:t>
      </w:r>
    </w:p>
    <w:p>
      <w:pPr>
        <w:autoSpaceDN w:val="0"/>
        <w:autoSpaceDE w:val="0"/>
        <w:widowControl/>
        <w:spacing w:line="240" w:lineRule="exact" w:before="932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>4</w:t>
      </w:r>
    </w:p>
    <w:sectPr w:rsidR="00FC693F" w:rsidRPr="0006063C" w:rsidSect="00034616">
      <w:pgSz w:w="12240" w:h="15840"/>
      <w:pgMar w:top="740" w:right="1440" w:bottom="72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