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80" w:lineRule="exact" w:before="0" w:after="0"/>
        <w:ind w:left="0" w:right="0"/>
      </w:pPr>
    </w:p>
    <w:p>
      <w:pPr>
        <w:autoSpaceDN w:val="0"/>
        <w:autoSpaceDE w:val="0"/>
        <w:widowControl/>
        <w:spacing w:line="492" w:lineRule="exact" w:before="1058" w:after="0"/>
        <w:ind w:left="1780" w:right="2160" w:firstLine="1728"/>
        <w:jc w:val="both"/>
      </w:pP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MR. KUBARYCH:  Thanks very much.  I'm very </w:t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delighted to have a chance to be here.  The Commission </w:t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has a tremendous depth of experience, and any number of </w:t>
      </w:r>
      <w:r>
        <w:rPr>
          <w:rFonts w:ascii="Courier" w:hAnsi="Courier" w:eastAsia="Courier"/>
          <w:b w:val="0"/>
          <w:i w:val="0"/>
          <w:color w:val="000000"/>
          <w:sz w:val="24"/>
        </w:rPr>
        <w:t>you could make my remarks better than me.</w:t>
      </w:r>
    </w:p>
    <w:p>
      <w:pPr>
        <w:autoSpaceDN w:val="0"/>
        <w:autoSpaceDE w:val="0"/>
        <w:widowControl/>
        <w:spacing w:line="492" w:lineRule="exact" w:before="0" w:after="130"/>
        <w:ind w:left="1780" w:right="2150" w:firstLine="1728"/>
        <w:jc w:val="both"/>
      </w:pP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So I'd like to focus a little bit on maybe a </w:t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little comparative advantage.  For the last 12 years with </w:t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my friend and partner, Henry Kaufman, we've been managing </w:t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money for large foreign institutions, as well as domestic </w:t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institutions, and you learn a little bit about the </w:t>
      </w:r>
      <w:r>
        <w:rPr>
          <w:rFonts w:ascii="Courier" w:hAnsi="Courier" w:eastAsia="Courier"/>
          <w:b w:val="0"/>
          <w:i w:val="0"/>
          <w:color w:val="000000"/>
          <w:sz w:val="24"/>
        </w:rPr>
        <w:t>thinking of at least some of the larger foreign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80.0" w:type="dxa"/>
      </w:tblPr>
      <w:tblGrid>
        <w:gridCol w:w="2372"/>
        <w:gridCol w:w="2372"/>
        <w:gridCol w:w="2372"/>
        <w:gridCol w:w="2372"/>
        <w:gridCol w:w="2372"/>
      </w:tblGrid>
      <w:tr>
        <w:trPr>
          <w:trHeight w:hRule="exact" w:val="420"/>
        </w:trPr>
        <w:tc>
          <w:tcPr>
            <w:tcW w:type="dxa" w:w="2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60" w:after="0"/>
              <w:ind w:left="0" w:right="116" w:firstLine="0"/>
              <w:jc w:val="right"/>
            </w:pPr>
            <w:r>
              <w:rPr>
                <w:rFonts w:ascii="Courier" w:hAnsi="Courier" w:eastAsia="Courier"/>
                <w:b w:val="0"/>
                <w:i w:val="0"/>
                <w:color w:val="000000"/>
                <w:sz w:val="24"/>
              </w:rPr>
              <w:t xml:space="preserve">investors,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60" w:after="0"/>
              <w:ind w:left="0" w:right="0" w:firstLine="0"/>
              <w:jc w:val="center"/>
            </w:pPr>
            <w:r>
              <w:rPr>
                <w:rFonts w:ascii="Courier" w:hAnsi="Courier" w:eastAsia="Courier"/>
                <w:b w:val="0"/>
                <w:i w:val="0"/>
                <w:color w:val="000000"/>
                <w:sz w:val="24"/>
              </w:rPr>
              <w:t xml:space="preserve">including 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60" w:after="0"/>
              <w:ind w:left="0" w:right="0" w:firstLine="0"/>
              <w:jc w:val="center"/>
            </w:pPr>
            <w:r>
              <w:rPr>
                <w:rFonts w:ascii="Courier" w:hAnsi="Courier" w:eastAsia="Courier"/>
                <w:b w:val="0"/>
                <w:i w:val="0"/>
                <w:color w:val="000000"/>
                <w:sz w:val="24"/>
              </w:rPr>
              <w:t xml:space="preserve">investment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60" w:after="0"/>
              <w:ind w:left="0" w:right="0" w:firstLine="0"/>
              <w:jc w:val="center"/>
            </w:pPr>
            <w:r>
              <w:rPr>
                <w:rFonts w:ascii="Courier" w:hAnsi="Courier" w:eastAsia="Courier"/>
                <w:b w:val="0"/>
                <w:i w:val="0"/>
                <w:color w:val="000000"/>
                <w:sz w:val="24"/>
              </w:rPr>
              <w:t xml:space="preserve">funds, 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60" w:after="0"/>
              <w:ind w:left="144" w:right="0" w:firstLine="0"/>
              <w:jc w:val="left"/>
            </w:pPr>
            <w:r>
              <w:rPr>
                <w:rFonts w:ascii="Courier" w:hAnsi="Courier" w:eastAsia="Courier"/>
                <w:b w:val="0"/>
                <w:i w:val="0"/>
                <w:color w:val="000000"/>
                <w:sz w:val="24"/>
              </w:rPr>
              <w:t>insurance</w:t>
            </w:r>
          </w:p>
        </w:tc>
      </w:tr>
    </w:tbl>
    <w:p>
      <w:pPr>
        <w:autoSpaceDN w:val="0"/>
        <w:autoSpaceDE w:val="0"/>
        <w:widowControl/>
        <w:spacing w:line="300" w:lineRule="exact" w:before="134" w:after="0"/>
        <w:ind w:left="1780" w:right="0" w:firstLine="0"/>
        <w:jc w:val="left"/>
      </w:pPr>
      <w:r>
        <w:rPr>
          <w:rFonts w:ascii="Courier" w:hAnsi="Courier" w:eastAsia="Courier"/>
          <w:b w:val="0"/>
          <w:i w:val="0"/>
          <w:color w:val="000000"/>
          <w:sz w:val="24"/>
        </w:rPr>
        <w:t>companies, banks, and so on.</w:t>
      </w:r>
    </w:p>
    <w:p>
      <w:pPr>
        <w:autoSpaceDN w:val="0"/>
        <w:autoSpaceDE w:val="0"/>
        <w:widowControl/>
        <w:spacing w:line="492" w:lineRule="exact" w:before="0" w:after="0"/>
        <w:ind w:left="1780" w:right="2150" w:firstLine="1728"/>
        <w:jc w:val="both"/>
      </w:pP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I would agree that for the time being this </w:t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is not an issue to cause high anxiety, and I think that </w:t>
      </w:r>
      <w:r>
        <w:rPr>
          <w:rFonts w:ascii="Courier" w:hAnsi="Courier" w:eastAsia="Courier"/>
          <w:b w:val="0"/>
          <w:i w:val="0"/>
          <w:color w:val="000000"/>
          <w:sz w:val="24"/>
        </w:rPr>
        <w:t>the reasons are straightforward.  You asked the question:</w:t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 Why are foreign markets so attractive.  Why are U.S. </w:t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markets so attractive to foreign investors?  And the </w:t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answer is for the same reason that they're attracted to </w:t>
      </w:r>
      <w:r>
        <w:rPr>
          <w:rFonts w:ascii="Courier" w:hAnsi="Courier" w:eastAsia="Courier"/>
          <w:b w:val="0"/>
          <w:i w:val="0"/>
          <w:color w:val="000000"/>
          <w:sz w:val="24"/>
        </w:rPr>
        <w:t>Americans.</w:t>
      </w:r>
    </w:p>
    <w:p>
      <w:pPr>
        <w:autoSpaceDN w:val="0"/>
        <w:autoSpaceDE w:val="0"/>
        <w:widowControl/>
        <w:spacing w:line="490" w:lineRule="exact" w:before="0" w:after="0"/>
        <w:ind w:left="1780" w:right="2154" w:firstLine="1728"/>
        <w:jc w:val="both"/>
      </w:pP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The economic data are terrific.  The high </w:t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tech boom has had a kind of halo effect that has dazzled </w:t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people so that they do not pay as much attention to </w:t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longer-term vulnerabilities, and there's a broader </w:t>
      </w:r>
      <w:r>
        <w:rPr>
          <w:rFonts w:ascii="Courier" w:hAnsi="Courier" w:eastAsia="Courier"/>
          <w:b w:val="0"/>
          <w:i w:val="0"/>
          <w:color w:val="000000"/>
          <w:sz w:val="24"/>
        </w:rPr>
        <w:t>dimension as well.</w:t>
      </w:r>
    </w:p>
    <w:p>
      <w:pPr>
        <w:autoSpaceDN w:val="0"/>
        <w:tabs>
          <w:tab w:pos="3508" w:val="left"/>
          <w:tab w:pos="5640" w:val="left"/>
        </w:tabs>
        <w:autoSpaceDE w:val="0"/>
        <w:widowControl/>
        <w:spacing w:line="456" w:lineRule="exact" w:before="36" w:after="0"/>
        <w:ind w:left="1780" w:right="2448" w:firstLine="0"/>
        <w:jc w:val="left"/>
      </w:pPr>
      <w:r>
        <w:tab/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Foreign investors are very impressed, as </w:t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well as Americans, about the broad, almost bipartisan </w:t>
      </w:r>
      <w:r>
        <w:tab/>
      </w:r>
      <w:r>
        <w:tab/>
      </w:r>
      <w:r>
        <w:rPr>
          <w:w w:val="98.4000015258789"/>
          <w:rFonts w:ascii="Times" w:hAnsi="Times" w:eastAsia="Times"/>
          <w:b w:val="0"/>
          <w:i w:val="0"/>
          <w:color w:val="000000"/>
          <w:sz w:val="20"/>
        </w:rPr>
        <w:t>99</w:t>
      </w:r>
    </w:p>
    <w:p>
      <w:pPr>
        <w:sectPr>
          <w:pgSz w:w="12240" w:h="15840"/>
          <w:pgMar w:top="80" w:right="0" w:bottom="0" w:left="3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0" w:lineRule="exact" w:before="0" w:after="0"/>
        <w:ind w:left="0" w:right="0"/>
      </w:pPr>
    </w:p>
    <w:p>
      <w:pPr>
        <w:autoSpaceDN w:val="0"/>
        <w:autoSpaceDE w:val="0"/>
        <w:widowControl/>
        <w:spacing w:line="492" w:lineRule="exact" w:before="1058" w:after="0"/>
        <w:ind w:left="1780" w:right="2160" w:firstLine="0"/>
        <w:jc w:val="left"/>
      </w:pP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consensus about a number of positive factors in 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organizing economic policy.  One is a commitment to </w:t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fiscal discipline.  One can argue about the exact shape </w:t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of that fiscal policy, but certainly we have at least </w:t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the most disciplined approach to fiscal policy we've </w:t>
      </w:r>
      <w:r>
        <w:rPr>
          <w:rFonts w:ascii="Courier" w:hAnsi="Courier" w:eastAsia="Courier"/>
          <w:b w:val="0"/>
          <w:i w:val="0"/>
          <w:color w:val="000000"/>
          <w:sz w:val="24"/>
        </w:rPr>
        <w:t>ever had.</w:t>
      </w:r>
    </w:p>
    <w:p>
      <w:pPr>
        <w:autoSpaceDN w:val="0"/>
        <w:autoSpaceDE w:val="0"/>
        <w:widowControl/>
        <w:spacing w:line="490" w:lineRule="exact" w:before="0" w:after="0"/>
        <w:ind w:left="1780" w:right="2160" w:firstLine="1728"/>
        <w:jc w:val="both"/>
      </w:pP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Another is an independent Central Bank that </w:t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is fully pursuing monetary policy on a professional and </w:t>
      </w:r>
      <w:r>
        <w:rPr>
          <w:rFonts w:ascii="Courier" w:hAnsi="Courier" w:eastAsia="Courier"/>
          <w:b w:val="0"/>
          <w:i w:val="0"/>
          <w:color w:val="000000"/>
          <w:sz w:val="24"/>
        </w:rPr>
        <w:t>highly operationally competent basis.</w:t>
      </w:r>
    </w:p>
    <w:p>
      <w:pPr>
        <w:autoSpaceDN w:val="0"/>
        <w:autoSpaceDE w:val="0"/>
        <w:widowControl/>
        <w:spacing w:line="492" w:lineRule="exact" w:before="0" w:after="0"/>
        <w:ind w:left="1780" w:right="2736" w:firstLine="1728"/>
        <w:jc w:val="left"/>
      </w:pP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Also important is our philosophical </w:t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commitment to open markets and an enterprise driven </w:t>
      </w:r>
      <w:r>
        <w:rPr>
          <w:rFonts w:ascii="Courier" w:hAnsi="Courier" w:eastAsia="Courier"/>
          <w:b w:val="0"/>
          <w:i w:val="0"/>
          <w:color w:val="000000"/>
          <w:sz w:val="24"/>
        </w:rPr>
        <w:t>economy, which is also bipartisan.</w:t>
      </w:r>
    </w:p>
    <w:p>
      <w:pPr>
        <w:autoSpaceDN w:val="0"/>
        <w:autoSpaceDE w:val="0"/>
        <w:widowControl/>
        <w:spacing w:line="490" w:lineRule="exact" w:before="0" w:after="0"/>
        <w:ind w:left="1780" w:right="2160" w:firstLine="1728"/>
        <w:jc w:val="left"/>
      </w:pP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And a further strength is that the American </w:t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model is not doctrinaire.  We have a belief in the </w:t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benefits of a powerful infrastructure of law, of 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official regulation, and self-policing by market 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24"/>
        </w:rPr>
        <w:t>participants, and this is admired by foreign investors.</w:t>
      </w:r>
    </w:p>
    <w:p>
      <w:pPr>
        <w:autoSpaceDN w:val="0"/>
        <w:autoSpaceDE w:val="0"/>
        <w:widowControl/>
        <w:spacing w:line="492" w:lineRule="exact" w:before="0" w:after="0"/>
        <w:ind w:left="1780" w:right="2160" w:firstLine="0"/>
        <w:jc w:val="left"/>
      </w:pP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 They don't always have this kind of regulatory 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infrastructure themselves.  Where they have invested in </w:t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countries with troubles, they have felt the pain 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stemming from the lack of that legal and regulatory </w:t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infrastructure.  It is an important source of strength </w:t>
      </w:r>
      <w:r>
        <w:rPr>
          <w:rFonts w:ascii="Courier" w:hAnsi="Courier" w:eastAsia="Courier"/>
          <w:b w:val="0"/>
          <w:i w:val="0"/>
          <w:color w:val="000000"/>
          <w:sz w:val="24"/>
        </w:rPr>
        <w:t>for our markets.</w:t>
      </w:r>
    </w:p>
    <w:p>
      <w:pPr>
        <w:autoSpaceDN w:val="0"/>
        <w:tabs>
          <w:tab w:pos="3508" w:val="left"/>
          <w:tab w:pos="5592" w:val="left"/>
        </w:tabs>
        <w:autoSpaceDE w:val="0"/>
        <w:widowControl/>
        <w:spacing w:line="466" w:lineRule="exact" w:before="24" w:after="0"/>
        <w:ind w:left="1780" w:right="2160" w:firstLine="0"/>
        <w:jc w:val="left"/>
      </w:pPr>
      <w:r>
        <w:tab/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Now, it's very important to realize that </w:t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foreign investors have not been aggressively in the </w:t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mainstream of investing in the U.S. stock market.  They </w:t>
      </w:r>
      <w:r>
        <w:tab/>
      </w:r>
      <w:r>
        <w:tab/>
      </w:r>
      <w:r>
        <w:rPr>
          <w:w w:val="98.4000015258789"/>
          <w:rFonts w:ascii="Times" w:hAnsi="Times" w:eastAsia="Times"/>
          <w:b w:val="0"/>
          <w:i w:val="0"/>
          <w:color w:val="000000"/>
          <w:sz w:val="20"/>
        </w:rPr>
        <w:t>100</w:t>
      </w:r>
    </w:p>
    <w:p>
      <w:pPr>
        <w:sectPr>
          <w:pgSz w:w="12240" w:h="15840"/>
          <w:pgMar w:top="80" w:right="0" w:bottom="0" w:left="3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0" w:lineRule="exact" w:before="0" w:after="0"/>
        <w:ind w:left="0" w:right="0"/>
      </w:pPr>
    </w:p>
    <w:p>
      <w:pPr>
        <w:autoSpaceDN w:val="0"/>
        <w:autoSpaceDE w:val="0"/>
        <w:widowControl/>
        <w:spacing w:line="490" w:lineRule="exact" w:before="1060" w:after="0"/>
        <w:ind w:left="1780" w:right="2304" w:firstLine="0"/>
        <w:jc w:val="left"/>
      </w:pP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have taken part.  They have done well.  Their share of </w:t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U.S. overall equity ownership has drifted up a little </w:t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bit over the last five years, but the bulk of where </w:t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foreign investors matter the most for our financial </w:t>
      </w:r>
      <w:r>
        <w:rPr>
          <w:rFonts w:ascii="Courier" w:hAnsi="Courier" w:eastAsia="Courier"/>
          <w:b w:val="0"/>
          <w:i w:val="0"/>
          <w:color w:val="000000"/>
          <w:sz w:val="24"/>
        </w:rPr>
        <w:t>markets is in the bond market.</w:t>
      </w:r>
    </w:p>
    <w:p>
      <w:pPr>
        <w:autoSpaceDN w:val="0"/>
        <w:autoSpaceDE w:val="0"/>
        <w:widowControl/>
        <w:spacing w:line="490" w:lineRule="exact" w:before="6" w:after="0"/>
        <w:ind w:left="1780" w:right="2160" w:firstLine="1728"/>
        <w:jc w:val="left"/>
      </w:pP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And as a result we now have a situation </w:t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where a trillion dollars of bond investments have been </w:t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made by foreign investors in the last few years.  If </w:t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you take U.S. Treasury obligations, foreign investors </w:t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are now a third of total ownership of U.S. treasury </w:t>
      </w:r>
      <w:r>
        <w:rPr>
          <w:rFonts w:ascii="Courier" w:hAnsi="Courier" w:eastAsia="Courier"/>
          <w:b w:val="0"/>
          <w:i w:val="0"/>
          <w:color w:val="000000"/>
          <w:sz w:val="24"/>
        </w:rPr>
        <w:t>obligations, which is double the ratio of 10 years ago.</w:t>
      </w:r>
    </w:p>
    <w:p>
      <w:pPr>
        <w:autoSpaceDN w:val="0"/>
        <w:autoSpaceDE w:val="0"/>
        <w:widowControl/>
        <w:spacing w:line="490" w:lineRule="exact" w:before="4" w:after="0"/>
        <w:ind w:left="1780" w:right="2160" w:firstLine="1728"/>
        <w:jc w:val="left"/>
      </w:pP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So when you ask; Is foreign investment here </w:t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sustainable, you're really asking about foreign 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investment in our bond markets.  And all of those 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factors really boil down to this:  Are we committed to </w:t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keeping the inflation rate low, making for honest 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24"/>
        </w:rPr>
        <w:t>money, or not?</w:t>
      </w:r>
    </w:p>
    <w:p>
      <w:pPr>
        <w:autoSpaceDN w:val="0"/>
        <w:autoSpaceDE w:val="0"/>
        <w:widowControl/>
        <w:spacing w:line="490" w:lineRule="exact" w:before="0" w:after="0"/>
        <w:ind w:left="1780" w:right="2160" w:firstLine="1728"/>
        <w:jc w:val="left"/>
      </w:pP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And I think that right now foreign 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investors are quite convinced that we are.  And I think </w:t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they'll stay convinced as long as the kind of balance </w:t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in monetary and fiscal policy that Gerry Corrigan just </w:t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talked about is preserved, notwithstanding the fact </w:t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that we do have some opportunities, given the large </w:t>
      </w:r>
      <w:r>
        <w:rPr>
          <w:rFonts w:ascii="Courier" w:hAnsi="Courier" w:eastAsia="Courier"/>
          <w:b w:val="0"/>
          <w:i w:val="0"/>
          <w:color w:val="000000"/>
          <w:sz w:val="24"/>
        </w:rPr>
        <w:t>surplus, to do some things.</w:t>
      </w:r>
    </w:p>
    <w:p>
      <w:pPr>
        <w:autoSpaceDN w:val="0"/>
        <w:tabs>
          <w:tab w:pos="3508" w:val="left"/>
        </w:tabs>
        <w:autoSpaceDE w:val="0"/>
        <w:widowControl/>
        <w:spacing w:line="492" w:lineRule="exact" w:before="0" w:after="0"/>
        <w:ind w:left="1780" w:right="2592" w:firstLine="0"/>
        <w:jc w:val="left"/>
      </w:pPr>
      <w:r>
        <w:tab/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Now, let me finish up with what could go </w:t>
      </w:r>
      <w:r>
        <w:rPr>
          <w:rFonts w:ascii="Courier" w:hAnsi="Courier" w:eastAsia="Courier"/>
          <w:b w:val="0"/>
          <w:i w:val="0"/>
          <w:color w:val="000000"/>
          <w:sz w:val="24"/>
        </w:rPr>
        <w:t>wrong.  Where are the risks?</w:t>
      </w:r>
    </w:p>
    <w:p>
      <w:pPr>
        <w:autoSpaceDN w:val="0"/>
        <w:autoSpaceDE w:val="0"/>
        <w:widowControl/>
        <w:spacing w:line="262" w:lineRule="exact" w:before="154" w:after="0"/>
        <w:ind w:left="0" w:right="5968" w:firstLine="0"/>
        <w:jc w:val="right"/>
      </w:pPr>
      <w:r>
        <w:rPr>
          <w:w w:val="98.4000015258789"/>
          <w:rFonts w:ascii="Times" w:hAnsi="Times" w:eastAsia="Times"/>
          <w:b w:val="0"/>
          <w:i w:val="0"/>
          <w:color w:val="000000"/>
          <w:sz w:val="20"/>
        </w:rPr>
        <w:t>101</w:t>
      </w:r>
    </w:p>
    <w:p>
      <w:pPr>
        <w:sectPr>
          <w:pgSz w:w="12240" w:h="15840"/>
          <w:pgMar w:top="80" w:right="0" w:bottom="0" w:left="3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0" w:lineRule="exact" w:before="0" w:after="0"/>
        <w:ind w:left="0" w:right="0"/>
      </w:pPr>
    </w:p>
    <w:p>
      <w:pPr>
        <w:autoSpaceDN w:val="0"/>
        <w:autoSpaceDE w:val="0"/>
        <w:widowControl/>
        <w:spacing w:line="492" w:lineRule="exact" w:before="1058" w:after="0"/>
        <w:ind w:left="1780" w:right="2160" w:firstLine="1728"/>
        <w:jc w:val="left"/>
      </w:pP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Well, the first risk, because of this halo </w:t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effect that I mentioned, is if the high tech bubble </w:t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should burst.  Now, let me just remind people about one </w:t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of the benefits of getting past 50, as Bob Dugger 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mentioned, is that you have accumulated a little bit of </w:t>
      </w:r>
      <w:r>
        <w:rPr>
          <w:rFonts w:ascii="Courier" w:hAnsi="Courier" w:eastAsia="Courier"/>
          <w:b w:val="0"/>
          <w:i w:val="0"/>
          <w:color w:val="000000"/>
          <w:sz w:val="24"/>
        </w:rPr>
        <w:t>memory of the past.</w:t>
      </w:r>
    </w:p>
    <w:p>
      <w:pPr>
        <w:autoSpaceDN w:val="0"/>
        <w:autoSpaceDE w:val="0"/>
        <w:widowControl/>
        <w:spacing w:line="298" w:lineRule="exact" w:before="190" w:after="0"/>
        <w:ind w:left="0" w:right="2736" w:firstLine="0"/>
        <w:jc w:val="right"/>
      </w:pP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Let me take you back to 1967 and 1968. </w:t>
      </w:r>
    </w:p>
    <w:p>
      <w:pPr>
        <w:autoSpaceDN w:val="0"/>
        <w:autoSpaceDE w:val="0"/>
        <w:widowControl/>
        <w:spacing w:line="490" w:lineRule="exact" w:before="0" w:after="0"/>
        <w:ind w:left="1780" w:right="2592" w:firstLine="0"/>
        <w:jc w:val="left"/>
      </w:pP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This country had a high-tech bubble.  Computer 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companies, technology companies galore reached price </w:t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earnings ratios that are familiar to us now, but we </w:t>
      </w:r>
      <w:r>
        <w:rPr>
          <w:rFonts w:ascii="Courier" w:hAnsi="Courier" w:eastAsia="Courier"/>
          <w:b w:val="0"/>
          <w:i w:val="0"/>
          <w:color w:val="000000"/>
          <w:sz w:val="24"/>
        </w:rPr>
        <w:t>really haven't seen in the meantime.</w:t>
      </w:r>
    </w:p>
    <w:p>
      <w:pPr>
        <w:autoSpaceDN w:val="0"/>
        <w:autoSpaceDE w:val="0"/>
        <w:widowControl/>
        <w:spacing w:line="490" w:lineRule="exact" w:before="4" w:after="0"/>
        <w:ind w:left="1780" w:right="2160" w:firstLine="1728"/>
        <w:jc w:val="left"/>
      </w:pP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Take one company you've all heard of, 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24"/>
        </w:rPr>
        <w:t>Control Data.  It peaked in 1967-1968 at a high of 163.</w:t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 Within two years it had fallen to 28, a decline of 83 </w:t>
      </w:r>
      <w:r>
        <w:rPr>
          <w:rFonts w:ascii="Courier" w:hAnsi="Courier" w:eastAsia="Courier"/>
          <w:b w:val="0"/>
          <w:i w:val="0"/>
          <w:color w:val="000000"/>
          <w:sz w:val="24"/>
        </w:rPr>
        <w:t>percent.</w:t>
      </w:r>
    </w:p>
    <w:p>
      <w:pPr>
        <w:autoSpaceDN w:val="0"/>
        <w:autoSpaceDE w:val="0"/>
        <w:widowControl/>
        <w:spacing w:line="300" w:lineRule="exact" w:before="194" w:after="0"/>
        <w:ind w:left="0" w:right="2304" w:firstLine="0"/>
        <w:jc w:val="right"/>
      </w:pPr>
      <w:r>
        <w:rPr>
          <w:rFonts w:ascii="Courier" w:hAnsi="Courier" w:eastAsia="Courier"/>
          <w:b w:val="0"/>
          <w:i w:val="0"/>
          <w:color w:val="000000"/>
          <w:sz w:val="24"/>
        </w:rPr>
        <w:t>Take another one just for an illustration.</w:t>
      </w:r>
    </w:p>
    <w:p>
      <w:pPr>
        <w:autoSpaceDN w:val="0"/>
        <w:autoSpaceDE w:val="0"/>
        <w:widowControl/>
        <w:spacing w:line="490" w:lineRule="exact" w:before="0" w:after="0"/>
        <w:ind w:left="1780" w:right="2304" w:firstLine="0"/>
        <w:jc w:val="left"/>
      </w:pP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EDS, Electronic Data Systems, which has had quite a </w:t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history ever since, hit a high of $162 a share in that </w:t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period, reached a 1970 low of 24, a decline of 85 </w:t>
      </w:r>
      <w:r>
        <w:rPr>
          <w:rFonts w:ascii="Courier" w:hAnsi="Courier" w:eastAsia="Courier"/>
          <w:b w:val="0"/>
          <w:i w:val="0"/>
          <w:color w:val="000000"/>
          <w:sz w:val="24"/>
        </w:rPr>
        <w:t>percent.</w:t>
      </w:r>
    </w:p>
    <w:p>
      <w:pPr>
        <w:autoSpaceDN w:val="0"/>
        <w:tabs>
          <w:tab w:pos="3508" w:val="left"/>
          <w:tab w:pos="5592" w:val="left"/>
        </w:tabs>
        <w:autoSpaceDE w:val="0"/>
        <w:widowControl/>
        <w:spacing w:line="480" w:lineRule="exact" w:before="10" w:after="0"/>
        <w:ind w:left="1780" w:right="2160" w:firstLine="0"/>
        <w:jc w:val="left"/>
      </w:pPr>
      <w:r>
        <w:tab/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In fact, I have a list of about three dozen </w:t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stocks, very similar in spirit to the kind of stocks </w:t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which have been performing so bubblingly well in recent </w:t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days, where the average decline was 88 percent from the </w:t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peak of 1967-68 to the low point in 1970. (SEE INSERT </w:t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12) </w:t>
      </w:r>
      <w:r>
        <w:br/>
      </w:r>
      <w:r>
        <w:tab/>
      </w:r>
      <w:r>
        <w:tab/>
      </w:r>
      <w:r>
        <w:rPr>
          <w:w w:val="98.4000015258789"/>
          <w:rFonts w:ascii="Times" w:hAnsi="Times" w:eastAsia="Times"/>
          <w:b w:val="0"/>
          <w:i w:val="0"/>
          <w:color w:val="000000"/>
          <w:sz w:val="20"/>
        </w:rPr>
        <w:t>102</w:t>
      </w:r>
    </w:p>
    <w:p>
      <w:pPr>
        <w:sectPr>
          <w:pgSz w:w="12240" w:h="15840"/>
          <w:pgMar w:top="80" w:right="0" w:bottom="0" w:left="3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0" w:lineRule="exact" w:before="0" w:after="0"/>
        <w:ind w:left="0" w:right="0"/>
      </w:pPr>
    </w:p>
    <w:p>
      <w:pPr>
        <w:autoSpaceDN w:val="0"/>
        <w:autoSpaceDE w:val="0"/>
        <w:widowControl/>
        <w:spacing w:line="492" w:lineRule="exact" w:before="1058" w:after="0"/>
        <w:ind w:left="1780" w:right="2160" w:firstLine="1728"/>
        <w:jc w:val="left"/>
      </w:pP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If you go back and read the brokerage 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reports and read the headlines of that period, you will </w:t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see language that looks absolutely identical to what </w:t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you're reading today.  It was also a period of 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computerization of American industry that in many 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respects was more profound than what we have now, which </w:t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is certainly wonderful.  And I use the Internet myself </w:t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at least six to eight hours a day as part of the 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research that I'm doing for a book.  But frankly, when </w:t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you saw how banks were operated in the early '60s, and </w:t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as they are in some parts of the world today, and you </w:t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see the computerization that took place, that was 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definitely a revolution then, and high tech companies </w:t>
      </w:r>
      <w:r>
        <w:rPr>
          <w:rFonts w:ascii="Courier" w:hAnsi="Courier" w:eastAsia="Courier"/>
          <w:b w:val="0"/>
          <w:i w:val="0"/>
          <w:color w:val="000000"/>
          <w:sz w:val="24"/>
        </w:rPr>
        <w:t>were bid up to staggering magnitudes then.</w:t>
      </w:r>
    </w:p>
    <w:p>
      <w:pPr>
        <w:autoSpaceDN w:val="0"/>
        <w:autoSpaceDE w:val="0"/>
        <w:widowControl/>
        <w:spacing w:line="492" w:lineRule="exact" w:before="0" w:after="0"/>
        <w:ind w:left="1780" w:right="2592" w:firstLine="1728"/>
        <w:jc w:val="left"/>
      </w:pP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Now, I know that Dell, which has gone up </w:t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90,772 percent in the decade of the '90s, is a fine </w:t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company and others as well, but not all of the high </w:t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tech companies will deliver the earnings that the </w:t>
      </w:r>
      <w:r>
        <w:rPr>
          <w:rFonts w:ascii="Courier" w:hAnsi="Courier" w:eastAsia="Courier"/>
          <w:b w:val="0"/>
          <w:i w:val="0"/>
          <w:color w:val="000000"/>
          <w:sz w:val="24"/>
        </w:rPr>
        <w:t>buyers expect.</w:t>
      </w:r>
    </w:p>
    <w:p>
      <w:pPr>
        <w:autoSpaceDN w:val="0"/>
        <w:autoSpaceDE w:val="0"/>
        <w:widowControl/>
        <w:spacing w:line="490" w:lineRule="exact" w:before="0" w:after="0"/>
        <w:ind w:left="1780" w:right="2736" w:firstLine="1728"/>
        <w:jc w:val="left"/>
      </w:pP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And when they don't, and if there's any </w:t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kind of a slip up, foreign investors are going to </w:t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rethink, and it's going to have an impact in their </w:t>
      </w:r>
      <w:r>
        <w:rPr>
          <w:rFonts w:ascii="Courier" w:hAnsi="Courier" w:eastAsia="Courier"/>
          <w:b w:val="0"/>
          <w:i w:val="0"/>
          <w:color w:val="000000"/>
          <w:sz w:val="24"/>
        </w:rPr>
        <w:t>desired holdings of U.S. assets.</w:t>
      </w:r>
    </w:p>
    <w:p>
      <w:pPr>
        <w:autoSpaceDN w:val="0"/>
        <w:tabs>
          <w:tab w:pos="3508" w:val="left"/>
          <w:tab w:pos="5592" w:val="left"/>
        </w:tabs>
        <w:autoSpaceDE w:val="0"/>
        <w:widowControl/>
        <w:spacing w:line="466" w:lineRule="exact" w:before="24" w:after="0"/>
        <w:ind w:left="1780" w:right="2448" w:firstLine="0"/>
        <w:jc w:val="left"/>
      </w:pPr>
      <w:r>
        <w:tab/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Now, number two, another dark cloud on my </w:t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list is a slowdown in the U.S. economy that might </w:t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incite demands for more protectionist stands on trade </w:t>
      </w:r>
      <w:r>
        <w:tab/>
      </w:r>
      <w:r>
        <w:tab/>
      </w:r>
      <w:r>
        <w:rPr>
          <w:w w:val="98.4000015258789"/>
          <w:rFonts w:ascii="Times" w:hAnsi="Times" w:eastAsia="Times"/>
          <w:b w:val="0"/>
          <w:i w:val="0"/>
          <w:color w:val="000000"/>
          <w:sz w:val="20"/>
        </w:rPr>
        <w:t>103</w:t>
      </w:r>
    </w:p>
    <w:p>
      <w:pPr>
        <w:sectPr>
          <w:pgSz w:w="12240" w:h="15840"/>
          <w:pgMar w:top="80" w:right="0" w:bottom="0" w:left="3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0" w:lineRule="exact" w:before="0" w:after="0"/>
        <w:ind w:left="0" w:right="0"/>
      </w:pPr>
    </w:p>
    <w:p>
      <w:pPr>
        <w:autoSpaceDN w:val="0"/>
        <w:autoSpaceDE w:val="0"/>
        <w:widowControl/>
        <w:spacing w:line="490" w:lineRule="exact" w:before="1060" w:after="0"/>
        <w:ind w:left="1780" w:right="2304" w:firstLine="0"/>
        <w:jc w:val="left"/>
      </w:pP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policy.  Let's face it.  Foreign investors would see </w:t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this as terribly inflationary when you've got an 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economy with four percent unemployment, and they would </w:t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not believe that the Fed would have an easy time 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dealing with the inflationary consequences of really </w:t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protectionist measures.  That would have a chilling </w:t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effect on foreign investment, the smoothness of its </w:t>
      </w:r>
      <w:r>
        <w:rPr>
          <w:rFonts w:ascii="Courier" w:hAnsi="Courier" w:eastAsia="Courier"/>
          <w:b w:val="0"/>
          <w:i w:val="0"/>
          <w:color w:val="000000"/>
          <w:sz w:val="24"/>
        </w:rPr>
        <w:t>coming in.</w:t>
      </w:r>
    </w:p>
    <w:p>
      <w:pPr>
        <w:autoSpaceDN w:val="0"/>
        <w:autoSpaceDE w:val="0"/>
        <w:widowControl/>
        <w:spacing w:line="490" w:lineRule="exact" w:before="4" w:after="0"/>
        <w:ind w:left="1780" w:right="2160" w:firstLine="1728"/>
        <w:jc w:val="left"/>
      </w:pP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Number three is any overt attempt to weaken </w:t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the dollar.  Now, it is true that most foreign 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investors, certainly our clients, believe that the </w:t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dollar will ease back somewhat, and you see that 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displayed vividly in the structure of forward exchange </w:t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markets.  It's already in there in the expectation </w:t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structure, but a manipulative approach that would 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24"/>
        </w:rPr>
        <w:t>essentially abandon the current U.S. Treasury posture -</w:t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- which is that a strong dollar is in the interest of </w:t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the U.S. -- would, I think, trigger sizable outflows of </w:t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funds from the U.S. markets, and that might have an </w:t>
      </w:r>
      <w:r>
        <w:rPr>
          <w:rFonts w:ascii="Courier" w:hAnsi="Courier" w:eastAsia="Courier"/>
          <w:b w:val="0"/>
          <w:i w:val="0"/>
          <w:color w:val="000000"/>
          <w:sz w:val="24"/>
        </w:rPr>
        <w:t>effect on bond and stock market valuations.</w:t>
      </w:r>
    </w:p>
    <w:p>
      <w:pPr>
        <w:autoSpaceDN w:val="0"/>
        <w:tabs>
          <w:tab w:pos="3508" w:val="left"/>
          <w:tab w:pos="5592" w:val="left"/>
        </w:tabs>
        <w:autoSpaceDE w:val="0"/>
        <w:widowControl/>
        <w:spacing w:line="480" w:lineRule="exact" w:before="10" w:after="0"/>
        <w:ind w:left="1780" w:right="2160" w:firstLine="0"/>
        <w:jc w:val="left"/>
      </w:pPr>
      <w:r>
        <w:tab/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Number four, and this is broader, but you </w:t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do get this very often when you talk to foreign 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investors, and that is the mishandling of foreign 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relations more broadly cast.  Right now we have seven, </w:t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at least seven -- rifts with our European partners over </w:t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a range of issues ranging from IMF governance to </w:t>
      </w:r>
      <w:r>
        <w:br/>
      </w:r>
      <w:r>
        <w:tab/>
      </w:r>
      <w:r>
        <w:tab/>
      </w:r>
      <w:r>
        <w:rPr>
          <w:w w:val="98.4000015258789"/>
          <w:rFonts w:ascii="Times" w:hAnsi="Times" w:eastAsia="Times"/>
          <w:b w:val="0"/>
          <w:i w:val="0"/>
          <w:color w:val="000000"/>
          <w:sz w:val="20"/>
        </w:rPr>
        <w:t>104</w:t>
      </w:r>
    </w:p>
    <w:p>
      <w:pPr>
        <w:sectPr>
          <w:pgSz w:w="12240" w:h="15840"/>
          <w:pgMar w:top="80" w:right="0" w:bottom="0" w:left="3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0" w:lineRule="exact" w:before="0" w:after="0"/>
        <w:ind w:left="0" w:right="0"/>
      </w:pPr>
    </w:p>
    <w:p>
      <w:pPr>
        <w:autoSpaceDN w:val="0"/>
        <w:autoSpaceDE w:val="0"/>
        <w:widowControl/>
        <w:spacing w:line="492" w:lineRule="exact" w:before="1058" w:after="0"/>
        <w:ind w:left="1780" w:right="2448" w:firstLine="0"/>
        <w:jc w:val="left"/>
      </w:pP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bananas to hormones and beef to aircraft noise and to </w:t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the adverse WTO ruling against foreign sales 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24"/>
        </w:rPr>
        <w:t>corporations.</w:t>
      </w:r>
    </w:p>
    <w:p>
      <w:pPr>
        <w:autoSpaceDN w:val="0"/>
        <w:autoSpaceDE w:val="0"/>
        <w:widowControl/>
        <w:spacing w:line="492" w:lineRule="exact" w:before="0" w:after="0"/>
        <w:ind w:left="1780" w:right="2160" w:firstLine="1728"/>
        <w:jc w:val="left"/>
      </w:pP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We've latent problems with Japan that could </w:t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break out into the open.  We have the issue that, as </w:t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Gerry and others have mentioned, of WTO membership for </w:t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China, and so on.  There's a matter of how to deal </w:t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intelligently with an erratic Russia; the broad 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24"/>
        </w:rPr>
        <w:t>question of how to deal with a reinvigorated OPEC.</w:t>
      </w:r>
    </w:p>
    <w:p>
      <w:pPr>
        <w:autoSpaceDN w:val="0"/>
        <w:autoSpaceDE w:val="0"/>
        <w:widowControl/>
        <w:spacing w:line="490" w:lineRule="exact" w:before="0" w:after="0"/>
        <w:ind w:left="1780" w:right="2160" w:firstLine="1728"/>
        <w:jc w:val="left"/>
      </w:pP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These are very tough foreign policy 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considerations.  Foreign investors expect the U.S. to </w:t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behave as a super power and not with narrow nationalist </w:t>
      </w:r>
      <w:r>
        <w:rPr>
          <w:rFonts w:ascii="Courier" w:hAnsi="Courier" w:eastAsia="Courier"/>
          <w:b w:val="0"/>
          <w:i w:val="0"/>
          <w:color w:val="000000"/>
          <w:sz w:val="24"/>
        </w:rPr>
        <w:t>economic policy agendas.</w:t>
      </w:r>
    </w:p>
    <w:p>
      <w:pPr>
        <w:autoSpaceDN w:val="0"/>
        <w:autoSpaceDE w:val="0"/>
        <w:widowControl/>
        <w:spacing w:line="492" w:lineRule="exact" w:before="0" w:after="0"/>
        <w:ind w:left="1780" w:right="2304" w:firstLine="1728"/>
        <w:jc w:val="left"/>
      </w:pP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And finally, and the one that I'm most </w:t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confident about, is foreign investors expect and will </w:t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insist on a firm monetary policy response to any 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significant increase in the inflation rate.  I believe </w:t>
      </w: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there will be.  If there isn't, there would be </w:t>
      </w:r>
      <w:r>
        <w:br/>
      </w:r>
      <w:r>
        <w:rPr>
          <w:rFonts w:ascii="Courier" w:hAnsi="Courier" w:eastAsia="Courier"/>
          <w:b w:val="0"/>
          <w:i w:val="0"/>
          <w:color w:val="000000"/>
          <w:sz w:val="24"/>
        </w:rPr>
        <w:t>problems.</w:t>
      </w:r>
    </w:p>
    <w:p>
      <w:pPr>
        <w:autoSpaceDN w:val="0"/>
        <w:autoSpaceDE w:val="0"/>
        <w:widowControl/>
        <w:spacing w:line="298" w:lineRule="exact" w:before="190" w:after="0"/>
        <w:ind w:left="0" w:right="5184" w:firstLine="0"/>
        <w:jc w:val="right"/>
      </w:pPr>
      <w:r>
        <w:rPr>
          <w:rFonts w:ascii="Courier" w:hAnsi="Courier" w:eastAsia="Courier"/>
          <w:b w:val="0"/>
          <w:i w:val="0"/>
          <w:color w:val="000000"/>
          <w:sz w:val="24"/>
        </w:rPr>
        <w:t>Those are my comments.</w:t>
      </w:r>
    </w:p>
    <w:p>
      <w:pPr>
        <w:autoSpaceDN w:val="0"/>
        <w:autoSpaceDE w:val="0"/>
        <w:widowControl/>
        <w:spacing w:line="300" w:lineRule="exact" w:before="190" w:after="0"/>
        <w:ind w:left="0" w:right="2160" w:firstLine="0"/>
        <w:jc w:val="right"/>
      </w:pPr>
      <w:r>
        <w:rPr>
          <w:rFonts w:ascii="Courier" w:hAnsi="Courier" w:eastAsia="Courier"/>
          <w:b w:val="0"/>
          <w:i w:val="0"/>
          <w:color w:val="000000"/>
          <w:sz w:val="24"/>
        </w:rPr>
        <w:t>CHAIRMAN D'AMATO:  Thank you very much, Mr.</w:t>
      </w:r>
    </w:p>
    <w:p>
      <w:pPr>
        <w:autoSpaceDN w:val="0"/>
        <w:autoSpaceDE w:val="0"/>
        <w:widowControl/>
        <w:spacing w:line="300" w:lineRule="exact" w:before="190" w:after="0"/>
        <w:ind w:left="1780" w:right="0" w:firstLine="0"/>
        <w:jc w:val="left"/>
      </w:pPr>
      <w:r>
        <w:rPr>
          <w:rFonts w:ascii="Courier" w:hAnsi="Courier" w:eastAsia="Courier"/>
          <w:b w:val="0"/>
          <w:i w:val="0"/>
          <w:color w:val="000000"/>
          <w:sz w:val="24"/>
        </w:rPr>
        <w:t>Kubarych.</w:t>
      </w:r>
    </w:p>
    <w:p>
      <w:pPr>
        <w:autoSpaceDN w:val="0"/>
        <w:autoSpaceDE w:val="0"/>
        <w:widowControl/>
        <w:spacing w:line="300" w:lineRule="exact" w:before="194" w:after="0"/>
        <w:ind w:left="0" w:right="6480" w:firstLine="0"/>
        <w:jc w:val="right"/>
      </w:pPr>
      <w:r>
        <w:rPr>
          <w:rFonts w:ascii="Courier" w:hAnsi="Courier" w:eastAsia="Courier"/>
          <w:b w:val="0"/>
          <w:i w:val="0"/>
          <w:color w:val="000000"/>
          <w:sz w:val="24"/>
        </w:rPr>
        <w:t xml:space="preserve">Mr. Madrick. </w:t>
      </w:r>
    </w:p>
    <w:p>
      <w:pPr>
        <w:autoSpaceDN w:val="0"/>
        <w:autoSpaceDE w:val="0"/>
        <w:widowControl/>
        <w:spacing w:line="262" w:lineRule="exact" w:before="1628" w:after="0"/>
        <w:ind w:left="0" w:right="5968" w:firstLine="0"/>
        <w:jc w:val="right"/>
      </w:pPr>
      <w:r>
        <w:rPr>
          <w:w w:val="98.4000015258789"/>
          <w:rFonts w:ascii="Times" w:hAnsi="Times" w:eastAsia="Times"/>
          <w:b w:val="0"/>
          <w:i w:val="0"/>
          <w:color w:val="000000"/>
          <w:sz w:val="20"/>
        </w:rPr>
        <w:t>105</w:t>
      </w:r>
    </w:p>
    <w:p>
      <w:pPr>
        <w:sectPr>
          <w:pgSz w:w="12240" w:h="15840"/>
          <w:pgMar w:top="80" w:right="0" w:bottom="0" w:left="3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291070" cy="9601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91070" cy="96012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80" w:right="378" w:bottom="180" w:left="3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