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Final Report </w:t>
      </w:r>
    </w:p>
    <w:p>
      <w:pPr>
        <w:autoSpaceDN w:val="0"/>
        <w:autoSpaceDE w:val="0"/>
        <w:widowControl/>
        <w:spacing w:line="330" w:lineRule="exact" w:before="2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 October 2011 – 30 September 2013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Project Title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A Retrospective Analysis of Spatial and Temporal Patterns of Growth and </w:t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 xml:space="preserve">Abundance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Juvenile Anadromous Fishes in the Maryland Chesapeake Bay 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NOAA Grant Number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NA11NMF4570219 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NOAA Funds Awarded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$52,000 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Project Duration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24 months; 1 October 2011 to 30 September2013 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Co-Principal Investigators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William J. Connelly, Edward D. Houde </w:t>
      </w:r>
    </w:p>
    <w:p>
      <w:pPr>
        <w:autoSpaceDN w:val="0"/>
        <w:autoSpaceDE w:val="0"/>
        <w:widowControl/>
        <w:spacing w:line="276" w:lineRule="exact" w:before="276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Institution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University of Maryland Center for Environmental Science, Chesapeake </w:t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Biological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Laboratory, P.O. Box 38, Solomons, MD 20688 </w:t>
      </w:r>
    </w:p>
    <w:p>
      <w:pPr>
        <w:autoSpaceDN w:val="0"/>
        <w:autoSpaceDE w:val="0"/>
        <w:widowControl/>
        <w:spacing w:line="233" w:lineRule="auto" w:before="26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SYNOPSIS </w:t>
      </w:r>
    </w:p>
    <w:p>
      <w:pPr>
        <w:autoSpaceDN w:val="0"/>
        <w:autoSpaceDE w:val="0"/>
        <w:widowControl/>
        <w:spacing w:line="276" w:lineRule="exact" w:before="296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Recruitment success of anadromous fishes (striped bass, white perch and alosines)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Maryland tributaries to Chesapeake Bay varies dramatically from year to year. </w:t>
      </w: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Additionally, the tributaries and their watersheds differ in the degree of human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development and impact that may affect reproductive success and productivity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fishes.  In this project we undertook a retrospective analysis of data on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abundance, sizes, growth rates, and production of young-of-the-year (YOY)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 based on data from the Maryland Department of Natural Resources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(DNR) Juvenile Striped Bass Seine Survey that has been conducted since 1959. </w:t>
      </w: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Additionally, data on taxable structures located within three watersheds (Choptank,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Nanticoke, and Patuxent rivers) were analyzed as a proxy for level of human activity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anthropogenic stress to evaluate potential effects of watershed development on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growth, distribution, and abundance of YOY anadromous fishes.  Significant increases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the combined-taxa abundance and biomass of YOY anadromous fishes were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detected in the subestuaries that were sampled over the full time course of the DNR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surveys.  Abundances of the YOY alosines group declined significantly in the Choptank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River but increased in the Potomac River, attributable to increasing numbers of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American shad in the Potomac.  Significant negative temporal trends in mean lengths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were detected for some YOY anadromous fish taxa.  Despite the apparent trends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and biomass, only a few of the trends in net production of anadromous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fishes were judged to be significant.  Shifts in spatial distribution of some YOY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 occurred during the 53-yr time series, with observed shifts in centers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abundance being primarily down-estuary in some tributaries.  Principal components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analyses identified correlations and temporal patterns among water quality parameters,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freshwater flow, anadromous fish abundances and their centers of abundance. </w:t>
      </w:r>
    </w:p>
    <w:p>
      <w:pPr>
        <w:autoSpaceDN w:val="0"/>
        <w:autoSpaceDE w:val="0"/>
        <w:widowControl/>
        <w:spacing w:line="194" w:lineRule="auto" w:before="744" w:after="0"/>
        <w:ind w:left="0" w:right="47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00" w:right="135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Research initiated in this project is being continued under funding from Maryland DNR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 the Atlantic States Marine Fisheries Commission.  Analyses on a suite of biotic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abiotic variables to identify and evaluate sources of interannual variability in abundance,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sizes, and growth rates of YOY anadromous fishes are being conducted in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continuing research. </w:t>
      </w:r>
    </w:p>
    <w:p>
      <w:pPr>
        <w:autoSpaceDN w:val="0"/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INTRODUCTION AND BACKGROUND </w:t>
      </w:r>
    </w:p>
    <w:p>
      <w:pPr>
        <w:autoSpaceDN w:val="0"/>
        <w:autoSpaceDE w:val="0"/>
        <w:widowControl/>
        <w:spacing w:line="276" w:lineRule="exact" w:before="296" w:after="0"/>
        <w:ind w:left="0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This is the Final Report for NOAA Grant NA11NMF4570219.  The research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conducted in response to a NOAA Chesapeake Bay Office RFP priority requesting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retrospective analyses of long-term monitoring data to develop resource management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products.  The project was initiated on 1 October 2011 and was funded for a single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year.  A one-year no-cost extension was granted that extended the project to 30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September 2013.  This research is continuing under a contract from Maryland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Department of Natural Resources (Contract Number K00B3400024) via the Atlantic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States Marine Fisheries Commission for the period 16 July 2012 to 15 July 2014.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fishes, including striped bass, white perch, and alosines (American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shad, hickory shad, alewife, and blueback herring) are ecologically and economically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important in Chesapeake Bay.  Recruitment success of many anadromous fishes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exhibits more than 10-fold inter-annual variability in the Bay.  While the recruitment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levels of these fishes are correlated among Maryland’s Chesapeake Bay tributaries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(Kraus and Secor 2005; Wood and Austin 2009), the contribution of YOY recruits by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each tributary depends on numerous factors in addition to watershed size or areal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extent of available habitat.  Watersheds of each of the tributaries have experienced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different land use patterns and nutrient loading regimes that can affect carrying capacity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production potential (Carlisle et al. 2013).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proximity of many of the spawning and nursery grounds in Maryland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urbanized areas makes these species especially sensitive to anthropogenic influences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(Schaaf et al. 1993; Uphoff 2008).  Analyses conducted by the Maryland Department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Natural Resources (DNR) indicated negative relationships between the area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impervious surface (IS) within a watershed, dissolved oxygen concentrations,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of juvenile anadromous fishes in several small Chesapeake Bay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Potomac River tributaries (McGinty et al. 2006; Uphoff 2008; Uphoff et al. 2011).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Furthermore, the occurrences of white perch and yellow perch eggs, larvae, and adults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were diminished in the Bush River watershed in 2006 (IS coverage = 13%) relative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1973 (IS coverage = 9%) (Uphoff et al. 2007). Relationships among long-term trends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nutrients and dissolved oxygen (Hagy et al. 2004; Kemp et al. 2005; Testa et al. 2008;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Prasad et al. 2010; Williams et al. 2010) and changes in land use and agricultural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practices in Chesapeake watersheds and the Bay have been documented (Cronin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Vann 2003; Kemp et al. 2005; McGinty et al. 2006; Uphoff et al. 2011; Williams et al. </w:t>
      </w:r>
    </w:p>
    <w:p>
      <w:pPr>
        <w:autoSpaceDN w:val="0"/>
        <w:autoSpaceDE w:val="0"/>
        <w:widowControl/>
        <w:spacing w:line="276" w:lineRule="exact" w:before="54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2010). The research conducted by DNR on watersheds differing in IS coverage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limited to data collected during a 3-year period.  We evaluated relationships among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long-term trends in abundance, growth, and production of young-of-the-year (YOY) </w:t>
      </w:r>
    </w:p>
    <w:p>
      <w:pPr>
        <w:autoSpaceDN w:val="0"/>
        <w:autoSpaceDE w:val="0"/>
        <w:widowControl/>
        <w:spacing w:line="194" w:lineRule="auto" w:before="7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02" w:right="138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 that may facilitate management decisions on allocation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restoration efforts and protective regulations. </w:t>
      </w:r>
    </w:p>
    <w:p>
      <w:pPr>
        <w:autoSpaceDN w:val="0"/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OBJECTIVES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96" w:after="0"/>
        <w:ind w:left="36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Quantify differences and trends in abundance, size, and growth rate among YOY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 in Maryland’s upper Chesapeake Bay and tributaries. </w:t>
      </w:r>
    </w:p>
    <w:p>
      <w:pPr>
        <w:autoSpaceDN w:val="0"/>
        <w:autoSpaceDE w:val="0"/>
        <w:widowControl/>
        <w:spacing w:line="276" w:lineRule="exact" w:before="276" w:after="0"/>
        <w:ind w:left="288" w:right="288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Document shifts in distributions of YOY anadromous fishes in Maryland’s upper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Chesapeake Bay and tributaries and relate to human habitation/land-use.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36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Compare the historical abundance of zooplankton and benthic prey organisms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YOY anadromous fishes across tributaries and quantify temporal trends.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360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Evaluate relationships between YOY fish, their zooplankton/benthos prey,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environmental variables, and land use metrics. </w:t>
      </w:r>
    </w:p>
    <w:p>
      <w:pPr>
        <w:autoSpaceDN w:val="0"/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METHODS AND APPROACHES </w:t>
      </w:r>
    </w:p>
    <w:p>
      <w:pPr>
        <w:autoSpaceDN w:val="0"/>
        <w:autoSpaceDE w:val="0"/>
        <w:widowControl/>
        <w:spacing w:line="288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Monitoring Data </w:t>
      </w:r>
    </w:p>
    <w:p>
      <w:pPr>
        <w:autoSpaceDN w:val="0"/>
        <w:autoSpaceDE w:val="0"/>
        <w:widowControl/>
        <w:spacing w:line="276" w:lineRule="exact" w:before="272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Maryland Department of Natural Resources Juvenile Striped Bass Seine </w:t>
      </w:r>
      <w:r>
        <w:rPr>
          <w:rFonts w:ascii="ArialMT" w:hAnsi="ArialMT" w:eastAsia="ArialMT"/>
          <w:b w:val="0"/>
          <w:i w:val="0"/>
          <w:color w:val="000000"/>
          <w:sz w:val="24"/>
        </w:rPr>
        <w:t>Survey (</w:t>
      </w:r>
      <w:r>
        <w:rPr>
          <w:rFonts w:ascii="Arial" w:hAnsi="Arial" w:eastAsia="Arial"/>
          <w:b w:val="0"/>
          <w:i/>
          <w:color w:val="000000"/>
          <w:sz w:val="24"/>
        </w:rPr>
        <w:t>http://www.dnr.state.md.us/fisheries/juvindex/)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has collected, enumerated,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measured YOY anadromous fishes in the Maryland tributaries of the Bay since 1957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(Figure 1).  The systems sampled since initiation of the survey include the Potomac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River, the Choptank River, the Nanticoke River, and the head of the Bay.  The Patuxent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River has been sampled since 1983.  There are multiple permanent and auxiliary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sampling sites in each system.  Each site is sampled once each month in July, August,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September using a 30.5-m x 1.24-m bag-less beach seine of untreated 6.4-mm bar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mesh.  The time series is sufficiently long to capture shifts in abundance that appear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 related to changes in freshwater flow patterns, other environmental variables,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adult spawning stock biomasses.  These data were analyzed to compare trends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differences in abundance, growth rates and biomass across tributaries under varying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environmental conditions.  With the exception of the Choptank River, only the sites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sampled continuously in each tributary since the beginning of the survey were used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analyses.  In the Choptank River, only one site was sampled continuously since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beginning of the survey.  However, replacement sites were selected in close proximity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 the original sites and these were assumed to be representative of the respective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regions of the Choptank River.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Chesapeake Bay Program (CBP) has monitored water quality, species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composition and abundance of mesozooplankton (through 2002), and the species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composition and abundance of benthic organisms at fixed stations in Maryland since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1984 (Figure 1).  Additional water quality data collected by the Chesapeake Bay </w:t>
      </w:r>
    </w:p>
    <w:p>
      <w:pPr>
        <w:autoSpaceDN w:val="0"/>
        <w:autoSpaceDE w:val="0"/>
        <w:widowControl/>
        <w:spacing w:line="194" w:lineRule="auto" w:before="7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02" w:right="1426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276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Institute dating back to 1949 are available.  These data are being analyzed 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continuation phase of the project (with MD DNR and ASMFC support) to evaluate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potential of each tributary to support YOY anadromous fishes and to compare trends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patterns in the seine survey data. </w:t>
      </w:r>
    </w:p>
    <w:p>
      <w:pPr>
        <w:sectPr>
          <w:pgSz w:w="12240" w:h="15840"/>
          <w:pgMar w:top="702" w:right="136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1785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02" w:right="1364" w:bottom="362" w:left="1440" w:header="720" w:footer="720" w:gutter="0"/>
          <w:cols w:num="2" w:equalWidth="0">
            <w:col w:w="5020" w:space="0"/>
            <w:col w:w="441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6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Figure 1.  Map of the Maryland portion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of Chesapeake Bay and tributaries. </w:t>
      </w:r>
    </w:p>
    <w:p>
      <w:pPr>
        <w:autoSpaceDN w:val="0"/>
        <w:autoSpaceDE w:val="0"/>
        <w:widowControl/>
        <w:spacing w:line="245" w:lineRule="auto" w:before="8" w:after="3002"/>
        <w:ind w:left="9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Sampling sites included in the analyses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described in this report are represented </w:t>
      </w:r>
      <w:r>
        <w:rPr>
          <w:rFonts w:ascii="Arial" w:hAnsi="Arial" w:eastAsia="Arial"/>
          <w:b w:val="0"/>
          <w:i/>
          <w:color w:val="000000"/>
          <w:sz w:val="24"/>
        </w:rPr>
        <w:t>by symbols.  The sites are seine-</w:t>
      </w:r>
      <w:r>
        <w:br/>
      </w:r>
      <w:r>
        <w:rPr>
          <w:rFonts w:ascii="Arial" w:hAnsi="Arial" w:eastAsia="Arial"/>
          <w:b w:val="0"/>
          <w:i/>
          <w:color w:val="000000"/>
          <w:sz w:val="24"/>
        </w:rPr>
        <w:t xml:space="preserve">sampling sites from the Maryland DNR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Striped Bass Juvenile Index Survey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(http://www.dnr.state.md.us/ </w:t>
      </w:r>
      <w:r>
        <w:br/>
      </w:r>
      <w:r>
        <w:rPr>
          <w:rFonts w:ascii="Arial" w:hAnsi="Arial" w:eastAsia="Arial"/>
          <w:b w:val="0"/>
          <w:i/>
          <w:color w:val="000000"/>
          <w:sz w:val="24"/>
        </w:rPr>
        <w:t xml:space="preserve">fisheries/juvindex/) </w:t>
      </w:r>
    </w:p>
    <w:p>
      <w:pPr>
        <w:sectPr>
          <w:type w:val="nextColumn"/>
          <w:pgSz w:w="12240" w:h="15840"/>
          <w:pgMar w:top="702" w:right="1364" w:bottom="362" w:left="1440" w:header="720" w:footer="720" w:gutter="0"/>
          <w:cols w:num="2" w:equalWidth="0">
            <w:col w:w="5020" w:space="0"/>
            <w:col w:w="4415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54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on taxable structures from the Maryland State Department of Assessment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Taxation (SDAT) were incorporated into an analysis that examines anthropogenic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alteration of the watershed and its relationship to abundance and growth of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fishes, shifts in water quality, and changes in land-use.  The taxable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structures data were selected for analysis because SDAT has collected data annually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 the number and foundation footprint area of structures in each Maryland county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since 1950.  Additionally, area occupied by taxable structures has been reported to be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strongly, positively correlated with estimates of impervious surface coverage (J. Uphoff,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unpublished data). </w:t>
      </w:r>
    </w:p>
    <w:p>
      <w:pPr>
        <w:autoSpaceDN w:val="0"/>
        <w:autoSpaceDE w:val="0"/>
        <w:widowControl/>
        <w:spacing w:line="288" w:lineRule="auto" w:before="50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Analyses </w:t>
      </w:r>
    </w:p>
    <w:p>
      <w:pPr>
        <w:autoSpaceDN w:val="0"/>
        <w:autoSpaceDE w:val="0"/>
        <w:widowControl/>
        <w:spacing w:line="276" w:lineRule="exact" w:before="272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Annual mean abundance (number per 100 m</w:t>
      </w:r>
      <w:r>
        <w:rPr>
          <w:rFonts w:ascii="ArialMT" w:hAnsi="ArialMT" w:eastAsia="ArialMT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 and biomass (grams wet weight </w:t>
      </w:r>
      <w:r>
        <w:rPr>
          <w:rFonts w:ascii="ArialMT" w:hAnsi="ArialMT" w:eastAsia="ArialMT"/>
          <w:b w:val="0"/>
          <w:i w:val="0"/>
          <w:color w:val="000000"/>
          <w:sz w:val="24"/>
        </w:rPr>
        <w:t>per 100 m</w:t>
      </w:r>
      <w:r>
        <w:rPr>
          <w:rFonts w:ascii="ArialMT" w:hAnsi="ArialMT" w:eastAsia="ArialMT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24"/>
        </w:rPr>
        <w:t>) estimates were calculated for alewife (</w:t>
      </w:r>
      <w:r>
        <w:rPr>
          <w:rFonts w:ascii="Arial" w:hAnsi="Arial" w:eastAsia="Arial"/>
          <w:b w:val="0"/>
          <w:i/>
          <w:color w:val="000000"/>
          <w:sz w:val="24"/>
        </w:rPr>
        <w:t>Alosa pseudoharengus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), blueback </w:t>
      </w:r>
      <w:r>
        <w:rPr>
          <w:rFonts w:ascii="ArialMT" w:hAnsi="ArialMT" w:eastAsia="ArialMT"/>
          <w:b w:val="0"/>
          <w:i w:val="0"/>
          <w:color w:val="000000"/>
          <w:sz w:val="24"/>
        </w:rPr>
        <w:t>herring (</w:t>
      </w:r>
      <w:r>
        <w:rPr>
          <w:rFonts w:ascii="Arial" w:hAnsi="Arial" w:eastAsia="Arial"/>
          <w:b w:val="0"/>
          <w:i/>
          <w:color w:val="000000"/>
          <w:sz w:val="24"/>
        </w:rPr>
        <w:t>Alosa aestivalis)</w:t>
      </w:r>
      <w:r>
        <w:rPr>
          <w:rFonts w:ascii="ArialMT" w:hAnsi="ArialMT" w:eastAsia="ArialMT"/>
          <w:b w:val="0"/>
          <w:i w:val="0"/>
          <w:color w:val="000000"/>
          <w:sz w:val="24"/>
        </w:rPr>
        <w:t>, American shad (</w:t>
      </w:r>
      <w:r>
        <w:rPr>
          <w:rFonts w:ascii="Arial" w:hAnsi="Arial" w:eastAsia="Arial"/>
          <w:b w:val="0"/>
          <w:i/>
          <w:color w:val="000000"/>
          <w:sz w:val="24"/>
        </w:rPr>
        <w:t>Alosa sapidissima</w:t>
      </w:r>
      <w:r>
        <w:rPr>
          <w:rFonts w:ascii="ArialMT" w:hAnsi="ArialMT" w:eastAsia="ArialMT"/>
          <w:b w:val="0"/>
          <w:i w:val="0"/>
          <w:color w:val="000000"/>
          <w:sz w:val="24"/>
        </w:rPr>
        <w:t>), striped bass (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Morone </w:t>
      </w:r>
      <w:r>
        <w:rPr>
          <w:rFonts w:ascii="Arial" w:hAnsi="Arial" w:eastAsia="Arial"/>
          <w:b w:val="0"/>
          <w:i/>
          <w:color w:val="000000"/>
          <w:sz w:val="24"/>
        </w:rPr>
        <w:t>saxatilis</w:t>
      </w:r>
      <w:r>
        <w:rPr>
          <w:rFonts w:ascii="ArialMT" w:hAnsi="ArialMT" w:eastAsia="ArialMT"/>
          <w:b w:val="0"/>
          <w:i w:val="0"/>
          <w:color w:val="000000"/>
          <w:sz w:val="24"/>
        </w:rPr>
        <w:t>), and white perch (</w:t>
      </w:r>
      <w:r>
        <w:rPr>
          <w:rFonts w:ascii="Arial" w:hAnsi="Arial" w:eastAsia="Arial"/>
          <w:b w:val="0"/>
          <w:i/>
          <w:color w:val="000000"/>
          <w:sz w:val="24"/>
        </w:rPr>
        <w:t>Morone americana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).  Area swept by the MD DNR seine in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deployment was estimated using a quarter circle sweep or an approximately-trapezoidal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sweep depending on the fraction of the seine’s length that was deployed in a seine set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(Martino and Houde 2012).  The density (number per square meter) of each species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was estimated for each sampling site during the survey each year, and the annual mean </w:t>
      </w:r>
    </w:p>
    <w:p>
      <w:pPr>
        <w:autoSpaceDN w:val="0"/>
        <w:autoSpaceDE w:val="0"/>
        <w:widowControl/>
        <w:spacing w:line="194" w:lineRule="auto" w:before="744" w:after="0"/>
        <w:ind w:left="0" w:right="470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4</w:t>
      </w:r>
    </w:p>
    <w:p>
      <w:pPr>
        <w:sectPr>
          <w:type w:val="continuous"/>
          <w:pgSz w:w="12240" w:h="15840"/>
          <w:pgMar w:top="702" w:right="136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density was then calculated for each tributary (upper Chesapeake Bay, Choptank River,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Nanticoke River, Patuxent River, and Potomac River).  Length-to-wet-weight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conversions were used to obtain a relative biomass estimate for each species at each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sampling site.  The number of years in the biomass time series differs for each species.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Striped bass was the only species for which length was measured from the beginning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seine survey (1957).  White perch lengths were recorded since 1971 and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lengths of the alosines (alewife, American shad, and blueback herring) since 1991.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and biomass for each species were estimated using only the survey sites at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which a species occurred at least twice since the beginning of the survey.  Prior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analysis, one-half of the minimum, non-zero abundance or biomass estimate for each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tributary-species combination was added to all zero-catch sites in the tributary to allow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inclusion of zero abundance values in a log-transformed data analysis.  Trends 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transformed abundance and biomass data were identified and quantified using linear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regression.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in the sizes of YOY anadromous fishes over the survey years were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quantified by examining median total lengths in September.  Median lengths, rather than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mean lengths, were analyzed because medians tend to be less sensitive to outliers.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analysis of growth rates was based on differences in median length of fish between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August and September surveys.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 index of net production of each species from August to September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calculated for each tributary by subtracting the mean relative biomass estimated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August from the mean relative biomass in September and then dividing by the number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days between the two sampling events. 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Patterns or trends over years in the spatial distribution of each species were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evaluated by estimating the center of abundance of each species in each system for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entire seine survey time series.  The center of abundance was calculated as a weighted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mean location (distance from the mouth of each tributary to each survey sampling site),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with the location weighted by the abundance of each species collected at each site.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principal components analysis was conducted to examine and evaluate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relationships among fish density for each species with respect to their centers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abundance, freshwater flow, water quality variables, and the number of taxable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structures in each watershed.  Monthly mean freshwater discharge data for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Susquehanna, Choptank, Nanticoke, Patuxent, and Potomac rivers were retrieved from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United States Geological Survey (USGS) National Water Information Survey (USGS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2012).  Water quality data, including water temperature, salinity, pH, dissolved oxygen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(DO), chlorophyll </w:t>
      </w:r>
      <w:r>
        <w:rPr>
          <w:rFonts w:ascii="Arial" w:hAnsi="Arial" w:eastAsia="Arial"/>
          <w:b w:val="0"/>
          <w:i/>
          <w:color w:val="000000"/>
          <w:sz w:val="24"/>
        </w:rPr>
        <w:t>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dissolved nitrate + nitrite, and dissolved phosphate, collected from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1985 to 2010, the first and last available full years of data, were downloaded from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Chesapeake Bay Program (CBP) website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(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http://www.chesapeakebay.net/data/downloads/cbp_water_quality_database_1984_pr </w:t>
      </w:r>
      <w:r>
        <w:rPr>
          <w:rFonts w:ascii="Arial" w:hAnsi="Arial" w:eastAsia="Arial"/>
          <w:b w:val="0"/>
          <w:i/>
          <w:color w:val="000000"/>
          <w:sz w:val="24"/>
        </w:rPr>
        <w:t>esent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).  These variables were chosen because they provide biologically relevant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information about environmental conditions within each tributary and because there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were few missing observations (less than 10%).  Mean values for each water quality </w:t>
      </w:r>
    </w:p>
    <w:p>
      <w:pPr>
        <w:autoSpaceDN w:val="0"/>
        <w:autoSpaceDE w:val="0"/>
        <w:widowControl/>
        <w:spacing w:line="194" w:lineRule="auto" w:before="744" w:after="0"/>
        <w:ind w:left="0" w:right="470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02" w:right="1362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variable and the flow data from each tributary were calculated for spring (March, April,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May) and summer (June, July, and August) because conditions during these two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seasons strongly influence the survival and growth of anadromous fish larvae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juveniles (North and Houde 2001, 2003, 2006; Martino and Houde 2010, 2012). 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 taxable structures were available only for the Choptank, Nanticoke, and Patuxent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river watersheds. </w:t>
      </w:r>
    </w:p>
    <w:p>
      <w:pPr>
        <w:autoSpaceDN w:val="0"/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PROGRESS</w:t>
      </w:r>
    </w:p>
    <w:p>
      <w:pPr>
        <w:autoSpaceDN w:val="0"/>
        <w:autoSpaceDE w:val="0"/>
        <w:widowControl/>
        <w:spacing w:line="288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Abundance and biomass</w:t>
      </w:r>
    </w:p>
    <w:p>
      <w:pPr>
        <w:autoSpaceDN w:val="0"/>
        <w:autoSpaceDE w:val="0"/>
        <w:widowControl/>
        <w:spacing w:line="276" w:lineRule="exact" w:before="272" w:after="0"/>
        <w:ind w:left="0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There were several significant trends in the abundance of anadromous fishes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included in the analysis.  Herein, we first report on the abundances and biomasses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combined groups of taxa and species and then on the individual species.  Striped bass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white perch data were combined into a moronid group while the data for American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shad and the river herrings were combined into an alosine group.  Finally, the data for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all five species were combined into an anadromous group. 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Abundance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26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Combined Groups </w:t>
      </w:r>
    </w:p>
    <w:p>
      <w:pPr>
        <w:autoSpaceDN w:val="0"/>
        <w:autoSpaceDE w:val="0"/>
        <w:widowControl/>
        <w:spacing w:line="276" w:lineRule="exact" w:before="29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While there were periods of below-average abundance (i.e., density) for each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groups from 1957 to approximately 1960, and again in the 1980s, the abundances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YOY anadromous fishes, most notably the moronid group, tended to exhibit positive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since the beginning of the time series, which is consistent with patterns reported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by Martino and Houde (2012) for striped bass and Wood and Austin (2009) for a suite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species.  Conversely, with the exception of the Potomac River where YOY alosine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abundances increased, alosine abundances were declining throughout the time series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(Figure 2).  The trends in abundance were fairly consistent among tributaries and within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species groups, although slopes often were not statistically different from zero (Table 1). </w:t>
      </w: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Alosine abundance was more variable than the moronid or anadromous groups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because of frequent extreme high and low catches.  Trends in the anadromous group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appear to be mostly driven by the moronid group, with absolute abundance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scaled upwards by large alosine catches. Negative trends in abundance across groups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within the Choptank River may be a consequence of the spatial distribution of survey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sites in this tributary, which included only one site in the tidal fresh region. This site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excluded from our analysis because it was not sampled until 1984. </w:t>
      </w:r>
    </w:p>
    <w:p>
      <w:pPr>
        <w:autoSpaceDN w:val="0"/>
        <w:autoSpaceDE w:val="0"/>
        <w:widowControl/>
        <w:spacing w:line="194" w:lineRule="auto" w:before="2676" w:after="0"/>
        <w:ind w:left="0" w:right="470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02" w:right="1362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14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1.  Abundance of YOY anadromous fish groups in Chesapeake Bay.  Slope, </w:t>
      </w:r>
      <w:r>
        <w:rPr>
          <w:rFonts w:ascii="Arial" w:hAnsi="Arial" w:eastAsia="Arial"/>
          <w:b w:val="0"/>
          <w:i/>
          <w:color w:val="000000"/>
          <w:sz w:val="24"/>
        </w:rPr>
        <w:t>intercept, r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(%), and regression p-value estimates for the trends in mean annual </w:t>
      </w:r>
      <w:r>
        <w:rPr>
          <w:rFonts w:ascii="Arial" w:hAnsi="Arial" w:eastAsia="Arial"/>
          <w:b w:val="0"/>
          <w:i/>
          <w:color w:val="000000"/>
          <w:sz w:val="24"/>
        </w:rPr>
        <w:t>abundance (log</w:t>
      </w:r>
      <w:r>
        <w:rPr>
          <w:rFonts w:ascii="Arial" w:hAnsi="Arial" w:eastAsia="Arial"/>
          <w:b w:val="0"/>
          <w:i/>
          <w:color w:val="000000"/>
          <w:sz w:val="16"/>
        </w:rPr>
        <w:t>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number per 100 m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) of alosines (American shad, alewife, blueback </w:t>
      </w:r>
    </w:p>
    <w:p>
      <w:pPr>
        <w:autoSpaceDN w:val="0"/>
        <w:autoSpaceDE w:val="0"/>
        <w:widowControl/>
        <w:spacing w:line="233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herring), moronids (striped bass and white perch), and all anadromous species </w:t>
      </w:r>
    </w:p>
    <w:p>
      <w:pPr>
        <w:autoSpaceDN w:val="0"/>
        <w:autoSpaceDE w:val="0"/>
        <w:widowControl/>
        <w:spacing w:line="233" w:lineRule="auto" w:before="8" w:after="24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combined.  Significant p-values (p ≤ 0.05)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6"/>
        <w:gridCol w:w="1596"/>
        <w:gridCol w:w="1596"/>
        <w:gridCol w:w="1596"/>
        <w:gridCol w:w="1596"/>
        <w:gridCol w:w="1596"/>
      </w:tblGrid>
      <w:tr>
        <w:trPr>
          <w:trHeight w:hRule="exact" w:val="378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3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1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Group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4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324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-0.0005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1.67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type="dxa" w:w="1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0.9437 </w:t>
            </w:r>
          </w:p>
        </w:tc>
      </w:tr>
      <w:tr>
        <w:trPr>
          <w:trHeight w:hRule="exact" w:val="32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-0.0120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23.66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9.34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0.0208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-0.0031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6.62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0.48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0.6078 </w:t>
            </w:r>
          </w:p>
        </w:tc>
      </w:tr>
      <w:tr>
        <w:trPr>
          <w:trHeight w:hRule="exact" w:val="33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-0.0057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11.10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0.81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0.6293 </w:t>
            </w:r>
          </w:p>
        </w:tc>
      </w:tr>
      <w:tr>
        <w:trPr>
          <w:trHeight w:hRule="exact" w:val="28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0.0157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-30.32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14.84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0.0031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0.0040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-7.07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2.90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0.2052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-0.0034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7.68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0.88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0.4889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0.0079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-14.62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8.66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0.0263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0.0080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-15.17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1.75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0.4786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0.0049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-8.72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5.08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0.0920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0.0038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-5.90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1.30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0.3987 </w:t>
            </w:r>
          </w:p>
        </w:tc>
      </w:tr>
      <w:tr>
        <w:trPr>
          <w:trHeight w:hRule="exact" w:val="33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-0.0015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4.30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0.14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0.7791 </w:t>
            </w:r>
          </w:p>
        </w:tc>
      </w:tr>
      <w:tr>
        <w:trPr>
          <w:trHeight w:hRule="exact" w:val="28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0.0083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-14.92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7.90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0.0342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0.0042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-7.10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0.47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0.7129 </w:t>
            </w:r>
          </w:p>
        </w:tc>
      </w:tr>
      <w:tr>
        <w:trPr>
          <w:trHeight w:hRule="exact" w:val="39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0.0127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-23.47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22.16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0.0002 </w:t>
            </w:r>
          </w:p>
        </w:tc>
      </w:tr>
    </w:tbl>
    <w:p>
      <w:pPr>
        <w:autoSpaceDN w:val="0"/>
        <w:autoSpaceDE w:val="0"/>
        <w:widowControl/>
        <w:spacing w:line="194" w:lineRule="auto" w:before="6646" w:after="0"/>
        <w:ind w:left="0" w:right="462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24" w:right="1440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49" cy="6821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49" cy="682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1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2.  Trends in log</w:t>
      </w:r>
      <w:r>
        <w:rPr>
          <w:rFonts w:ascii="Arial" w:hAnsi="Arial" w:eastAsia="Arial"/>
          <w:b w:val="0"/>
          <w:i/>
          <w:color w:val="000000"/>
          <w:sz w:val="16"/>
        </w:rPr>
        <w:t>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 transformed density (i.e., abundance) of young-of-the-year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moronids, alosines, and all anadromous species combined. Solid lines represent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regressions with p-values ≤ 0.05.  Dashed lines indicate regressions are near significant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at 0.05 &lt; p ≤ 0.10.  Dotted lines indicate regressions with p &gt; 0.10. </w:t>
      </w:r>
    </w:p>
    <w:p>
      <w:pPr>
        <w:autoSpaceDN w:val="0"/>
        <w:autoSpaceDE w:val="0"/>
        <w:widowControl/>
        <w:spacing w:line="194" w:lineRule="auto" w:before="1530" w:after="0"/>
        <w:ind w:left="0" w:right="47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06" w:right="133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Abundance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26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Species-specific </w:t>
      </w:r>
    </w:p>
    <w:p>
      <w:pPr>
        <w:autoSpaceDN w:val="0"/>
        <w:autoSpaceDE w:val="0"/>
        <w:widowControl/>
        <w:spacing w:line="276" w:lineRule="exact" w:before="29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significant, positive trend in Potomac River alosine abundance (Table 1)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reflects a concurrent significant increase in Potomac River YOY American shad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over the time series (Table 2; Figure 3).  Similarly, decreasing trends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alosine-group abundance follow decreasing trends in the constituent species across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systems investigated (Table 2).  Except in the Head of Bay, YOY alewife decreased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across systems, although the trend was only significant within the Choptank. 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blueback herring was the most variable in abundance of the alosines investigated,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differing three orders of magnitude among years. Bluebacks declined significantly 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Choptank River but not in the other systems (Table 2; Figure 3).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YOY white perch exhibited the most significant abundance trends.  With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exception of the Choptank, in which a slight, but not significant, negative trend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observed, trends in abundance were positive and comparatively large (Table 2; Figure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4).Trends in YOY striped bass abundance were consistently flat, with little evidence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any significant, long-term change in abundance in these systems. </w:t>
      </w:r>
    </w:p>
    <w:p>
      <w:pPr>
        <w:autoSpaceDN w:val="0"/>
        <w:autoSpaceDE w:val="0"/>
        <w:widowControl/>
        <w:spacing w:line="194" w:lineRule="auto" w:before="819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02" w:right="141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2.  Abundance of YOY anadromous fishes in Chesapeake Bay.  Slope, intercept, </w:t>
      </w:r>
      <w:r>
        <w:rPr>
          <w:rFonts w:ascii="Arial" w:hAnsi="Arial" w:eastAsia="Arial"/>
          <w:b w:val="0"/>
          <w:i/>
          <w:color w:val="000000"/>
          <w:sz w:val="24"/>
        </w:rPr>
        <w:t>r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(%), and regression p-value estimates for the trends in mean annual abundance </w:t>
      </w:r>
      <w:r>
        <w:rPr>
          <w:rFonts w:ascii="Arial" w:hAnsi="Arial" w:eastAsia="Arial"/>
          <w:b w:val="0"/>
          <w:i/>
          <w:color w:val="000000"/>
          <w:sz w:val="24"/>
        </w:rPr>
        <w:t>(log</w:t>
      </w:r>
      <w:r>
        <w:rPr>
          <w:rFonts w:ascii="Arial" w:hAnsi="Arial" w:eastAsia="Arial"/>
          <w:b w:val="0"/>
          <w:i/>
          <w:color w:val="000000"/>
          <w:sz w:val="16"/>
        </w:rPr>
        <w:t>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number per 100 m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) of American shad, alewife, blueback herring, striped bass, </w:t>
      </w:r>
    </w:p>
    <w:p>
      <w:pPr>
        <w:autoSpaceDN w:val="0"/>
        <w:autoSpaceDE w:val="0"/>
        <w:widowControl/>
        <w:spacing w:line="233" w:lineRule="auto" w:before="0" w:after="24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and white perch. Significant p-values (p ≤ 0.05)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6"/>
        <w:gridCol w:w="1596"/>
        <w:gridCol w:w="1596"/>
        <w:gridCol w:w="1596"/>
        <w:gridCol w:w="1596"/>
        <w:gridCol w:w="1596"/>
      </w:tblGrid>
      <w:tr>
        <w:trPr>
          <w:trHeight w:hRule="exact" w:val="378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4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351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0.0000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-0.18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11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0.9917 </w:t>
            </w:r>
          </w:p>
        </w:tc>
      </w:tr>
      <w:tr>
        <w:trPr>
          <w:trHeight w:hRule="exact" w:val="289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-0.0117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22.67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13.79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0.0045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-0.0024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4.30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0.99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0.4607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-0.0128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24.80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6.27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0.1742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-0.0056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10.68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2.96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0.2008 </w:t>
            </w:r>
          </w:p>
        </w:tc>
      </w:tr>
      <w:tr>
        <w:trPr>
          <w:trHeight w:hRule="exact" w:val="30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0.0046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-8.69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0.68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0.5431 </w:t>
            </w:r>
          </w:p>
        </w:tc>
      </w:tr>
      <w:tr>
        <w:trPr>
          <w:trHeight w:hRule="exact" w:val="32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-0.0125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24.39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12.72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0.0065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-0.0013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2.80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0.8258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-0.0081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15.52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1.64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0.4922 </w:t>
            </w:r>
          </w:p>
        </w:tc>
      </w:tr>
      <w:tr>
        <w:trPr>
          <w:trHeight w:hRule="exact" w:val="30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4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0.0031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-5.79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0.47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0.6123 </w:t>
            </w:r>
          </w:p>
        </w:tc>
      </w:tr>
      <w:tr>
        <w:trPr>
          <w:trHeight w:hRule="exact" w:val="319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5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0.0013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-3.15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0.17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0.7642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-0.0146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27.74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10.64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0.0902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-0.0061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11.21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15.10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0.0028 </w:t>
            </w:r>
          </w:p>
        </w:tc>
      </w:tr>
      <w:tr>
        <w:trPr>
          <w:trHeight w:hRule="exact" w:val="30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0.0225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-45.51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10.82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0.0708 </w:t>
            </w:r>
          </w:p>
        </w:tc>
      </w:tr>
      <w:tr>
        <w:trPr>
          <w:trHeight w:hRule="exact" w:val="32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0.0265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-52.89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36.89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&lt;0.0001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-0.0044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8.77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3.45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0.1664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0.0059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-11.61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3.02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0.1959 </w:t>
            </w:r>
          </w:p>
        </w:tc>
      </w:tr>
      <w:tr>
        <w:trPr>
          <w:trHeight w:hRule="exact" w:val="30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0.0010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-2.05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0.19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0.7459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0.0116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-23.02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3.21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0.3349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0.0052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-10.24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5.43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0.0811 </w:t>
            </w:r>
          </w:p>
        </w:tc>
      </w:tr>
      <w:tr>
        <w:trPr>
          <w:trHeight w:hRule="exact" w:val="31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0.0143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-27.91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20.92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0.0003 </w:t>
            </w:r>
          </w:p>
        </w:tc>
      </w:tr>
      <w:tr>
        <w:trPr>
          <w:trHeight w:hRule="exact" w:val="30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-0.0077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15.59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3.25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0.1800 </w:t>
            </w:r>
          </w:p>
        </w:tc>
      </w:tr>
      <w:tr>
        <w:trPr>
          <w:trHeight w:hRule="exact" w:val="32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1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0.0129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-24.92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14.53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0.0034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0.0226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-44.55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11.49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0.0623 </w:t>
            </w:r>
          </w:p>
        </w:tc>
      </w:tr>
      <w:tr>
        <w:trPr>
          <w:trHeight w:hRule="exact" w:val="38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0.0081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-15.58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8.24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0.0304 </w:t>
            </w:r>
          </w:p>
        </w:tc>
      </w:tr>
    </w:tbl>
    <w:p>
      <w:pPr>
        <w:autoSpaceDN w:val="0"/>
        <w:autoSpaceDE w:val="0"/>
        <w:widowControl/>
        <w:spacing w:line="194" w:lineRule="auto" w:before="3772" w:after="0"/>
        <w:ind w:left="0" w:right="45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24" w:right="1440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8380" cy="2268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26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179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17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3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5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5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3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50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3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5020" cy="50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03289" cy="2052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289" cy="205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8380" cy="2395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39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24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3.  Trends in log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10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 transformed density (i.e., abundance) of young-of-the-year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alosines (alewife, blueback herring, and American shad). Solid lines represent </w:t>
      </w:r>
      <w:r>
        <w:br/>
      </w:r>
      <w:r>
        <w:rPr>
          <w:rFonts w:ascii="Arial" w:hAnsi="Arial" w:eastAsia="Arial"/>
          <w:b w:val="0"/>
          <w:i/>
          <w:color w:val="000000"/>
          <w:sz w:val="24"/>
        </w:rPr>
        <w:t xml:space="preserve">regressions with p-values ≤ 0.05.  Dashed lines indicate regressions are near significant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at 0.05 &lt; p ≤ 0.10.  Dotted lines indicate regressions with p &gt; 0.10. </w:t>
      </w:r>
    </w:p>
    <w:p>
      <w:pPr>
        <w:autoSpaceDN w:val="0"/>
        <w:autoSpaceDE w:val="0"/>
        <w:widowControl/>
        <w:spacing w:line="194" w:lineRule="auto" w:before="1300" w:after="0"/>
        <w:ind w:left="0" w:right="480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20" w:right="120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08370" cy="2980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98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8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5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9650" cy="1682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4.  Trends in log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10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 transformed density (i.e., abundance) of young-of-the-year 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moronids (striped bass and white perch). Solid lines represent regressions with p-values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≤ 0.05.  Dashed lines indicate regressions are near significant at 0.05 &lt; p ≤ 0.10.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Dotted lines indicate regressions with p &gt; 0.10. </w:t>
      </w:r>
    </w:p>
    <w:p>
      <w:pPr>
        <w:autoSpaceDN w:val="0"/>
        <w:autoSpaceDE w:val="0"/>
        <w:widowControl/>
        <w:spacing w:line="330" w:lineRule="exact" w:before="2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Biomass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26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Combined Groups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96" w:after="0"/>
        <w:ind w:left="0" w:right="28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With the exception of the Patuxent River, which had the shortest duration 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DNR survey, there were significant, positive trends in the biomass of YOY moronids. </w:t>
      </w:r>
    </w:p>
    <w:p>
      <w:pPr>
        <w:autoSpaceDN w:val="0"/>
        <w:autoSpaceDE w:val="0"/>
        <w:widowControl/>
        <w:spacing w:line="276" w:lineRule="exact" w:before="5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Biomass of YOY alosines, which could only be estimated since 1990, exhibited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significant trends in any of the systems (Figure 5, Table 3).  No slopes of the trends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biomass for the combined YOY alosine or anadromous fishes differed significantly from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zero in any of the systems for the period 1990 to present.  There were fewer significant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in the biomass data than in the abundance data, primarily because of the shorter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period of data availability on fish sizes in the survey. </w:t>
      </w:r>
    </w:p>
    <w:p>
      <w:pPr>
        <w:autoSpaceDN w:val="0"/>
        <w:autoSpaceDE w:val="0"/>
        <w:widowControl/>
        <w:spacing w:line="194" w:lineRule="auto" w:before="1260" w:after="0"/>
        <w:ind w:left="0" w:right="481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20" w:right="1196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14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3.  Biomass of YOY anadromous fish groups in Chesapeake Bay.  Slope, </w:t>
      </w:r>
      <w:r>
        <w:rPr>
          <w:rFonts w:ascii="Arial" w:hAnsi="Arial" w:eastAsia="Arial"/>
          <w:b w:val="0"/>
          <w:i/>
          <w:color w:val="000000"/>
          <w:sz w:val="24"/>
        </w:rPr>
        <w:t>intercept, r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(%), and regression p-value estimates for the trends in mean annual </w:t>
      </w:r>
      <w:r>
        <w:rPr>
          <w:rFonts w:ascii="Arial" w:hAnsi="Arial" w:eastAsia="Arial"/>
          <w:b w:val="0"/>
          <w:i/>
          <w:color w:val="000000"/>
          <w:sz w:val="24"/>
        </w:rPr>
        <w:t>biomass (log</w:t>
      </w:r>
      <w:r>
        <w:rPr>
          <w:rFonts w:ascii="Arial" w:hAnsi="Arial" w:eastAsia="Arial"/>
          <w:b w:val="0"/>
          <w:i/>
          <w:color w:val="000000"/>
          <w:sz w:val="16"/>
        </w:rPr>
        <w:t>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grams wet weight per 100 m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) of alosines (American shad, alewife, </w:t>
      </w:r>
    </w:p>
    <w:p>
      <w:pPr>
        <w:autoSpaceDN w:val="0"/>
        <w:autoSpaceDE w:val="0"/>
        <w:widowControl/>
        <w:spacing w:line="233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blueback herring), moronids (striped bass and white perch), and all anadromous </w:t>
      </w:r>
    </w:p>
    <w:p>
      <w:pPr>
        <w:autoSpaceDN w:val="0"/>
        <w:autoSpaceDE w:val="0"/>
        <w:widowControl/>
        <w:spacing w:line="233" w:lineRule="auto" w:before="8" w:after="24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species combined.  Significant p-values (p ≤ 0.05)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6"/>
        <w:gridCol w:w="1596"/>
        <w:gridCol w:w="1596"/>
        <w:gridCol w:w="1596"/>
        <w:gridCol w:w="1596"/>
        <w:gridCol w:w="1596"/>
      </w:tblGrid>
      <w:tr>
        <w:trPr>
          <w:trHeight w:hRule="exact" w:val="378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3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1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Group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4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324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-0.0040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9.06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0.09</w:t>
            </w:r>
          </w:p>
        </w:tc>
        <w:tc>
          <w:tcPr>
            <w:tcW w:type="dxa" w:w="1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0.8997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0.0158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-32.01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2.12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0.5284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0.0254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-50.43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3.67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0.4053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0.0023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-4.30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0.07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0.9063 </w:t>
            </w:r>
          </w:p>
        </w:tc>
      </w:tr>
      <w:tr>
        <w:trPr>
          <w:trHeight w:hRule="exact" w:val="30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Alosines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0.0179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-34.74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5.65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0.2997 </w:t>
            </w:r>
          </w:p>
        </w:tc>
      </w:tr>
      <w:tr>
        <w:trPr>
          <w:trHeight w:hRule="exact" w:val="32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0.0182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-34.96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31.66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0.0001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0.0185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-35.49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11.44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0.0306 </w:t>
            </w:r>
          </w:p>
        </w:tc>
      </w:tr>
      <w:tr>
        <w:trPr>
          <w:trHeight w:hRule="exact" w:val="31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0.0216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-41.76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28.33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0.0004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0.0141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-26.80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5.27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0.2310 </w:t>
            </w:r>
          </w:p>
        </w:tc>
      </w:tr>
      <w:tr>
        <w:trPr>
          <w:trHeight w:hRule="exact" w:val="32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Moronids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0.0181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-34.97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26.42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0.0006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0.0064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-10.68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0.66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0.7256 </w:t>
            </w:r>
          </w:p>
        </w:tc>
      </w:tr>
      <w:tr>
        <w:trPr>
          <w:trHeight w:hRule="exact" w:val="318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-0.0501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102.27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15.20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0.0807 </w:t>
            </w:r>
          </w:p>
        </w:tc>
      </w:tr>
      <w:tr>
        <w:trPr>
          <w:trHeight w:hRule="exact" w:val="30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-0.0140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30.01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4.79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0.3408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-0.0155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32.55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3.68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0.4046 </w:t>
            </w:r>
          </w:p>
        </w:tc>
      </w:tr>
      <w:tr>
        <w:trPr>
          <w:trHeight w:hRule="exact" w:val="39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Anadromous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0.0003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1.55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0.9759 </w:t>
            </w:r>
          </w:p>
        </w:tc>
      </w:tr>
    </w:tbl>
    <w:p>
      <w:pPr>
        <w:autoSpaceDN w:val="0"/>
        <w:autoSpaceDE w:val="0"/>
        <w:widowControl/>
        <w:spacing w:line="194" w:lineRule="auto" w:before="6646" w:after="0"/>
        <w:ind w:left="0" w:right="45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24" w:right="1440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670" cy="64757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647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5.  Trends in log</w:t>
      </w:r>
      <w:r>
        <w:rPr>
          <w:rFonts w:ascii="Arial" w:hAnsi="Arial" w:eastAsia="Arial"/>
          <w:b w:val="0"/>
          <w:i/>
          <w:color w:val="000000"/>
          <w:sz w:val="16"/>
        </w:rPr>
        <w:t>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-transformed biomass of young-of-the-year moronids, alosines,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and all anadromous species combined.  Solid lines represent regressions with p-values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≤ 0.05.  Dashed lines indicate regressions are near significant at 0.05 &lt; p ≤ 0.10.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Dotted lines are regressions with p &gt; 0.10. </w:t>
      </w:r>
    </w:p>
    <w:p>
      <w:pPr>
        <w:autoSpaceDN w:val="0"/>
        <w:autoSpaceDE w:val="0"/>
        <w:widowControl/>
        <w:spacing w:line="194" w:lineRule="auto" w:before="20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710" w:right="138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2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Biomass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264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Species-specific </w:t>
      </w:r>
    </w:p>
    <w:p>
      <w:pPr>
        <w:autoSpaceDN w:val="0"/>
        <w:autoSpaceDE w:val="0"/>
        <w:widowControl/>
        <w:spacing w:line="276" w:lineRule="exact" w:before="296" w:after="0"/>
        <w:ind w:left="214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YOY American shad had significant positive trends in biomass within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Nanticoke and Potomac Rivers (Figure 6, Table 4).  There were, however, no significant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in biomass in any of the systems for YOY alewife or blueback herring. 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white perch had strongly significant positive trends in biomass in all systems except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>Choptank River.  The slopes for the significant trends were similar, ranging from 0.0260-</w:t>
      </w:r>
      <w:r>
        <w:rPr>
          <w:rFonts w:ascii="ArialMT" w:hAnsi="ArialMT" w:eastAsia="ArialMT"/>
          <w:b w:val="0"/>
          <w:i w:val="0"/>
          <w:color w:val="000000"/>
          <w:sz w:val="24"/>
        </w:rPr>
        <w:t>0.0284 log</w:t>
      </w:r>
      <w:r>
        <w:rPr>
          <w:rFonts w:ascii="ArialMT" w:hAnsi="ArialMT" w:eastAsia="ArialMT"/>
          <w:b w:val="0"/>
          <w:i w:val="0"/>
          <w:color w:val="000000"/>
          <w:sz w:val="16"/>
        </w:rPr>
        <w:t>10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grams wet weight 100 m</w:t>
      </w:r>
      <w:r>
        <w:rPr>
          <w:rFonts w:ascii="ArialMT" w:hAnsi="ArialMT" w:eastAsia="ArialMT"/>
          <w:b w:val="0"/>
          <w:i w:val="0"/>
          <w:color w:val="000000"/>
          <w:sz w:val="16"/>
        </w:rPr>
        <w:t>-2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year</w:t>
      </w:r>
      <w:r>
        <w:rPr>
          <w:rFonts w:ascii="ArialMT" w:hAnsi="ArialMT" w:eastAsia="ArialMT"/>
          <w:b w:val="0"/>
          <w:i w:val="0"/>
          <w:color w:val="000000"/>
          <w:sz w:val="16"/>
        </w:rPr>
        <w:t>-1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(Figure 7, Table 4).  Conversely, slopes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trends in YOY striped bass biomass over the time series were near-zero and not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significant, indicating that the trends in white perch biomass drove the observed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biomass trends in the combined moronid group. </w:t>
      </w:r>
    </w:p>
    <w:p>
      <w:pPr>
        <w:autoSpaceDN w:val="0"/>
        <w:autoSpaceDE w:val="0"/>
        <w:widowControl/>
        <w:spacing w:line="266" w:lineRule="auto" w:before="226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Table 4.  Biomass of YOY anadromous fishes in Chesapeake Bay. Slope, intercept, r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</w:p>
    <w:p>
      <w:pPr>
        <w:autoSpaceDN w:val="0"/>
        <w:autoSpaceDE w:val="0"/>
        <w:widowControl/>
        <w:spacing w:line="245" w:lineRule="auto" w:before="8" w:after="0"/>
        <w:ind w:left="214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(%), and regression p-value estimates for the trends in mean annual biomass (log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10 </w:t>
      </w:r>
      <w:r>
        <w:rPr>
          <w:rFonts w:ascii="Arial" w:hAnsi="Arial" w:eastAsia="Arial"/>
          <w:b w:val="0"/>
          <w:i/>
          <w:color w:val="000000"/>
          <w:sz w:val="24"/>
        </w:rPr>
        <w:t>grams wet weight per 100 m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) of American shad, alewife, blueback herring, striped </w:t>
      </w:r>
    </w:p>
    <w:p>
      <w:pPr>
        <w:autoSpaceDN w:val="0"/>
        <w:autoSpaceDE w:val="0"/>
        <w:widowControl/>
        <w:spacing w:line="233" w:lineRule="auto" w:before="8" w:after="12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bass, and white perch.  Significant p-values (p ≤ 0.05)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330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0" w:right="3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1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332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0.0029</w:t>
            </w:r>
          </w:p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-5.29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0.06</w:t>
            </w:r>
          </w:p>
        </w:tc>
        <w:tc>
          <w:tcPr>
            <w:tcW w:type="dxa" w:w="111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0.9162 </w:t>
            </w:r>
          </w:p>
        </w:tc>
      </w:tr>
      <w:tr>
        <w:trPr>
          <w:trHeight w:hRule="exact" w:val="318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0.0104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-21.16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2.08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0.5325 </w:t>
            </w:r>
          </w:p>
        </w:tc>
      </w:tr>
      <w:tr>
        <w:trPr>
          <w:trHeight w:hRule="exact" w:val="30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0.0070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-14.26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0.62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0.7342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-0.0206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41.13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4.85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0.3375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0.0022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-4.60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0.06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0.9169 </w:t>
            </w:r>
          </w:p>
        </w:tc>
      </w:tr>
      <w:tr>
        <w:trPr>
          <w:trHeight w:hRule="exact" w:val="318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-0.0045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9.83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0.07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0.9122 </w:t>
            </w:r>
          </w:p>
        </w:tc>
      </w:tr>
      <w:tr>
        <w:trPr>
          <w:trHeight w:hRule="exact" w:val="30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-0.0018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2.98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0.05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0.9267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0.0126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-25.14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0.68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0.7231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-0.0041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7.68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0.32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0.8073 </w:t>
            </w:r>
          </w:p>
        </w:tc>
      </w:tr>
      <w:tr>
        <w:trPr>
          <w:trHeight w:hRule="exact" w:val="318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6" w:after="0"/>
              <w:ind w:left="14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0.0101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-19.93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0.34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0.8022 </w:t>
            </w:r>
          </w:p>
        </w:tc>
      </w:tr>
      <w:tr>
        <w:trPr>
          <w:trHeight w:hRule="exact" w:val="301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0.0326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-65.23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17.11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0.0623 </w:t>
            </w:r>
          </w:p>
        </w:tc>
      </w:tr>
      <w:tr>
        <w:trPr>
          <w:trHeight w:hRule="exact" w:val="32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0.0366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-73.58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36.76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0.0036 </w:t>
            </w:r>
          </w:p>
        </w:tc>
      </w:tr>
      <w:tr>
        <w:trPr>
          <w:trHeight w:hRule="exact" w:val="31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0.0197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-39.32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3.17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0.4399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0.0779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-155.28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51.12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0.0003 </w:t>
            </w:r>
          </w:p>
        </w:tc>
      </w:tr>
      <w:tr>
        <w:trPr>
          <w:trHeight w:hRule="exact" w:val="30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-0.0056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11.84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4.67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0.1165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0.0083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-15.47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3.17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0.1978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-0.0064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13.31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4.45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0.1294 </w:t>
            </w:r>
          </w:p>
        </w:tc>
      </w:tr>
      <w:tr>
        <w:trPr>
          <w:trHeight w:hRule="exact" w:val="318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0.0150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-29.06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4.18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0.2876 </w:t>
            </w:r>
          </w:p>
        </w:tc>
      </w:tr>
      <w:tr>
        <w:trPr>
          <w:trHeight w:hRule="exact" w:val="30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0.0003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0.9388 </w:t>
            </w:r>
          </w:p>
        </w:tc>
      </w:tr>
      <w:tr>
        <w:trPr>
          <w:trHeight w:hRule="exact" w:val="32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0.0284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-55.50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33.95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0.0001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0.0010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-1.43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0.9350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0.0284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-55.52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30.37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0.0002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0.0262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-51.12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15.10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0.0372 </w:t>
            </w:r>
          </w:p>
        </w:tc>
      </w:tr>
      <w:tr>
        <w:trPr>
          <w:trHeight w:hRule="exact" w:val="39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0.0260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-51.06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27.68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0.0004 </w:t>
            </w:r>
          </w:p>
        </w:tc>
      </w:tr>
    </w:tbl>
    <w:p>
      <w:pPr>
        <w:autoSpaceDN w:val="0"/>
        <w:autoSpaceDE w:val="0"/>
        <w:widowControl/>
        <w:spacing w:line="194" w:lineRule="auto" w:before="500" w:after="0"/>
        <w:ind w:left="0" w:right="46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15</w:t>
      </w:r>
    </w:p>
    <w:p>
      <w:pPr>
        <w:sectPr>
          <w:pgSz w:w="12240" w:h="15840"/>
          <w:pgMar w:top="702" w:right="1388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4570" cy="22682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26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4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1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17259" cy="16687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7259" cy="166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0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38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8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59" cy="507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7559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3810" cy="4927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49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" w:after="0"/>
        <w:ind w:left="5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8380" cy="23964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39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24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6.  Trends in log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10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 transformed biomass of young-of-the-year alosines (alewife,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blueback herring, and American shad) for the period 1990 to present.  Solid lines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represent regressions with p-values ≤ 0.05.  Dashed lines indicate regressions are near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significant at 0.05 &lt; p ≤ 0.10.  Dotted lines are regressions with p &gt; 0.10. </w:t>
      </w:r>
    </w:p>
    <w:p>
      <w:pPr>
        <w:autoSpaceDN w:val="0"/>
        <w:autoSpaceDE w:val="0"/>
        <w:widowControl/>
        <w:spacing w:line="194" w:lineRule="auto" w:before="888" w:after="0"/>
        <w:ind w:left="0" w:right="482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16</w:t>
      </w:r>
    </w:p>
    <w:p>
      <w:pPr>
        <w:sectPr>
          <w:pgSz w:w="12240" w:h="15840"/>
          <w:pgMar w:top="860" w:right="1182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6459" cy="3068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6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80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81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7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7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81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02530" cy="23240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3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507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81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4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4570" cy="13347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133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20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Figure 7.  Trends in log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10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- transformed biomass of young-of-the-year moronids (striped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bass and white perch) for the periods 1957 to present (striped bass) and 1971 to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present (white perch). Solid lines represent regressions with p-values ≤ 0.05.  Dashed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lines indicate regressions are near significant at 0.05 &lt; p ≤ 0.10.  Dotted lines indicate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regressions with p &gt; 0.10. </w:t>
      </w:r>
    </w:p>
    <w:p>
      <w:pPr>
        <w:autoSpaceDN w:val="0"/>
        <w:autoSpaceDE w:val="0"/>
        <w:widowControl/>
        <w:spacing w:line="288" w:lineRule="auto" w:before="107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Length, growth, and production </w:t>
      </w:r>
    </w:p>
    <w:p>
      <w:pPr>
        <w:autoSpaceDN w:val="0"/>
        <w:autoSpaceDE w:val="0"/>
        <w:widowControl/>
        <w:spacing w:line="33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Length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analysis of median lengths in September indicated six significant negative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(Figure 8, Table 5) and no significant positive trends in length over the survey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period.  Only YOY striped bass and American shad exhibited significant negative trends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more than one tributary.  No significant trends in length were observed for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alewife or blueback herring. </w:t>
      </w:r>
    </w:p>
    <w:p>
      <w:pPr>
        <w:autoSpaceDN w:val="0"/>
        <w:autoSpaceDE w:val="0"/>
        <w:widowControl/>
        <w:spacing w:line="194" w:lineRule="auto" w:before="986" w:after="0"/>
        <w:ind w:left="0" w:right="47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17</w:t>
      </w:r>
    </w:p>
    <w:p>
      <w:pPr>
        <w:sectPr>
          <w:pgSz w:w="12240" w:h="15840"/>
          <w:pgMar w:top="720" w:right="1262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2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Growth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214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There were no strong or consistent trends in growth rates of the YOY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fishes.  Only three close-to-significant trends in August-September growth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rates were observed (Table 6).  One (white perch, Potomac) was positive and two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(white perch, Patuxent and American shad, Potomac) were negative.  Trends in growth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rates were more variable than trends in median length because too few individuals were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collected (&lt;5) in several survey years to provide robust estimates.  Additionally, there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were many years when small individuals continued to recruit (become available) to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seine gear in September, which resulted in lower or negative estimates of growth rates.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 will conduct a modal length progression analysis in the continuation of this research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that may provide better and more consistent growth rate estimates. </w:t>
      </w:r>
    </w:p>
    <w:p>
      <w:pPr>
        <w:autoSpaceDN w:val="0"/>
        <w:autoSpaceDE w:val="0"/>
        <w:widowControl/>
        <w:spacing w:line="266" w:lineRule="auto" w:before="226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24"/>
        </w:rPr>
        <w:t>Table 5.  Lengths of YOY anadromous fishes in Chesapeake Bay.  Slope, intercept, r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(%), and regression p-value estimates for the trends in median length in September. </w:t>
      </w:r>
    </w:p>
    <w:p>
      <w:pPr>
        <w:autoSpaceDN w:val="0"/>
        <w:autoSpaceDE w:val="0"/>
        <w:widowControl/>
        <w:spacing w:line="233" w:lineRule="auto" w:before="8" w:after="186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Significant (p ≤ 0.05) trends are in bold.  Significant p-values (p ≤ 0.05)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410"/>
        </w:trPr>
        <w:tc>
          <w:tcPr>
            <w:tcW w:type="dxa" w:w="221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232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158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1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42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9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96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p-value</w:t>
            </w:r>
          </w:p>
        </w:tc>
      </w:tr>
      <w:tr>
        <w:trPr>
          <w:trHeight w:hRule="exact" w:val="1476"/>
        </w:trPr>
        <w:tc>
          <w:tcPr>
            <w:tcW w:type="dxa" w:w="2214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0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232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5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158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72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-0.63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-3.44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-0.61 </w:t>
            </w:r>
          </w:p>
        </w:tc>
        <w:tc>
          <w:tcPr>
            <w:tcW w:type="dxa" w:w="142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544.86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-1960.46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1337.28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6972.49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1304.77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1493.2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-2288.83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1709.25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119.89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306.79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-261.42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307.08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110.02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89.52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849.03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762.43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1423.79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240.35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79.23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-159.3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55.12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1054.3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14.21 </w:t>
            </w:r>
          </w:p>
        </w:tc>
        <w:tc>
          <w:tcPr>
            <w:tcW w:type="dxa" w:w="94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2.17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30.13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25.03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76.22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19.95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46.23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39.05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30.20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8.75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2.92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11.04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15.41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26.81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2.39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17.99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0.31 </w:t>
            </w:r>
          </w:p>
        </w:tc>
        <w:tc>
          <w:tcPr>
            <w:tcW w:type="dxa" w:w="1096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52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0.615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0.380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0.082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0.145 </w:t>
            </w:r>
          </w:p>
        </w:tc>
      </w:tr>
      <w:tr>
        <w:trPr>
          <w:trHeight w:hRule="exact" w:val="254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-0.70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0.011 </w:t>
            </w:r>
          </w:p>
        </w:tc>
      </w:tr>
      <w:tr>
        <w:trPr>
          <w:trHeight w:hRule="exact" w:val="322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1.19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0.133 </w:t>
            </w:r>
          </w:p>
        </w:tc>
      </w:tr>
      <w:tr>
        <w:trPr>
          <w:trHeight w:hRule="exact" w:val="256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-0.81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0.022 </w:t>
            </w:r>
          </w:p>
        </w:tc>
      </w:tr>
      <w:tr>
        <w:trPr>
          <w:trHeight w:hRule="exact" w:val="1760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72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50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0.851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0.496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0.305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0.746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0.835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0.976 </w:t>
            </w:r>
          </w:p>
        </w:tc>
      </w:tr>
      <w:tr>
        <w:trPr>
          <w:trHeight w:hRule="exact" w:val="262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-0.38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0.036 </w:t>
            </w:r>
          </w:p>
        </w:tc>
      </w:tr>
      <w:tr>
        <w:trPr>
          <w:trHeight w:hRule="exact" w:val="300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-0.34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0.007 </w:t>
            </w:r>
          </w:p>
        </w:tc>
      </w:tr>
      <w:tr>
        <w:trPr>
          <w:trHeight w:hRule="exact" w:val="270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-0.67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0.005 </w:t>
            </w:r>
          </w:p>
        </w:tc>
      </w:tr>
      <w:tr>
        <w:trPr>
          <w:trHeight w:hRule="exact" w:val="1184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72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52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0.576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0.947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0.470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0.976 </w:t>
            </w:r>
          </w:p>
        </w:tc>
      </w:tr>
      <w:tr>
        <w:trPr>
          <w:trHeight w:hRule="exact" w:val="256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-0.49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0.024 </w:t>
            </w:r>
          </w:p>
        </w:tc>
      </w:tr>
      <w:tr>
        <w:trPr>
          <w:trHeight w:hRule="exact" w:val="380"/>
        </w:trPr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0.03 </w:t>
            </w:r>
          </w:p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604"/>
            <w:vMerge/>
            <w:tcBorders>
              <w:top w:sz="24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0.739 </w:t>
            </w:r>
          </w:p>
        </w:tc>
      </w:tr>
    </w:tbl>
    <w:p>
      <w:pPr>
        <w:autoSpaceDN w:val="0"/>
        <w:autoSpaceDE w:val="0"/>
        <w:widowControl/>
        <w:spacing w:line="194" w:lineRule="auto" w:before="1726" w:after="0"/>
        <w:ind w:left="0" w:right="461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18</w:t>
      </w:r>
    </w:p>
    <w:p>
      <w:pPr>
        <w:sectPr>
          <w:pgSz w:w="12240" w:h="15840"/>
          <w:pgMar w:top="702" w:right="1390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5" w:lineRule="auto" w:before="0" w:after="270"/>
        <w:ind w:left="0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Figure 8.  The six significant, negative trends in September median lengths of YOY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anadromous fishes in tributaries and the head of Chesapeake Bay (see Table 5).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</w:tblGrid>
      <w:tr>
        <w:trPr>
          <w:trHeight w:hRule="exact" w:val="380"/>
        </w:trPr>
        <w:tc>
          <w:tcPr>
            <w:tcW w:type="dxa" w:w="440"/>
            <w:vMerge w:val="restart"/>
            <w:tcBorders>
              <w:bottom w:sz="25.59999999999991" w:val="single" w:color="#0099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median total length (mm)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0" w:right="12" w:firstLine="0"/>
              <w:jc w:val="right"/>
            </w:pPr>
            <w:r>
              <w:rPr>
                <w:w w:val="94.70222261216905"/>
                <w:rFonts w:ascii="ArialMT" w:hAnsi="ArialMT" w:eastAsia="ArialMT"/>
                <w:b w:val="0"/>
                <w:i w:val="0"/>
                <w:color w:val="000000"/>
                <w:sz w:val="9"/>
              </w:rPr>
              <w:t>125</w:t>
            </w:r>
          </w:p>
        </w:tc>
        <w:tc>
          <w:tcPr>
            <w:tcW w:type="dxa" w:w="3160"/>
            <w:gridSpan w:val="1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287"/>
              <w:gridCol w:w="287"/>
              <w:gridCol w:w="287"/>
              <w:gridCol w:w="287"/>
              <w:gridCol w:w="287"/>
              <w:gridCol w:w="287"/>
              <w:gridCol w:w="287"/>
              <w:gridCol w:w="287"/>
              <w:gridCol w:w="287"/>
              <w:gridCol w:w="287"/>
              <w:gridCol w:w="287"/>
            </w:tblGrid>
            <w:tr>
              <w:trPr>
                <w:trHeight w:hRule="exact" w:val="54"/>
              </w:trPr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  <w:tc>
                <w:tcPr>
                  <w:tcW w:type="dxa" w:w="287"/>
                  <w:tcBorders>
                    <w:start w:sz="12.847999572753906" w:val="single" w:color="#000000"/>
                    <w:top w:sz="12.847999572753906" w:val="single" w:color="#000000"/>
                    <w:end w:sz="12.847999572753906" w:val="single" w:color="#000000"/>
                    <w:bottom w:sz="12.847999572753906" w:val="single" w:color="#000000"/>
                  </w:tcBorders>
                </w:tcPr>
                <w:p/>
              </w:tc>
            </w:tr>
          </w:tbl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0"/>
            <w:gridSpan w:val="10"/>
            <w:vMerge/>
            <w:tcBorders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0"/>
            <w:gridSpan w:val="10"/>
            <w:vMerge/>
            <w:tcBorders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0"/>
            <w:gridSpan w:val="10"/>
            <w:vMerge/>
            <w:tcBorders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0"/>
            <w:gridSpan w:val="10"/>
            <w:vMerge/>
            <w:tcBorders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  <w:vMerge/>
            <w:tcBorders>
              <w:bottom w:sz="25.59999999999991" w:val="single" w:color="#009900"/>
            </w:tcBorders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  <w:tr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  <w:tc>
          <w:tcPr>
            <w:tcW w:type="dxa" w:w="407"/>
          </w:tcPr>
          <w:p/>
        </w:tc>
      </w:tr>
    </w:tbl>
    <w:p>
      <w:pPr>
        <w:sectPr>
          <w:pgSz w:w="12240" w:h="15840"/>
          <w:pgMar w:top="72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6.  Growth Rates of YOY anadromous fishes in Chesapeake Bay.  Slope, </w:t>
      </w:r>
    </w:p>
    <w:p>
      <w:pPr>
        <w:autoSpaceDN w:val="0"/>
        <w:autoSpaceDE w:val="0"/>
        <w:widowControl/>
        <w:spacing w:line="266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intercept, r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( %), and regression p-value estimates for the trends in growth rates (mm 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total length/d)from August to September) over the survey years.  No trends were 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significant at the p ≤ 0.05 level, although three (Patuxent white perch and Potomac </w:t>
      </w:r>
    </w:p>
    <w:p>
      <w:pPr>
        <w:autoSpaceDN w:val="0"/>
        <w:autoSpaceDE w:val="0"/>
        <w:widowControl/>
        <w:spacing w:line="233" w:lineRule="auto" w:before="8" w:after="186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American shad and white perch) approached the significance level.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8"/>
        <w:gridCol w:w="1598"/>
        <w:gridCol w:w="1598"/>
        <w:gridCol w:w="1598"/>
        <w:gridCol w:w="1598"/>
        <w:gridCol w:w="1598"/>
      </w:tblGrid>
      <w:tr>
        <w:trPr>
          <w:trHeight w:hRule="exact" w:val="398"/>
        </w:trPr>
        <w:tc>
          <w:tcPr>
            <w:tcW w:type="dxa" w:w="15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16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13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6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128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5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56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5902"/>
        </w:trPr>
        <w:tc>
          <w:tcPr>
            <w:tcW w:type="dxa" w:w="1594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16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3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-0.0211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-0.0065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-0.0020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-0.0040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0.0020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-0.0091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-0.0111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-0.0028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-0.0243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-0.0099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-0.0076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-0.0068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0.0044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-0.0094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-0.0053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-0.0055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0.0039 </w:t>
            </w:r>
          </w:p>
        </w:tc>
        <w:tc>
          <w:tcPr>
            <w:tcW w:type="dxa" w:w="16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42.43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13.42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6.39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8.32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-3.76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18.42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22.29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48.94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20.07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15.49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13.69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-8.54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19.05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10.78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11.28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-7.48 </w:t>
            </w:r>
          </w:p>
        </w:tc>
        <w:tc>
          <w:tcPr>
            <w:tcW w:type="dxa" w:w="128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18.33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3.04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1.34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5.98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1.86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2.22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13.01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15.02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27.49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15.21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13.60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2.86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22.99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5.55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13.28 </w:t>
            </w:r>
          </w:p>
        </w:tc>
        <w:tc>
          <w:tcPr>
            <w:tcW w:type="dxa" w:w="1556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462" w:right="42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0.443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0.954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0.241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0.484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0.428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0.498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0.239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0.152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0.054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0.599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0.052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0.452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0.052 </w:t>
            </w:r>
          </w:p>
        </w:tc>
      </w:tr>
    </w:tbl>
    <w:p>
      <w:pPr>
        <w:autoSpaceDN w:val="0"/>
        <w:autoSpaceDE w:val="0"/>
        <w:widowControl/>
        <w:spacing w:line="330" w:lineRule="exact" w:before="438" w:after="0"/>
        <w:ind w:left="2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Net Production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214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Estimating net production based on the changes in median sizes of YOY fish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between August and September indicated a single significant trend (positive for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blueback herring, Choptank River) for years in the survey where both abundance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sizes of YOY anadromous fishes were available (Table 7).  The difficulties in estimating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growth rates (see above paragraph) were magnified in the net production analysis. </w:t>
      </w:r>
    </w:p>
    <w:p>
      <w:pPr>
        <w:autoSpaceDN w:val="0"/>
        <w:autoSpaceDE w:val="0"/>
        <w:widowControl/>
        <w:spacing w:line="194" w:lineRule="auto" w:before="3168" w:after="0"/>
        <w:ind w:left="0" w:right="458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20</w:t>
      </w:r>
    </w:p>
    <w:p>
      <w:pPr>
        <w:sectPr>
          <w:pgSz w:w="12240" w:h="15840"/>
          <w:pgMar w:top="724" w:right="1424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7.  Net Production of YOY anadromous fishes in Chesapeake Bay.  Slope, </w:t>
      </w:r>
    </w:p>
    <w:p>
      <w:pPr>
        <w:autoSpaceDN w:val="0"/>
        <w:autoSpaceDE w:val="0"/>
        <w:widowControl/>
        <w:spacing w:line="266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intercept, r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2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(%), and regression p-value estimates for the trends in net production (g wet </w:t>
      </w:r>
    </w:p>
    <w:p>
      <w:pPr>
        <w:autoSpaceDN w:val="0"/>
        <w:autoSpaceDE w:val="0"/>
        <w:widowControl/>
        <w:spacing w:line="266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weight/m</w:t>
      </w:r>
      <w:r>
        <w:rPr>
          <w:rFonts w:ascii="Arial" w:hAnsi="Arial" w:eastAsia="Arial"/>
          <w:b w:val="0"/>
          <w:i/>
          <w:color w:val="000000"/>
          <w:sz w:val="16"/>
        </w:rPr>
        <w:t>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/d) from August to September over the survey years.  Too few American shad 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were collected in the Choptank River to estimate production.  Significant (p &lt; 0.05) </w:t>
      </w:r>
    </w:p>
    <w:p>
      <w:pPr>
        <w:autoSpaceDN w:val="0"/>
        <w:autoSpaceDE w:val="0"/>
        <w:widowControl/>
        <w:spacing w:line="233" w:lineRule="auto" w:before="8" w:after="186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trends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09"/>
        <w:gridCol w:w="1609"/>
        <w:gridCol w:w="1609"/>
        <w:gridCol w:w="1609"/>
        <w:gridCol w:w="1609"/>
        <w:gridCol w:w="1609"/>
      </w:tblGrid>
      <w:tr>
        <w:trPr>
          <w:trHeight w:hRule="exact" w:val="398"/>
        </w:trPr>
        <w:tc>
          <w:tcPr>
            <w:tcW w:type="dxa" w:w="145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26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148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62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12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16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1974"/>
        </w:trPr>
        <w:tc>
          <w:tcPr>
            <w:tcW w:type="dxa" w:w="1454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48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0.00021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0.00001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62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-0.41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-3.69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1.22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-1.88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0.13 </w:t>
            </w:r>
          </w:p>
        </w:tc>
        <w:tc>
          <w:tcPr>
            <w:tcW w:type="dxa" w:w="1240"/>
            <w:vMerge w:val="restart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4.55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24.84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4.52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1.72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2.62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9.14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5.42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10.04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9.96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1.21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12.30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7.14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3.59 </w:t>
            </w:r>
          </w:p>
        </w:tc>
        <w:tc>
          <w:tcPr>
            <w:tcW w:type="dxa" w:w="1516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0.778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0.353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0.844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0.553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0.814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0.766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</w:tr>
      <w:tr>
        <w:trPr>
          <w:trHeight w:hRule="exact" w:val="5032"/>
        </w:trPr>
        <w:tc>
          <w:tcPr>
            <w:tcW w:type="dxa" w:w="1609"/>
            <w:vMerge/>
            <w:tcBorders>
              <w:top w:sz="24.0" w:val="single" w:color="#000000"/>
            </w:tcBorders>
          </w:tcPr>
          <w:p/>
        </w:tc>
        <w:tc>
          <w:tcPr>
            <w:tcW w:type="dxa" w:w="1609"/>
            <w:vMerge/>
            <w:tcBorders>
              <w:top w:sz="24.0" w:val="single" w:color="#000000"/>
            </w:tcBorders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0.00039 </w:t>
            </w:r>
          </w:p>
          <w:p>
            <w:pPr>
              <w:autoSpaceDN w:val="0"/>
              <w:autoSpaceDE w:val="0"/>
              <w:widowControl/>
              <w:spacing w:line="276" w:lineRule="exact" w:before="5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0.00187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-0.00011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0.00003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0.000004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0.00061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0.00005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-0.00015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0.00095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-0.00010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-0.00007 </w:t>
            </w:r>
          </w:p>
        </w:tc>
        <w:tc>
          <w:tcPr>
            <w:tcW w:type="dxa" w:w="1609"/>
            <w:vMerge/>
            <w:tcBorders>
              <w:top w:sz="24.0" w:val="single" w:color="#000000"/>
            </w:tcBorders>
          </w:tcPr>
          <w:p/>
        </w:tc>
        <w:tc>
          <w:tcPr>
            <w:tcW w:type="dxa" w:w="1609"/>
            <w:vMerge/>
            <w:tcBorders>
              <w:top w:sz="24.0" w:val="single" w:color="#000000"/>
            </w:tcBorders>
          </w:tcPr>
          <w:p/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0.022 </w:t>
            </w:r>
          </w:p>
          <w:p>
            <w:pPr>
              <w:autoSpaceDN w:val="0"/>
              <w:autoSpaceDE w:val="0"/>
              <w:widowControl/>
              <w:spacing w:line="276" w:lineRule="exact" w:before="54" w:after="0"/>
              <w:ind w:left="422" w:right="42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0.147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0.414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0.484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0.183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0.356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0.111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0.658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0.162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0.164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0.798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0.119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0.825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0.535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0.066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0.236 </w:t>
            </w:r>
          </w:p>
        </w:tc>
      </w:tr>
    </w:tbl>
    <w:p>
      <w:pPr>
        <w:autoSpaceDN w:val="0"/>
        <w:autoSpaceDE w:val="0"/>
        <w:widowControl/>
        <w:spacing w:line="288" w:lineRule="auto" w:before="440" w:after="0"/>
        <w:ind w:left="214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Centers of abundance</w:t>
      </w:r>
    </w:p>
    <w:p>
      <w:pPr>
        <w:autoSpaceDN w:val="0"/>
        <w:autoSpaceDE w:val="0"/>
        <w:widowControl/>
        <w:spacing w:line="276" w:lineRule="exact" w:before="272" w:after="0"/>
        <w:ind w:left="214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Eight of the eleven significant slopes of trends in the location of the center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of YOY anadromous fishes indicated a down-estuary shift (Table 8).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Alewife, in all systems with the exception of in the upper-Bay, experienced substantial </w:t>
      </w:r>
      <w:r>
        <w:rPr>
          <w:rFonts w:ascii="ArialMT" w:hAnsi="ArialMT" w:eastAsia="ArialMT"/>
          <w:b w:val="0"/>
          <w:i w:val="0"/>
          <w:color w:val="000000"/>
          <w:sz w:val="24"/>
        </w:rPr>
        <w:t>down-estuary shifts of 0.16 to 0.60 km year</w:t>
      </w:r>
      <w:r>
        <w:rPr>
          <w:rFonts w:ascii="ArialMT" w:hAnsi="ArialMT" w:eastAsia="ArialMT"/>
          <w:b w:val="0"/>
          <w:i w:val="0"/>
          <w:color w:val="000000"/>
          <w:sz w:val="16"/>
        </w:rPr>
        <w:t>-1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since the beginning of the survey.  Shifts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the center of mass that occurred for other species were not consistent, though most </w:t>
      </w:r>
      <w:r>
        <w:rPr>
          <w:rFonts w:ascii="ArialMT" w:hAnsi="ArialMT" w:eastAsia="ArialMT"/>
          <w:b w:val="0"/>
          <w:i w:val="0"/>
          <w:color w:val="000000"/>
          <w:sz w:val="24"/>
        </w:rPr>
        <w:t>up-estuary shifts were not statistically significant.  All species had significant down-</w:t>
      </w:r>
      <w:r>
        <w:rPr>
          <w:rFonts w:ascii="ArialMT" w:hAnsi="ArialMT" w:eastAsia="ArialMT"/>
          <w:b w:val="0"/>
          <w:i w:val="0"/>
          <w:color w:val="000000"/>
          <w:sz w:val="24"/>
        </w:rPr>
        <w:t>estuary shifts in the Choptank River, ranging from 0.45 to 0.75 km year</w:t>
      </w:r>
      <w:r>
        <w:rPr>
          <w:rFonts w:ascii="ArialMT" w:hAnsi="ArialMT" w:eastAsia="ArialMT"/>
          <w:b w:val="0"/>
          <w:i w:val="0"/>
          <w:color w:val="000000"/>
          <w:sz w:val="16"/>
        </w:rPr>
        <w:t>-1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 Most trends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the upper Bay were up-bay.  Since sites sampled by the DNR seine survey include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only one or two stations in upper-Bay tributaries, the survey design may be inadequate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 detect down-estuary shifts. </w:t>
      </w:r>
    </w:p>
    <w:p>
      <w:pPr>
        <w:autoSpaceDN w:val="0"/>
        <w:autoSpaceDE w:val="0"/>
        <w:widowControl/>
        <w:spacing w:line="194" w:lineRule="auto" w:before="684" w:after="0"/>
        <w:ind w:left="0" w:right="46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21</w:t>
      </w:r>
    </w:p>
    <w:p>
      <w:pPr>
        <w:sectPr>
          <w:pgSz w:w="12240" w:h="15840"/>
          <w:pgMar w:top="724" w:right="1358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8.  Centers of Abundance of YOY anadromous fishes in Chesapeake Bay.  Slope </w:t>
      </w:r>
    </w:p>
    <w:p>
      <w:pPr>
        <w:autoSpaceDN w:val="0"/>
        <w:autoSpaceDE w:val="0"/>
        <w:widowControl/>
        <w:spacing w:line="266" w:lineRule="auto" w:before="0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(river km year</w:t>
      </w:r>
      <w:r>
        <w:rPr>
          <w:rFonts w:ascii="Arial" w:hAnsi="Arial" w:eastAsia="Arial"/>
          <w:b w:val="0"/>
          <w:i/>
          <w:color w:val="000000"/>
          <w:sz w:val="16"/>
        </w:rPr>
        <w:t>-1</w:t>
      </w:r>
      <w:r>
        <w:rPr>
          <w:rFonts w:ascii="Arial" w:hAnsi="Arial" w:eastAsia="Arial"/>
          <w:b w:val="0"/>
          <w:i/>
          <w:color w:val="000000"/>
          <w:sz w:val="24"/>
        </w:rPr>
        <w:t>), intercept, r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2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(%), and regression p-value estimates for trends during the 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survey years in the annual centers of abundance.  Negative slopes indicate a down-</w:t>
      </w:r>
    </w:p>
    <w:p>
      <w:pPr>
        <w:autoSpaceDN w:val="0"/>
        <w:autoSpaceDE w:val="0"/>
        <w:widowControl/>
        <w:spacing w:line="233" w:lineRule="auto" w:before="8" w:after="0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estuary shift in the center of abundance, and positive slope values indicate an up-</w:t>
      </w:r>
    </w:p>
    <w:p>
      <w:pPr>
        <w:autoSpaceDN w:val="0"/>
        <w:autoSpaceDE w:val="0"/>
        <w:widowControl/>
        <w:spacing w:line="233" w:lineRule="auto" w:before="8" w:after="278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estuary shift.  Significant (p &lt; 0.05) trends are in bold.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hRule="exact" w:val="340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2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Species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Slope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Intercept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p-value </w:t>
            </w:r>
          </w:p>
        </w:tc>
      </w:tr>
      <w:tr>
        <w:trPr>
          <w:trHeight w:hRule="exact" w:val="328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0.0614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178.50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2.10</w:t>
            </w:r>
          </w:p>
        </w:tc>
        <w:tc>
          <w:tcPr>
            <w:tcW w:type="dxa" w:w="11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0.2917 </w:t>
            </w:r>
          </w:p>
        </w:tc>
      </w:tr>
      <w:tr>
        <w:trPr>
          <w:trHeight w:hRule="exact" w:val="32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-0.4505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936.19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19.77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0.0022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-0.1666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364.25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8.17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0.0420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-0.6044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1265.06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25.85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0.0186 </w:t>
            </w:r>
          </w:p>
        </w:tc>
      </w:tr>
      <w:tr>
        <w:trPr>
          <w:trHeight w:hRule="exact" w:val="32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-0.4539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1016.35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13.71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0.0063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0.0631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176.91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1.33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0.4151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-0.5629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1161.87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30.74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0.0001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0.0239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-4.15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0.28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0.7026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-0.1079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280.35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2.76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0.5243 </w:t>
            </w:r>
          </w:p>
        </w:tc>
      </w:tr>
      <w:tr>
        <w:trPr>
          <w:trHeight w:hRule="exact" w:val="321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-0.3236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775.21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17.70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0.0015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0.0290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246.99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1.01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0.5106 </w:t>
            </w:r>
          </w:p>
        </w:tc>
      </w:tr>
      <w:tr>
        <w:trPr>
          <w:trHeight w:hRule="exact" w:val="30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0.1176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-188.09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7.84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0.1145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-0.2092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482.13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10.84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0.2307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-0.0449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225.17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0.78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0.5508 </w:t>
            </w:r>
          </w:p>
        </w:tc>
      </w:tr>
      <w:tr>
        <w:trPr>
          <w:trHeight w:hRule="exact" w:val="33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-0.0228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341.91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0.43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0.6269 </w:t>
            </w:r>
          </w:p>
        </w:tc>
      </w:tr>
      <w:tr>
        <w:trPr>
          <w:trHeight w:hRule="exact" w:val="28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-0.4486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925.96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30.33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&lt;0.0001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0.0055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18.62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0.9124 </w:t>
            </w:r>
          </w:p>
        </w:tc>
      </w:tr>
      <w:tr>
        <w:trPr>
          <w:trHeight w:hRule="exact" w:val="320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-0.0562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162.85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0.24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0.7955 </w:t>
            </w:r>
          </w:p>
        </w:tc>
      </w:tr>
      <w:tr>
        <w:trPr>
          <w:trHeight w:hRule="exact" w:val="317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0.3620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-617.81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8.62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0.0267 </w:t>
            </w:r>
          </w:p>
        </w:tc>
      </w:tr>
      <w:tr>
        <w:trPr>
          <w:trHeight w:hRule="exact" w:val="303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of Bay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0.1535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-1.70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17.21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0.0016 </w:t>
            </w:r>
          </w:p>
        </w:tc>
      </w:tr>
      <w:tr>
        <w:trPr>
          <w:trHeight w:hRule="exact" w:val="326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Choptank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-0.7541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1542.72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57.74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&lt;0.0001 </w:t>
            </w:r>
          </w:p>
        </w:tc>
      </w:tr>
      <w:tr>
        <w:trPr>
          <w:trHeight w:hRule="exact" w:val="31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Nanticoke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0.0445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-51.05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0.88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0.4952 </w:t>
            </w:r>
          </w:p>
        </w:tc>
      </w:tr>
      <w:tr>
        <w:trPr>
          <w:trHeight w:hRule="exact" w:val="33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Patuxent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-0.2216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497.88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6.84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0.1551 </w:t>
            </w:r>
          </w:p>
        </w:tc>
      </w:tr>
      <w:tr>
        <w:trPr>
          <w:trHeight w:hRule="exact" w:val="365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Potomac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0.2858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-449.54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7.91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0.0376 </w:t>
            </w:r>
          </w:p>
        </w:tc>
      </w:tr>
    </w:tbl>
    <w:p>
      <w:pPr>
        <w:autoSpaceDN w:val="0"/>
        <w:autoSpaceDE w:val="0"/>
        <w:widowControl/>
        <w:spacing w:line="288" w:lineRule="auto" w:before="438" w:after="0"/>
        <w:ind w:left="214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Principal components analyses</w:t>
      </w:r>
    </w:p>
    <w:p>
      <w:pPr>
        <w:autoSpaceDN w:val="0"/>
        <w:autoSpaceDE w:val="0"/>
        <w:widowControl/>
        <w:spacing w:line="276" w:lineRule="exact" w:before="272" w:after="0"/>
        <w:ind w:left="214" w:right="144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Some common patterns were detected by the principal components analyses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(PCA).  The first two principal components (PCs) captured between 39.6% and 46%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variance (Figures 9-13).  As expected, there were positive correlations in each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tributary between freshwater flow and nutrients in both spring and summer. 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abundances of YOY anadromous fishes were generally positively correlated with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freshwater flow and loaded highly on PC1, indicating that freshwater flow and nutrients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were important sources of variability in the data.  Additionally, there were temporal </w:t>
      </w:r>
    </w:p>
    <w:p>
      <w:pPr>
        <w:autoSpaceDN w:val="0"/>
        <w:autoSpaceDE w:val="0"/>
        <w:widowControl/>
        <w:spacing w:line="194" w:lineRule="auto" w:before="562" w:after="0"/>
        <w:ind w:left="0" w:right="464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22</w:t>
      </w:r>
    </w:p>
    <w:p>
      <w:pPr>
        <w:sectPr>
          <w:pgSz w:w="12240" w:h="15840"/>
          <w:pgMar w:top="860" w:right="1368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214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in all five tributaries, due in part to the abundance trends of anadromous fishes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during the survey period (described above).  However, there also were some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differences in the patterns among tributaries.  The definitions of variables in the PCA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are provided in Table 9. </w:t>
      </w:r>
    </w:p>
    <w:p>
      <w:pPr>
        <w:autoSpaceDN w:val="0"/>
        <w:autoSpaceDE w:val="0"/>
        <w:widowControl/>
        <w:spacing w:line="233" w:lineRule="auto" w:before="540" w:after="224"/>
        <w:ind w:left="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Table 9.  Definitions of the variable abbreviations in Figures 5-9.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9"/>
        <w:gridCol w:w="2549"/>
        <w:gridCol w:w="2549"/>
        <w:gridCol w:w="2549"/>
      </w:tblGrid>
      <w:tr>
        <w:trPr>
          <w:trHeight w:hRule="exact" w:val="384"/>
        </w:trPr>
        <w:tc>
          <w:tcPr>
            <w:tcW w:type="dxa" w:w="123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Variable </w:t>
            </w:r>
          </w:p>
        </w:tc>
        <w:tc>
          <w:tcPr>
            <w:tcW w:type="dxa" w:w="45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Definition </w:t>
            </w:r>
          </w:p>
        </w:tc>
        <w:tc>
          <w:tcPr>
            <w:tcW w:type="dxa" w:w="12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Variable </w:t>
            </w:r>
          </w:p>
        </w:tc>
        <w:tc>
          <w:tcPr>
            <w:tcW w:type="dxa" w:w="316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Definition </w:t>
            </w:r>
          </w:p>
        </w:tc>
      </w:tr>
      <w:tr>
        <w:trPr>
          <w:trHeight w:hRule="exact" w:val="322"/>
        </w:trPr>
        <w:tc>
          <w:tcPr>
            <w:tcW w:type="dxa" w:w="1234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 </w:t>
            </w:r>
          </w:p>
        </w:tc>
        <w:tc>
          <w:tcPr>
            <w:tcW w:type="dxa" w:w="45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Atlantic menhaden density </w:t>
            </w:r>
          </w:p>
        </w:tc>
        <w:tc>
          <w:tcPr>
            <w:tcW w:type="dxa" w:w="12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sp.chla </w:t>
            </w:r>
          </w:p>
        </w:tc>
        <w:tc>
          <w:tcPr>
            <w:tcW w:type="dxa" w:w="3164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chlorophyll a </w:t>
            </w:r>
          </w:p>
        </w:tc>
      </w:tr>
      <w:tr>
        <w:trPr>
          <w:trHeight w:hRule="exact" w:val="34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density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sp.do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dissolved oxygen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aw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density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sp.no23f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nitrite + nitrate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bb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density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sp.ph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pH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sb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density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sp.po4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phosphate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wp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density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sp.salt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salinity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Atlantic menhaden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sp.temp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water temperature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American shad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su.chla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chlorophyll a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awcent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alewife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su.do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dissolved oxygen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bbcent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blueback herring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su.no23f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nitrite + nitrate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sbcent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striped bass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su.ph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pH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wpcent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white perch center of abundance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su.po4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phosphate </w:t>
            </w:r>
          </w:p>
        </w:tc>
      </w:tr>
      <w:tr>
        <w:trPr>
          <w:trHeight w:hRule="exact" w:val="300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sp.flo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spring freshwater flow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su.salt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salinity </w:t>
            </w:r>
          </w:p>
        </w:tc>
      </w:tr>
      <w:tr>
        <w:trPr>
          <w:trHeight w:hRule="exact" w:val="652"/>
        </w:trPr>
        <w:tc>
          <w:tcPr>
            <w:tcW w:type="dxa" w:w="1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su.flo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struct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46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freshwater flow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taxable structure count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su.temp 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summer water temperature</w:t>
            </w:r>
          </w:p>
        </w:tc>
      </w:tr>
    </w:tbl>
    <w:p>
      <w:pPr>
        <w:autoSpaceDN w:val="0"/>
        <w:autoSpaceDE w:val="0"/>
        <w:widowControl/>
        <w:spacing w:line="330" w:lineRule="exact" w:before="438" w:after="0"/>
        <w:ind w:left="2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Upper Bay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214" w:right="576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the upper Bay, spring and summer flows, spring (N and P) and summer (N)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nutrients, and YOY anadromous fish abundances were positively correlated and loaded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highly on PC1 (Figure 9).  However, the center of abundance for the alosines loaded on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PC2, indicating that the centers of abundance for alosines were uncorrelated with their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abundances.  The center of abundance for striped bass also loaded on PC2 but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negatively correlated with the centers of abundance for the alosines.  The center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for white perch was negatively correlated with white perch abundance,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suggesting that the center of abundance for white perch shifts down-estuary in years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higher abundance.  The temporal trend for the upper Bay oriented along PC1, indicating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that spring and summer flows, spring and summer nutrient levels, and abundances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YOY anadromous species generally increased from 1985 until 2003.  Since 2004, PC1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scores have tended to shift back toward negative values similar to those in the late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1980s. </w:t>
      </w:r>
    </w:p>
    <w:p>
      <w:pPr>
        <w:autoSpaceDN w:val="0"/>
        <w:autoSpaceDE w:val="0"/>
        <w:widowControl/>
        <w:spacing w:line="194" w:lineRule="auto" w:before="1674" w:after="0"/>
        <w:ind w:left="0" w:right="51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23</w:t>
      </w:r>
    </w:p>
    <w:p>
      <w:pPr>
        <w:sectPr>
          <w:pgSz w:w="12240" w:h="15840"/>
          <w:pgMar w:top="702" w:right="816" w:bottom="362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Choptank River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912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YOY striped bass and white perch abundances were positively correlated with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spring and summer flows and spring (N and P) and summer (N) nutrient levels (Figure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10).  However, alewife abundance was negatively correlated with those variables. 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center of abundance for striped bass shifted down-estuary in years of higher striped </w:t>
      </w:r>
      <w:r>
        <w:rPr>
          <w:rFonts w:ascii="ArialMT" w:hAnsi="ArialMT" w:eastAsia="ArialMT"/>
          <w:b w:val="0"/>
          <w:i w:val="0"/>
          <w:color w:val="000000"/>
          <w:sz w:val="24"/>
        </w:rPr>
        <w:t>bass abundance while the center of abundance of white perch tended to move up-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estuary with increasing white perch abundance.  The temporal trend for the Choptank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River progressed from the lower left hand corner of Figure 10 to the upper right hand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corner, toward conditions of higher summer nutrient levels, higher summer water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temperature, and increasing numbers of taxable structures.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634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8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17.1%</w:t>
            </w:r>
          </w:p>
        </w:tc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0.4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-4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-2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 xml:space="preserve">PC1 scores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74" w:lineRule="exact" w:before="38" w:after="0"/>
              <w:ind w:left="0" w:right="9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98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PC2 scores</w:t>
            </w:r>
          </w:p>
        </w:tc>
      </w:tr>
      <w:tr>
        <w:trPr>
          <w:trHeight w:hRule="exact" w:val="86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576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rPr>
                <w:trHeight w:hRule="exact" w:val="283"/>
              </w:trPr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  <w:tc>
                <w:tcPr>
                  <w:tcW w:type="dxa" w:w="640"/>
                  <w:tcBorders>
                    <w:start w:sz="7.920000076293945" w:val="single" w:color="#000000"/>
                    <w:top w:sz="7.920000076293945" w:val="single" w:color="#000000"/>
                    <w:end w:sz="7.920000076293945" w:val="single" w:color="#000000"/>
                    <w:bottom w:sz="7.920000076293945" w:val="single" w:color="#000000"/>
                  </w:tcBorders>
                </w:tcPr>
                <w:p/>
              </w:tc>
            </w:tr>
          </w:tbl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sectPr>
          <w:pgSz w:w="12240" w:h="15840"/>
          <w:pgMar w:top="70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2362200</wp:posOffset>
            </wp:positionV>
            <wp:extent cx="2870200" cy="26670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8" w:lineRule="exact" w:before="0" w:after="54"/>
        <w:ind w:left="0" w:right="462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9"/>
        </w:rPr>
        <w:t>PC1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rHeight w:hRule="exact" w:val="37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06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17.2%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0" w:right="718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80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0" w:right="664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0" w:right="924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0" w:right="650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0" w:right="332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2" w:after="0"/>
              <w:ind w:left="0" w:right="0" w:firstLine="0"/>
              <w:jc w:val="center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62" w:after="0"/>
              <w:ind w:left="0" w:right="2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PC2 scores</w:t>
            </w:r>
          </w:p>
        </w:tc>
      </w:tr>
      <w:tr>
        <w:trPr>
          <w:trHeight w:hRule="exact" w:val="1200"/>
        </w:trPr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  <w:tc>
          <w:tcPr>
            <w:tcW w:type="dxa" w:w="6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89"/>
              <w:gridCol w:w="589"/>
              <w:gridCol w:w="589"/>
              <w:gridCol w:w="589"/>
              <w:gridCol w:w="589"/>
              <w:gridCol w:w="589"/>
              <w:gridCol w:w="589"/>
              <w:gridCol w:w="589"/>
              <w:gridCol w:w="589"/>
              <w:gridCol w:w="589"/>
              <w:gridCol w:w="589"/>
            </w:tblGrid>
            <w:tr>
              <w:trPr>
                <w:trHeight w:hRule="exact" w:val="132"/>
              </w:trPr>
              <w:tc>
                <w:tcPr>
                  <w:tcW w:type="dxa" w:w="138"/>
                  <w:vMerge w:val="restart"/>
                  <w:tcBorders>
                    <w:end w:sz="4.440000057220459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98"/>
                  <w:gridSpan w:val="2"/>
                  <w:tcBorders>
                    <w:start w:sz="4.440000057220459" w:val="single" w:color="#000000"/>
                    <w:end w:sz="4.440000057220459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gridSpan w:val="2"/>
                  <w:tcBorders>
                    <w:start w:sz="4.440000057220459" w:val="single" w:color="#000000"/>
                    <w:end w:sz="4.440000057220459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8"/>
                  <w:gridSpan w:val="2"/>
                  <w:tcBorders>
                    <w:start w:sz="4.440000057220459" w:val="single" w:color="#000000"/>
                    <w:end w:sz="4.440000057220459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6"/>
                  <w:gridSpan w:val="2"/>
                  <w:tcBorders>
                    <w:start w:sz="4.440000057220459" w:val="single" w:color="#000000"/>
                    <w:end w:sz="4.440000057220459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2"/>
                  <w:gridSpan w:val="2"/>
                  <w:tcBorders>
                    <w:start w:sz="4.440000057220459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6"/>
              </w:trPr>
              <w:tc>
                <w:tcPr>
                  <w:tcW w:type="dxa" w:w="589"/>
                  <w:vMerge/>
                  <w:tcBorders>
                    <w:end w:sz="4.440000057220459" w:val="single" w:color="#000000"/>
                    <w:bottom w:sz="4.440000057220459" w:val="single" w:color="#000000"/>
                  </w:tcBorders>
                </w:tcPr>
                <w:p/>
              </w:tc>
              <w:tc>
                <w:tcPr>
                  <w:tcW w:type="dxa" w:w="6168"/>
                  <w:gridSpan w:val="9"/>
                  <w:vMerge w:val="restart"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542"/>
                    <w:gridCol w:w="1542"/>
                    <w:gridCol w:w="1542"/>
                    <w:gridCol w:w="1542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00" w:lineRule="exact" w:before="4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9"/>
                          </w:rPr>
                          <w:t>Choptank</w:t>
                        </w:r>
                      </w:p>
                    </w:tc>
                    <w:tc>
                      <w:tcPr>
                        <w:tcW w:type="dxa" w:w="10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46" w:after="0"/>
                          <w:ind w:left="17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02</w:t>
                        </w:r>
                      </w:p>
                    </w:tc>
                    <w:tc>
                      <w:tcPr>
                        <w:tcW w:type="dxa" w:w="13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72" w:after="0"/>
                          <w:ind w:left="0" w:right="44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06</w:t>
                        </w:r>
                      </w:p>
                    </w:tc>
                    <w:tc>
                      <w:tcPr>
                        <w:tcW w:type="dxa" w:w="18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00" w:lineRule="exact" w:before="0" w:after="0"/>
                          <w:ind w:left="452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9"/>
                          </w:rPr>
                          <w:t>later years</w:t>
                        </w:r>
                      </w:p>
                    </w:tc>
                  </w:tr>
                  <w:tr>
                    <w:trPr>
                      <w:trHeight w:hRule="exact" w:val="384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90" w:after="0"/>
                          <w:ind w:left="0" w:right="17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sp.salt</w:t>
                        </w:r>
                      </w:p>
                    </w:tc>
                    <w:tc>
                      <w:tcPr>
                        <w:tcW w:type="dxa" w:w="1542"/>
                        <w:vMerge/>
                        <w:tcBorders/>
                      </w:tcPr>
                      <w:p/>
                    </w:tc>
                    <w:tc>
                      <w:tcPr>
                        <w:tcW w:type="dxa" w:w="1542"/>
                        <w:vMerge/>
                        <w:tcBorders/>
                      </w:tcPr>
                      <w:p/>
                    </w:tc>
                    <w:tc>
                      <w:tcPr>
                        <w:tcW w:type="dxa" w:w="1542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tabs>
                      <w:tab w:pos="3558" w:val="left"/>
                    </w:tabs>
                    <w:autoSpaceDE w:val="0"/>
                    <w:widowControl/>
                    <w:spacing w:line="234" w:lineRule="exact" w:before="0" w:after="18"/>
                    <w:ind w:left="3468" w:right="2016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09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su.po4f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561"/>
                    <w:gridCol w:w="561"/>
                    <w:gridCol w:w="561"/>
                    <w:gridCol w:w="561"/>
                    <w:gridCol w:w="561"/>
                    <w:gridCol w:w="561"/>
                    <w:gridCol w:w="561"/>
                    <w:gridCol w:w="561"/>
                    <w:gridCol w:w="561"/>
                    <w:gridCol w:w="561"/>
                    <w:gridCol w:w="561"/>
                  </w:tblGrid>
                  <w:tr>
                    <w:trPr>
                      <w:trHeight w:hRule="exact" w:val="430"/>
                    </w:trPr>
                    <w:tc>
                      <w:tcPr>
                        <w:tcW w:type="dxa" w:w="7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70" w:after="0"/>
                          <w:ind w:left="52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su.salt</w:t>
                        </w:r>
                      </w:p>
                    </w:tc>
                    <w:tc>
                      <w:tcPr>
                        <w:tcW w:type="dxa" w:w="14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98" w:after="0"/>
                          <w:ind w:left="0" w:right="26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sp.temp</w:t>
                        </w:r>
                      </w:p>
                    </w:tc>
                    <w:tc>
                      <w:tcPr>
                        <w:tcW w:type="dxa" w:w="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44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su.ph</w:t>
                        </w:r>
                      </w:p>
                    </w:tc>
                    <w:tc>
                      <w:tcPr>
                        <w:tcW w:type="dxa" w:w="12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2" w:lineRule="exact" w:before="696" w:after="0"/>
                          <w:ind w:left="576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89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su.temp</w:t>
                        </w:r>
                      </w:p>
                    </w:tc>
                    <w:tc>
                      <w:tcPr>
                        <w:tcW w:type="dxa" w:w="2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12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07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00</w:t>
                        </w:r>
                      </w:p>
                    </w:tc>
                    <w:tc>
                      <w:tcPr>
                        <w:tcW w:type="dxa" w:w="2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8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05</w:t>
                        </w:r>
                      </w:p>
                    </w:tc>
                    <w:tc>
                      <w:tcPr>
                        <w:tcW w:type="dxa" w:w="1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70" w:val="left"/>
                          </w:tabs>
                          <w:autoSpaceDE w:val="0"/>
                          <w:widowControl/>
                          <w:spacing w:line="166" w:lineRule="exact" w:before="70" w:after="0"/>
                          <w:ind w:left="196" w:right="72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struct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wpcent</w:t>
                        </w:r>
                      </w:p>
                    </w:tc>
                  </w:tr>
                  <w:tr>
                    <w:trPr>
                      <w:trHeight w:hRule="exact" w:val="600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4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66" w:after="0"/>
                          <w:ind w:left="0" w:right="26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sp.ph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90" w:after="0"/>
                          <w:ind w:left="0" w:right="57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01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42" w:after="0"/>
                          <w:ind w:left="0" w:right="10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03</w:t>
                        </w:r>
                      </w:p>
                    </w:tc>
                  </w:tr>
                  <w:tr>
                    <w:trPr>
                      <w:trHeight w:hRule="exact" w:val="346"/>
                    </w:trPr>
                    <w:tc>
                      <w:tcPr>
                        <w:tcW w:type="dxa" w:w="7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142" w:after="0"/>
                          <w:ind w:left="0" w:right="3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type="dxa" w:w="14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8" w:lineRule="exact" w:before="2" w:after="0"/>
                          <w:ind w:left="0" w:right="12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99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08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2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90" w:after="0"/>
                          <w:ind w:left="0" w:right="9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04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862" w:val="left"/>
                            <w:tab w:pos="1066" w:val="left"/>
                          </w:tabs>
                          <w:autoSpaceDE w:val="0"/>
                          <w:widowControl/>
                          <w:spacing w:line="162" w:lineRule="exact" w:before="170" w:after="0"/>
                          <w:ind w:left="700" w:right="0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su.flo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bb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su.no23f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0" w:after="0"/>
                          <w:ind w:left="3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type="dxa" w:w="56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sbcent</w:t>
                        </w:r>
                      </w:p>
                    </w:tc>
                    <w:tc>
                      <w:tcPr>
                        <w:tcW w:type="dxa" w:w="474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4" w:after="0"/>
                          <w:ind w:left="2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77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56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</w:t>
                        </w:r>
                      </w:p>
                    </w:tc>
                    <w:tc>
                      <w:tcPr>
                        <w:tcW w:type="dxa" w:w="4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wp</w:t>
                        </w:r>
                      </w:p>
                    </w:tc>
                  </w:tr>
                  <w:tr>
                    <w:trPr>
                      <w:trHeight w:hRule="exact" w:val="299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4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8" w:after="0"/>
                          <w:ind w:left="3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2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24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sp.chla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84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6" w:after="0"/>
                          <w:ind w:left="0" w:right="7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type="dxa" w:w="104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0" w:right="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61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0" w:right="30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sb</w:t>
                        </w:r>
                      </w:p>
                    </w:tc>
                  </w:tr>
                  <w:tr>
                    <w:trPr>
                      <w:trHeight w:hRule="exact" w:val="227"/>
                    </w:trPr>
                    <w:tc>
                      <w:tcPr>
                        <w:tcW w:type="dxa" w:w="7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750" w:after="0"/>
                          <w:ind w:left="10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aw</w:t>
                        </w:r>
                      </w:p>
                    </w:tc>
                    <w:tc>
                      <w:tcPr>
                        <w:tcW w:type="dxa" w:w="146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" w:after="0"/>
                          <w:ind w:left="0" w:right="8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2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00" w:after="0"/>
                          <w:ind w:left="0" w:right="65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26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83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12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78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sp.po4f</w:t>
                        </w:r>
                      </w:p>
                    </w:tc>
                  </w:tr>
                  <w:tr>
                    <w:trPr>
                      <w:trHeight w:hRule="exact" w:val="374"/>
                    </w:trPr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83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74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98</w:t>
                        </w:r>
                      </w:p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561"/>
                        <w:vMerge/>
                        <w:tcBorders/>
                      </w:tcPr>
                      <w:p/>
                    </w:tc>
                    <w:tc>
                      <w:tcPr>
                        <w:tcW w:type="dxa" w:w="1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0" w:right="41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sp.flo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330" w:after="138"/>
                    <w:ind w:left="0" w:right="79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sp.no23f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542"/>
                    <w:gridCol w:w="1542"/>
                    <w:gridCol w:w="1542"/>
                    <w:gridCol w:w="1542"/>
                  </w:tblGrid>
                  <w:tr>
                    <w:trPr>
                      <w:trHeight w:hRule="exact" w:val="594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732" w:val="left"/>
                          </w:tabs>
                          <w:autoSpaceDE w:val="0"/>
                          <w:widowControl/>
                          <w:spacing w:line="298" w:lineRule="exact" w:before="0" w:after="0"/>
                          <w:ind w:left="76" w:right="144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su.do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9"/>
                          </w:rPr>
                          <w:t>early years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sp.do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su.chla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97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82" w:after="0"/>
                          <w:ind w:left="26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14" w:after="0"/>
                          <w:ind w:left="0" w:right="10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8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4"/>
              </w:trPr>
              <w:tc>
                <w:tcPr>
                  <w:tcW w:type="dxa" w:w="589"/>
                  <w:vMerge/>
                  <w:tcBorders>
                    <w:end w:sz="4.440000057220459" w:val="single" w:color="#000000"/>
                    <w:bottom w:sz="4.440000057220459" w:val="single" w:color="#000000"/>
                  </w:tcBorders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130"/>
                  <w:vMerge w:val="restart"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82"/>
              </w:trPr>
              <w:tc>
                <w:tcPr>
                  <w:tcW w:type="dxa" w:w="138"/>
                  <w:vMerge w:val="restart"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589"/>
                  <w:vMerge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589"/>
                  <w:vMerge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130"/>
                  <w:vMerge w:val="restart"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434"/>
              </w:trPr>
              <w:tc>
                <w:tcPr>
                  <w:tcW w:type="dxa" w:w="138"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589"/>
                  <w:vMerge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</w:tcPr>
                <w:p/>
              </w:tc>
            </w:tr>
            <w:tr>
              <w:trPr>
                <w:trHeight w:hRule="exact" w:val="1436"/>
              </w:trPr>
              <w:tc>
                <w:tcPr>
                  <w:tcW w:type="dxa" w:w="138"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130"/>
                  <w:vMerge w:val="restart"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"/>
              </w:trPr>
              <w:tc>
                <w:tcPr>
                  <w:tcW w:type="dxa" w:w="138"/>
                  <w:vMerge w:val="restart"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589"/>
                  <w:vMerge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</w:tcPr>
                <w:p/>
              </w:tc>
            </w:tr>
            <w:tr>
              <w:trPr>
                <w:trHeight w:hRule="exact" w:val="1384"/>
              </w:trPr>
              <w:tc>
                <w:tcPr>
                  <w:tcW w:type="dxa" w:w="589"/>
                  <w:vMerge/>
                  <w:tcBorders>
                    <w:top w:sz="4.440000057220459" w:val="single" w:color="#000000"/>
                    <w:end w:sz="8.880000114440918" w:val="single" w:color="#000000"/>
                    <w:bottom w:sz="4.440000057220459" w:val="single" w:color="#000000"/>
                  </w:tcBorders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130"/>
                  <w:vMerge w:val="restart"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7"/>
              </w:trPr>
              <w:tc>
                <w:tcPr>
                  <w:tcW w:type="dxa" w:w="138"/>
                  <w:vMerge w:val="restart"/>
                  <w:tcBorders>
                    <w:top w:sz="4.440000057220459" w:val="single" w:color="#000000"/>
                    <w:end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1"/>
                  <w:gridSpan w:val="9"/>
                  <w:vMerge/>
                  <w:tcBorders>
                    <w:start w:sz="8.880000114440918" w:val="single" w:color="#000000"/>
                    <w:top w:sz="8.880000114440918" w:val="single" w:color="#000000"/>
                    <w:end w:sz="8.880000114440918" w:val="single" w:color="#000000"/>
                    <w:bottom w:sz="8.880000114440918" w:val="single" w:color="#000000"/>
                  </w:tcBorders>
                </w:tcPr>
                <w:p/>
              </w:tc>
              <w:tc>
                <w:tcPr>
                  <w:tcW w:type="dxa" w:w="589"/>
                  <w:vMerge/>
                  <w:tcBorders>
                    <w:start w:sz="8.880000114440918" w:val="single" w:color="#000000"/>
                    <w:top w:sz="4.440000057220459" w:val="single" w:color="#000000"/>
                    <w:bottom w:sz="4.440000057220459" w:val="single" w:color="#000000"/>
                  </w:tcBorders>
                </w:tcPr>
                <w:p/>
              </w:tc>
            </w:tr>
            <w:tr>
              <w:trPr>
                <w:trHeight w:hRule="exact" w:val="119"/>
              </w:trPr>
              <w:tc>
                <w:tcPr>
                  <w:tcW w:type="dxa" w:w="589"/>
                  <w:vMerge/>
                  <w:tcBorders>
                    <w:top w:sz="4.440000057220459" w:val="single" w:color="#000000"/>
                    <w:end w:sz="8.880000114440918" w:val="single" w:color="#000000"/>
                  </w:tcBorders>
                </w:tcPr>
                <w:p/>
              </w:tc>
              <w:tc>
                <w:tcPr>
                  <w:tcW w:type="dxa" w:w="58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6"/>
                  <w:gridSpan w:val="2"/>
                  <w:tcBorders>
                    <w:start w:sz="4.440000057220459" w:val="single" w:color="#000000"/>
                    <w:top w:sz="8.880000114440918" w:val="single" w:color="#000000"/>
                    <w:end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440000057220459" w:val="single" w:color="#000000"/>
                    <w:top w:sz="8.880000114440918" w:val="single" w:color="#000000"/>
                    <w:end w:sz="4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6"/>
                  <w:tcBorders>
                    <w:start w:sz="4.440000057220459" w:val="single" w:color="#000000"/>
                    <w:top w:sz="8.880000114440918" w:val="single" w:color="#000000"/>
                    <w:end w:sz="4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4"/>
                  <w:gridSpan w:val="2"/>
                  <w:tcBorders>
                    <w:start w:sz="4.440000057220459" w:val="single" w:color="#000000"/>
                    <w:top w:sz="8.880000114440918" w:val="single" w:color="#000000"/>
                    <w:end w:sz="4.44000005722045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6"/>
                  <w:gridSpan w:val="3"/>
                  <w:tcBorders>
                    <w:start w:sz="4.440000057220459" w:val="single" w:color="#000000"/>
                    <w:top w:sz="8.8800001144409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1080"/>
        </w:trPr>
        <w:tc>
          <w:tcPr>
            <w:tcW w:type="dxa" w:w="1045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186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0.2</w:t>
            </w:r>
          </w:p>
        </w:tc>
        <w:tc>
          <w:tcPr>
            <w:tcW w:type="dxa" w:w="5225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52" w:after="0"/>
              <w:ind w:left="0" w:right="620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178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0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PC2 loadings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0" w:right="934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0.0</w:t>
            </w:r>
          </w:p>
        </w:tc>
        <w:tc>
          <w:tcPr>
            <w:tcW w:type="dxa" w:w="5225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52" w:after="0"/>
              <w:ind w:left="0" w:right="1028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1045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0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-0.2</w:t>
            </w:r>
          </w:p>
        </w:tc>
        <w:tc>
          <w:tcPr>
            <w:tcW w:type="dxa" w:w="5225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52" w:after="0"/>
              <w:ind w:left="20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1560"/>
        </w:trPr>
        <w:tc>
          <w:tcPr>
            <w:tcW w:type="dxa" w:w="1045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0" w:right="1068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-0.4</w:t>
            </w:r>
          </w:p>
        </w:tc>
        <w:tc>
          <w:tcPr>
            <w:tcW w:type="dxa" w:w="5225"/>
            <w:gridSpan w:val="5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2" w:after="0"/>
              <w:ind w:left="0" w:right="1266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92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-0.4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0" w:right="0" w:firstLine="0"/>
              <w:jc w:val="center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-0.2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0" w:right="832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280" w:right="0" w:firstLine="0"/>
              <w:jc w:val="lef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0" w:right="344" w:firstLine="0"/>
              <w:jc w:val="right"/>
            </w:pPr>
            <w:r>
              <w:rPr>
                <w:w w:val="98.11391415803328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PC1 loadings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8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9"/>
              </w:rPr>
              <w:t>28.8%</w:t>
            </w:r>
          </w:p>
        </w:tc>
        <w:tc>
          <w:tcPr>
            <w:tcW w:type="dxa" w:w="1045"/>
            <w:vMerge/>
            <w:tcBorders/>
          </w:tcPr>
          <w:p/>
        </w:tc>
        <w:tc>
          <w:tcPr>
            <w:tcW w:type="dxa" w:w="10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8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Figure 10.  Principal components analysis biplot for the Choptank River.  The numbers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indicate the years of the observations.  See Table 9 for abbreviations of variables. </w:t>
      </w:r>
    </w:p>
    <w:p>
      <w:pPr>
        <w:autoSpaceDN w:val="0"/>
        <w:autoSpaceDE w:val="0"/>
        <w:widowControl/>
        <w:spacing w:line="330" w:lineRule="exact" w:before="2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t>Nanticoke River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Nanticoke River exhibited fewer patterns than observed in the other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tributaries (Figure 11).  Flow and nutrients were correlated during each season, but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abundances of YOY anadromous fishes were either uncorrelated or negatively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correlated with flow and nutrients.  The center of abundance for each species was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negatively correlated with flow indicating down-estuary shifts with increased flow. 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temporal pattern for the Nanticoke River was oriented from the upper left hand corner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Figure 11 to the lower right hand corner, which signified a shift from high summer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chlorophyll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levels toward higher summer flow levels, nutrient concentrations,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taxable structure counts. </w:t>
      </w:r>
    </w:p>
    <w:p>
      <w:pPr>
        <w:autoSpaceDN w:val="0"/>
        <w:autoSpaceDE w:val="0"/>
        <w:widowControl/>
        <w:spacing w:line="194" w:lineRule="auto" w:before="9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25</w:t>
      </w:r>
    </w:p>
    <w:p>
      <w:pPr>
        <w:sectPr>
          <w:pgSz w:w="12240" w:h="15840"/>
          <w:pgMar w:top="776" w:right="139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</w:p>
    <w:p>
      <w:pPr>
        <w:autoSpaceDN w:val="0"/>
        <w:autoSpaceDE w:val="0"/>
        <w:widowControl/>
        <w:spacing w:line="412" w:lineRule="exact" w:before="0" w:after="16"/>
        <w:ind w:left="0" w:right="4462" w:firstLine="0"/>
        <w:jc w:val="right"/>
      </w:pPr>
      <w:r>
        <w:rPr>
          <w:w w:val="98.85646184285481"/>
          <w:rFonts w:ascii="ArialMT" w:hAnsi="ArialMT" w:eastAsia="ArialMT"/>
          <w:b w:val="0"/>
          <w:i w:val="0"/>
          <w:color w:val="000000"/>
          <w:sz w:val="30"/>
        </w:rPr>
        <w:t>PC1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rPr>
          <w:trHeight w:hRule="exact" w:val="33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38" w:after="0"/>
              <w:ind w:left="80" w:right="0" w:firstLine="0"/>
              <w:jc w:val="left"/>
            </w:pPr>
            <w:r>
              <w:rPr>
                <w:w w:val="98.85646184285481"/>
                <w:rFonts w:ascii="ArialMT" w:hAnsi="ArialMT" w:eastAsia="ArialMT"/>
                <w:b w:val="0"/>
                <w:i w:val="0"/>
                <w:color w:val="000000"/>
                <w:sz w:val="30"/>
              </w:rPr>
              <w:t>15.5%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8" w:after="0"/>
              <w:ind w:left="0" w:right="0" w:firstLine="0"/>
              <w:jc w:val="center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488" w:firstLine="0"/>
              <w:jc w:val="right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center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1084" w:firstLine="0"/>
              <w:jc w:val="right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92" w:right="0" w:firstLine="0"/>
              <w:jc w:val="left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0" w:right="1664" w:firstLine="0"/>
              <w:jc w:val="right"/>
            </w:pPr>
            <w:r>
              <w:rPr>
                <w:w w:val="101.41130530315895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402" w:lineRule="exact" w:before="108" w:after="0"/>
              <w:ind w:left="0" w:right="3106" w:firstLine="0"/>
              <w:jc w:val="right"/>
            </w:pPr>
            <w:r>
              <w:rPr>
                <w:w w:val="98.85646184285481"/>
                <w:rFonts w:ascii="ArialMT" w:hAnsi="ArialMT" w:eastAsia="ArialMT"/>
                <w:b w:val="0"/>
                <w:i w:val="0"/>
                <w:color w:val="000000"/>
                <w:sz w:val="30"/>
              </w:rPr>
              <w:t>PC1 scores</w:t>
            </w:r>
          </w:p>
        </w:tc>
      </w:tr>
      <w:tr>
        <w:trPr>
          <w:trHeight w:hRule="exact" w:val="2100"/>
        </w:trPr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6580"/>
            <w:gridSpan w:val="6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</w:tblGrid>
            <w:tr>
              <w:trPr>
                <w:trHeight w:hRule="exact" w:val="134"/>
              </w:trPr>
              <w:tc>
                <w:tcPr>
                  <w:tcW w:type="dxa" w:w="1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6"/>
                  <w:tcBorders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2"/>
                  <w:gridSpan w:val="2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4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0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6"/>
                  <w:gridSpan w:val="2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4"/>
                  <w:gridSpan w:val="3"/>
                  <w:tcBorders>
                    <w:start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07"/>
              </w:trPr>
              <w:tc>
                <w:tcPr>
                  <w:tcW w:type="dxa" w:w="132"/>
                  <w:tcBorders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80"/>
                  <w:gridSpan w:val="9"/>
                  <w:vMerge w:val="restart"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.999999999999886" w:type="dxa"/>
                  </w:tblPr>
                  <w:tblGrid>
                    <w:gridCol w:w="571"/>
                    <w:gridCol w:w="571"/>
                    <w:gridCol w:w="571"/>
                    <w:gridCol w:w="571"/>
                    <w:gridCol w:w="571"/>
                    <w:gridCol w:w="571"/>
                    <w:gridCol w:w="571"/>
                    <w:gridCol w:w="571"/>
                    <w:gridCol w:w="571"/>
                    <w:gridCol w:w="571"/>
                    <w:gridCol w:w="571"/>
                  </w:tblGrid>
                  <w:tr>
                    <w:trPr>
                      <w:trHeight w:hRule="exact" w:val="509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2" w:lineRule="exact" w:before="0" w:after="0"/>
                          <w:ind w:left="148" w:right="0" w:firstLine="0"/>
                          <w:jc w:val="left"/>
                        </w:pPr>
                        <w:r>
                          <w:rPr>
                            <w:w w:val="98.85646184285481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30"/>
                          </w:rPr>
                          <w:t>early years</w:t>
                        </w:r>
                      </w:p>
                    </w:tc>
                    <w:tc>
                      <w:tcPr>
                        <w:tcW w:type="dxa" w:w="3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156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09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82" w:after="0"/>
                          <w:ind w:left="36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type="dxa" w:w="20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2" w:lineRule="exact" w:before="0" w:after="0"/>
                          <w:ind w:left="0" w:right="32" w:firstLine="0"/>
                          <w:jc w:val="right"/>
                        </w:pPr>
                        <w:r>
                          <w:rPr>
                            <w:w w:val="98.85646184285481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30"/>
                          </w:rPr>
                          <w:t>Nanticoke</w:t>
                        </w:r>
                      </w:p>
                    </w:tc>
                  </w:tr>
                  <w:tr>
                    <w:trPr>
                      <w:trHeight w:hRule="exact" w:val="993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6" w:lineRule="exact" w:before="554" w:after="0"/>
                          <w:ind w:left="0" w:right="109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su.do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su.chla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7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422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hRule="exact" w:val="580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0" w:after="0"/>
                          <w:ind w:left="0" w:right="1052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97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78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04" w:after="0"/>
                          <w:ind w:left="166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sp.po4f</w:t>
                        </w:r>
                      </w:p>
                    </w:tc>
                    <w:tc>
                      <w:tcPr>
                        <w:tcW w:type="dxa" w:w="19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20" w:after="0"/>
                          <w:ind w:left="78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sp.flo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70" w:after="0"/>
                          <w:ind w:left="0" w:right="914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sbcent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7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56" w:after="0"/>
                          <w:ind w:left="414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96</w:t>
                        </w:r>
                      </w:p>
                    </w:tc>
                  </w:tr>
                  <w:tr>
                    <w:trPr>
                      <w:trHeight w:hRule="exact" w:val="220"/>
                    </w:trPr>
                    <w:tc>
                      <w:tcPr>
                        <w:tcW w:type="dxa" w:w="183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49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su.ph</w:t>
                        </w:r>
                      </w:p>
                    </w:tc>
                    <w:tc>
                      <w:tcPr>
                        <w:tcW w:type="dxa" w:w="13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48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1028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88" w:after="0"/>
                          <w:ind w:left="0" w:right="46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89</w:t>
                        </w:r>
                      </w:p>
                    </w:tc>
                    <w:tc>
                      <w:tcPr>
                        <w:tcW w:type="dxa" w:w="1692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06" w:after="0"/>
                          <w:ind w:left="44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sp.no23f</w:t>
                        </w:r>
                      </w:p>
                    </w:tc>
                  </w:tr>
                  <w:tr>
                    <w:trPr>
                      <w:trHeight w:hRule="exact" w:val="220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826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bb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1713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142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240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1346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1713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142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538"/>
                    </w:trPr>
                    <w:tc>
                      <w:tcPr>
                        <w:tcW w:type="dxa" w:w="11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exact" w:before="0" w:after="0"/>
                          <w:ind w:left="146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wpcent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awcent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sp.do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86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99</w:t>
                        </w:r>
                      </w:p>
                    </w:tc>
                    <w:tc>
                      <w:tcPr>
                        <w:tcW w:type="dxa" w:w="66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wp </w:t>
                        </w:r>
                        <w:r>
                          <w:br/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amcent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type="dxa" w:w="81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06" w:after="0"/>
                          <w:ind w:left="98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bbcent</w:t>
                        </w:r>
                      </w:p>
                    </w:tc>
                    <w:tc>
                      <w:tcPr>
                        <w:tcW w:type="dxa" w:w="52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28" w:after="0"/>
                          <w:ind w:left="0" w:right="122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07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1078"/>
                        <w:gridSpan w:val="4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738" w:val="left"/>
                          </w:tabs>
                          <w:autoSpaceDE w:val="0"/>
                          <w:widowControl/>
                          <w:spacing w:line="540" w:lineRule="exact" w:before="486" w:after="0"/>
                          <w:ind w:left="452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su.po4f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05</w:t>
                        </w:r>
                      </w:p>
                    </w:tc>
                    <w:tc>
                      <w:tcPr>
                        <w:tcW w:type="dxa" w:w="164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08" w:val="left"/>
                          </w:tabs>
                          <w:autoSpaceDE w:val="0"/>
                          <w:widowControl/>
                          <w:spacing w:line="202" w:lineRule="exact" w:before="996" w:after="0"/>
                          <w:ind w:left="84" w:right="72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su.flo </w:t>
                        </w:r>
                        <w:r>
                          <w:br/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su.no23f</w:t>
                        </w:r>
                      </w:p>
                    </w:tc>
                  </w:tr>
                  <w:tr>
                    <w:trPr>
                      <w:trHeight w:hRule="exact" w:val="246"/>
                    </w:trPr>
                    <w:tc>
                      <w:tcPr>
                        <w:tcW w:type="dxa" w:w="11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8" w:after="0"/>
                          <w:ind w:left="0" w:right="244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284"/>
                        <w:gridSpan w:val="4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768"/>
                    </w:trPr>
                    <w:tc>
                      <w:tcPr>
                        <w:tcW w:type="dxa" w:w="4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4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su.salt</w:t>
                        </w:r>
                      </w:p>
                    </w:tc>
                    <w:tc>
                      <w:tcPr>
                        <w:tcW w:type="dxa" w:w="13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182" w:after="0"/>
                          <w:ind w:left="36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sp.chla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88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320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type="dxa" w:w="13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sp.temp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su.temp </w:t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aw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31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sb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284"/>
                        <w:gridSpan w:val="4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70"/>
                    </w:trPr>
                    <w:tc>
                      <w:tcPr>
                        <w:tcW w:type="dxa" w:w="1832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55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sp.ph</w:t>
                        </w:r>
                      </w:p>
                    </w:tc>
                    <w:tc>
                      <w:tcPr>
                        <w:tcW w:type="dxa" w:w="134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72" w:after="0"/>
                          <w:ind w:left="0" w:right="20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00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284"/>
                        <w:gridSpan w:val="4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28"/>
                    </w:trPr>
                    <w:tc>
                      <w:tcPr>
                        <w:tcW w:type="dxa" w:w="1713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142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7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6" w:after="0"/>
                          <w:ind w:left="0" w:right="90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03</w:t>
                        </w:r>
                      </w:p>
                    </w:tc>
                  </w:tr>
                  <w:tr>
                    <w:trPr>
                      <w:trHeight w:hRule="exact" w:val="290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" w:after="0"/>
                          <w:ind w:left="0" w:right="1158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08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6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40" w:after="0"/>
                          <w:ind w:left="0" w:right="0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struct</w:t>
                        </w:r>
                      </w:p>
                    </w:tc>
                    <w:tc>
                      <w:tcPr>
                        <w:tcW w:type="dxa" w:w="2040"/>
                        <w:gridSpan w:val="4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56" w:val="left"/>
                          </w:tabs>
                          <w:autoSpaceDE w:val="0"/>
                          <w:widowControl/>
                          <w:spacing w:line="128" w:lineRule="exact" w:before="96" w:after="0"/>
                          <w:ind w:left="212" w:right="1584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04 </w:t>
                        </w:r>
                        <w:r>
                          <w:br/>
                        </w: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01</w:t>
                        </w:r>
                      </w:p>
                    </w:tc>
                  </w:tr>
                  <w:tr>
                    <w:trPr>
                      <w:trHeight w:hRule="exact" w:val="580"/>
                    </w:trPr>
                    <w:tc>
                      <w:tcPr>
                        <w:tcW w:type="dxa" w:w="3172"/>
                        <w:gridSpan w:val="5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06" w:after="0"/>
                          <w:ind w:left="0" w:right="1554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sp.salt</w:t>
                        </w:r>
                      </w:p>
                    </w:tc>
                    <w:tc>
                      <w:tcPr>
                        <w:tcW w:type="dxa" w:w="3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8" w:after="0"/>
                          <w:ind w:left="0" w:right="10" w:firstLine="0"/>
                          <w:jc w:val="righ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06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284"/>
                        <w:gridSpan w:val="4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52"/>
                    </w:trPr>
                    <w:tc>
                      <w:tcPr>
                        <w:tcW w:type="dxa" w:w="2855"/>
                        <w:gridSpan w:val="5"/>
                        <w:vMerge/>
                        <w:tcBorders/>
                      </w:tcPr>
                      <w:p/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720"/>
                        <w:gridSpan w:val="5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2" w:lineRule="exact" w:before="84" w:after="0"/>
                          <w:ind w:left="0" w:right="74" w:firstLine="0"/>
                          <w:jc w:val="right"/>
                        </w:pPr>
                        <w:r>
                          <w:rPr>
                            <w:w w:val="98.85646184285481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30"/>
                          </w:rPr>
                          <w:t>later years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317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0" w:after="0"/>
                          <w:ind w:left="698" w:right="0" w:firstLine="0"/>
                          <w:jc w:val="left"/>
                        </w:pPr>
                        <w:r>
                          <w:rPr>
                            <w:w w:val="102.4775028228759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02</w:t>
                        </w:r>
                      </w:p>
                    </w:tc>
                    <w:tc>
                      <w:tcPr>
                        <w:tcW w:type="dxa" w:w="571"/>
                        <w:vMerge/>
                        <w:tcBorders/>
                      </w:tcPr>
                      <w:p/>
                    </w:tc>
                    <w:tc>
                      <w:tcPr>
                        <w:tcW w:type="dxa" w:w="2855"/>
                        <w:gridSpan w:val="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72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58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</w:tcPr>
                <w:p/>
              </w:tc>
            </w:tr>
            <w:tr>
              <w:trPr>
                <w:trHeight w:hRule="exact" w:val="1234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32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58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74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</w:tcPr>
                <w:p/>
              </w:tc>
            </w:tr>
            <w:tr>
              <w:trPr>
                <w:trHeight w:hRule="exact" w:val="282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4.559999942779541" w:val="single" w:color="#000000"/>
                    <w:top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4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56"/>
                  <w:gridSpan w:val="2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52"/>
                  <w:gridSpan w:val="2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58"/>
                  <w:gridSpan w:val="2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tcBorders>
                    <w:start w:sz="4.559999942779541" w:val="single" w:color="#000000"/>
                    <w:top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</w:tcBorders>
                </w:tcPr>
                <w:p/>
              </w:tc>
            </w:tr>
          </w:tbl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5640"/>
            <w:gridSpan w:val="6"/>
            <w:vMerge/>
            <w:tcBorders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5640"/>
            <w:gridSpan w:val="6"/>
            <w:vMerge/>
            <w:tcBorders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5640"/>
            <w:gridSpan w:val="6"/>
            <w:vMerge/>
            <w:tcBorders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5640"/>
            <w:gridSpan w:val="6"/>
            <w:vMerge/>
            <w:tcBorders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  <w:tr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</w:tcPr>
          <w:p/>
        </w:tc>
        <w:tc>
          <w:tcPr>
            <w:tcW w:type="dxa" w:w="940"/>
            <w:vMerge/>
            <w:tcBorders/>
          </w:tcPr>
          <w:p/>
        </w:tc>
      </w:tr>
    </w:tbl>
    <w:p>
      <w:pPr>
        <w:sectPr>
          <w:pgSz w:w="12240" w:h="15840"/>
          <w:pgMar w:top="818" w:right="140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upper right hand corner, indicating a reduction in spring and summer nutrients since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mid-1980s and an increase in taxable structures. </w:t>
      </w:r>
    </w:p>
    <w:p>
      <w:pPr>
        <w:autoSpaceDN w:val="0"/>
        <w:autoSpaceDE w:val="0"/>
        <w:widowControl/>
        <w:spacing w:line="412" w:lineRule="exact" w:before="376" w:after="56"/>
        <w:ind w:left="0" w:right="4512" w:firstLine="0"/>
        <w:jc w:val="right"/>
      </w:pPr>
      <w:r>
        <w:rPr>
          <w:w w:val="98.8139788309733"/>
          <w:rFonts w:ascii="ArialMT" w:hAnsi="ArialMT" w:eastAsia="ArialMT"/>
          <w:b w:val="0"/>
          <w:i w:val="0"/>
          <w:color w:val="000000"/>
          <w:sz w:val="30"/>
        </w:rPr>
        <w:t>PC1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hRule="exact" w:val="38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8" w:after="0"/>
              <w:ind w:left="0" w:right="0" w:firstLine="0"/>
              <w:jc w:val="left"/>
            </w:pPr>
            <w:r>
              <w:rPr>
                <w:w w:val="98.8139788309733"/>
                <w:rFonts w:ascii="ArialMT" w:hAnsi="ArialMT" w:eastAsia="ArialMT"/>
                <w:b w:val="0"/>
                <w:i w:val="0"/>
                <w:color w:val="000000"/>
                <w:sz w:val="30"/>
              </w:rPr>
              <w:t>16.1%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8" w:after="0"/>
              <w:ind w:left="0" w:right="0" w:firstLine="0"/>
              <w:jc w:val="center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52" w:right="0" w:firstLine="0"/>
              <w:jc w:val="left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818" w:firstLine="0"/>
              <w:jc w:val="right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776" w:firstLine="0"/>
              <w:jc w:val="right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454" w:firstLine="0"/>
              <w:jc w:val="right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298" w:right="0" w:firstLine="0"/>
              <w:jc w:val="left"/>
            </w:pPr>
            <w:r>
              <w:rPr>
                <w:w w:val="101.35652293329653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402" w:lineRule="exact" w:before="76" w:after="0"/>
              <w:ind w:left="0" w:right="3062" w:firstLine="0"/>
              <w:jc w:val="right"/>
            </w:pPr>
            <w:r>
              <w:rPr>
                <w:w w:val="98.8139788309733"/>
                <w:rFonts w:ascii="ArialMT" w:hAnsi="ArialMT" w:eastAsia="ArialMT"/>
                <w:b w:val="0"/>
                <w:i w:val="0"/>
                <w:color w:val="000000"/>
                <w:sz w:val="30"/>
              </w:rPr>
              <w:t>PC2 scores</w:t>
            </w:r>
          </w:p>
        </w:tc>
      </w:tr>
      <w:tr>
        <w:trPr>
          <w:trHeight w:hRule="exact" w:val="1060"/>
        </w:trPr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6580"/>
            <w:gridSpan w:val="5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</w:tblGrid>
            <w:tr>
              <w:trPr>
                <w:trHeight w:hRule="exact" w:val="136"/>
              </w:trPr>
              <w:tc>
                <w:tcPr>
                  <w:tcW w:type="dxa" w:w="1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"/>
                  <w:tcBorders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2"/>
                  <w:gridSpan w:val="2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2"/>
                  <w:gridSpan w:val="2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98"/>
                  <w:gridSpan w:val="2"/>
                  <w:tcBorders>
                    <w:start w:sz="4.559999942779541" w:val="single" w:color="#000000"/>
                    <w:end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02"/>
                  <w:gridSpan w:val="3"/>
                  <w:tcBorders>
                    <w:start w:sz="4.559999942779541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4"/>
              </w:trPr>
              <w:tc>
                <w:tcPr>
                  <w:tcW w:type="dxa" w:w="132"/>
                  <w:tcBorders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80"/>
                  <w:gridSpan w:val="9"/>
                  <w:vMerge w:val="restart"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785"/>
                    <w:gridCol w:w="785"/>
                    <w:gridCol w:w="785"/>
                    <w:gridCol w:w="785"/>
                    <w:gridCol w:w="785"/>
                    <w:gridCol w:w="785"/>
                    <w:gridCol w:w="785"/>
                    <w:gridCol w:w="785"/>
                  </w:tblGrid>
                  <w:tr>
                    <w:trPr>
                      <w:trHeight w:hRule="exact" w:val="472"/>
                    </w:trPr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2" w:lineRule="exact" w:before="48" w:after="0"/>
                          <w:ind w:left="84" w:right="0" w:firstLine="0"/>
                          <w:jc w:val="left"/>
                        </w:pPr>
                        <w:r>
                          <w:rPr>
                            <w:w w:val="98.8139788309733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30"/>
                          </w:rPr>
                          <w:t>Patuxent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92" w:after="0"/>
                          <w:ind w:left="0" w:right="268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02</w:t>
                        </w:r>
                      </w:p>
                    </w:tc>
                    <w:tc>
                      <w:tcPr>
                        <w:tcW w:type="dxa" w:w="6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962" w:after="0"/>
                          <w:ind w:left="0" w:right="104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99</w:t>
                        </w:r>
                      </w:p>
                    </w:tc>
                    <w:tc>
                      <w:tcPr>
                        <w:tcW w:type="dxa" w:w="148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exact" w:before="42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06 </w:t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8139788309733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30"/>
                          </w:rPr>
                          <w:t>later years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242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8" w:after="0"/>
                          <w:ind w:left="0" w:right="902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sbcent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2355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7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2" w:after="0"/>
                          <w:ind w:left="0" w:right="0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struct</w:t>
                        </w:r>
                      </w:p>
                    </w:tc>
                  </w:tr>
                  <w:tr>
                    <w:trPr>
                      <w:trHeight w:hRule="exact" w:val="160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2355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376" w:after="0"/>
                          <w:ind w:left="0" w:right="126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ascent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36" w:after="0"/>
                          <w:ind w:left="126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su.salt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2355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535"/>
                    </w:trPr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874" w:val="left"/>
                          </w:tabs>
                          <w:autoSpaceDE w:val="0"/>
                          <w:widowControl/>
                          <w:spacing w:line="224" w:lineRule="exact" w:before="62" w:after="0"/>
                          <w:ind w:left="574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sp.temp </w:t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sp.salt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58" w:after="0"/>
                          <w:ind w:left="80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su.temp</w:t>
                        </w:r>
                      </w:p>
                    </w:tc>
                    <w:tc>
                      <w:tcPr>
                        <w:tcW w:type="dxa" w:w="6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94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62" w:after="0"/>
                          <w:ind w:left="0" w:right="314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09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70" w:after="0"/>
                          <w:ind w:left="0" w:right="310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as</w:t>
                        </w:r>
                      </w:p>
                    </w:tc>
                  </w:tr>
                  <w:tr>
                    <w:trPr>
                      <w:trHeight w:hRule="exact" w:val="233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564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wpcent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74" w:after="0"/>
                          <w:ind w:left="0" w:right="92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awcent</w:t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424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07</w:t>
                        </w:r>
                      </w:p>
                    </w:tc>
                    <w:tc>
                      <w:tcPr>
                        <w:tcW w:type="dxa" w:w="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26" w:after="0"/>
                          <w:ind w:left="34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01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90"/>
                    </w:trPr>
                    <w:tc>
                      <w:tcPr>
                        <w:tcW w:type="dxa" w:w="242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02" w:val="left"/>
                          </w:tabs>
                          <w:autoSpaceDE w:val="0"/>
                          <w:widowControl/>
                          <w:spacing w:line="154" w:lineRule="exact" w:before="84" w:after="0"/>
                          <w:ind w:left="1242" w:right="432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91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su.chla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58" w:after="0"/>
                          <w:ind w:left="418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bbcent</w:t>
                        </w:r>
                      </w:p>
                    </w:tc>
                  </w:tr>
                  <w:tr>
                    <w:trPr>
                      <w:trHeight w:hRule="exact" w:val="192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8" w:after="0"/>
                          <w:ind w:left="0" w:right="388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53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0" w:after="0"/>
                          <w:ind w:left="190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05</w:t>
                        </w:r>
                      </w:p>
                    </w:tc>
                  </w:tr>
                  <w:tr>
                    <w:trPr>
                      <w:trHeight w:hRule="exact" w:val="281"/>
                    </w:trPr>
                    <w:tc>
                      <w:tcPr>
                        <w:tcW w:type="dxa" w:w="1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0" w:after="0"/>
                          <w:ind w:left="0" w:right="372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type="dxa" w:w="9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0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amcent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97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78"/>
                    </w:trPr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sp.chla</w:t>
                        </w:r>
                      </w:p>
                    </w:tc>
                    <w:tc>
                      <w:tcPr>
                        <w:tcW w:type="dxa" w:w="66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56" w:after="0"/>
                          <w:ind w:left="0" w:right="312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04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50"/>
                    </w:trPr>
                    <w:tc>
                      <w:tcPr>
                        <w:tcW w:type="dxa" w:w="242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0" w:after="0"/>
                          <w:ind w:left="436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68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8" w:after="0"/>
                          <w:ind w:left="0" w:right="284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00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2" w:after="0"/>
                          <w:ind w:left="406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type="dxa" w:w="6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428" w:after="0"/>
                          <w:ind w:left="0" w:right="18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76" w:after="0"/>
                          <w:ind w:left="0" w:right="396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type="dxa" w:w="10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694" w:val="left"/>
                          </w:tabs>
                          <w:autoSpaceDE w:val="0"/>
                          <w:widowControl/>
                          <w:spacing w:line="180" w:lineRule="exact" w:before="640" w:after="0"/>
                          <w:ind w:left="558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sb </w:t>
                        </w:r>
                        <w:r>
                          <w:br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wp</w:t>
                        </w:r>
                      </w:p>
                    </w:tc>
                    <w:tc>
                      <w:tcPr>
                        <w:tcW w:type="dxa" w:w="7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8" w:lineRule="exact" w:before="34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su.flo </w:t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03</w:t>
                        </w:r>
                      </w:p>
                    </w:tc>
                  </w:tr>
                  <w:tr>
                    <w:trPr>
                      <w:trHeight w:hRule="exact" w:val="620"/>
                    </w:trPr>
                    <w:tc>
                      <w:tcPr>
                        <w:tcW w:type="dxa" w:w="1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66" w:val="left"/>
                          </w:tabs>
                          <w:autoSpaceDE w:val="0"/>
                          <w:widowControl/>
                          <w:spacing w:line="168" w:lineRule="exact" w:before="356" w:after="0"/>
                          <w:ind w:left="142" w:right="576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sp.po4f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su.po4f</w:t>
                        </w:r>
                      </w:p>
                    </w:tc>
                    <w:tc>
                      <w:tcPr>
                        <w:tcW w:type="dxa" w:w="9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452" w:after="0"/>
                          <w:ind w:left="2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106" w:after="0"/>
                          <w:ind w:left="94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sp.ph </w:t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su.ph</w:t>
                        </w:r>
                      </w:p>
                    </w:tc>
                    <w:tc>
                      <w:tcPr>
                        <w:tcW w:type="dxa" w:w="6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98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24"/>
                    </w:trPr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72" w:after="0"/>
                          <w:ind w:left="0" w:right="350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56" w:after="0"/>
                          <w:ind w:left="0" w:right="310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sp.flo</w:t>
                        </w:r>
                      </w:p>
                    </w:tc>
                  </w:tr>
                  <w:tr>
                    <w:trPr>
                      <w:trHeight w:hRule="exact" w:val="176"/>
                    </w:trPr>
                    <w:tc>
                      <w:tcPr>
                        <w:tcW w:type="dxa" w:w="242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74" w:val="left"/>
                          </w:tabs>
                          <w:autoSpaceDE w:val="0"/>
                          <w:widowControl/>
                          <w:spacing w:line="164" w:lineRule="exact" w:before="114" w:after="0"/>
                          <w:ind w:left="94" w:right="144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85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sp.no23f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2355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240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4" w:after="0"/>
                          <w:ind w:left="0" w:right="574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aw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80" w:after="0"/>
                          <w:ind w:left="0" w:right="152" w:firstLine="0"/>
                          <w:jc w:val="righ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bb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0" w:after="0"/>
                          <w:ind w:left="402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96</w:t>
                        </w:r>
                      </w:p>
                    </w:tc>
                  </w:tr>
                  <w:tr>
                    <w:trPr>
                      <w:trHeight w:hRule="exact" w:val="298"/>
                    </w:trPr>
                    <w:tc>
                      <w:tcPr>
                        <w:tcW w:type="dxa" w:w="1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8" w:after="0"/>
                          <w:ind w:left="226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su.no23f</w:t>
                        </w:r>
                      </w:p>
                    </w:tc>
                    <w:tc>
                      <w:tcPr>
                        <w:tcW w:type="dxa" w:w="9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8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su.do</w:t>
                        </w:r>
                      </w:p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2355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62"/>
                    </w:trPr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785"/>
                        <w:vMerge/>
                        <w:tcBorders/>
                      </w:tcPr>
                      <w:p/>
                    </w:tc>
                    <w:tc>
                      <w:tcPr>
                        <w:tcW w:type="dxa" w:w="1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8" w:lineRule="exact" w:before="10" w:after="0"/>
                          <w:ind w:left="44" w:right="0" w:firstLine="0"/>
                          <w:jc w:val="left"/>
                        </w:pP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sp.do </w:t>
                        </w:r>
                        <w:r>
                          <w:rPr>
                            <w:w w:val="102.42249965667725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89</w:t>
                        </w:r>
                      </w:p>
                    </w:tc>
                    <w:tc>
                      <w:tcPr>
                        <w:tcW w:type="dxa" w:w="1570"/>
                        <w:gridSpan w:val="2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412" w:lineRule="exact" w:before="134" w:after="0"/>
                    <w:ind w:left="136" w:right="0" w:firstLine="0"/>
                    <w:jc w:val="left"/>
                  </w:pPr>
                  <w:r>
                    <w:rPr>
                      <w:w w:val="98.8139788309733"/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early years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98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2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420"/>
              </w:trPr>
              <w:tc>
                <w:tcPr>
                  <w:tcW w:type="dxa" w:w="132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</w:tcPr>
                <w:p/>
              </w:tc>
            </w:tr>
            <w:tr>
              <w:trPr>
                <w:trHeight w:hRule="exact" w:val="1420"/>
              </w:trPr>
              <w:tc>
                <w:tcPr>
                  <w:tcW w:type="dxa" w:w="132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18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</w:tcPr>
                <w:p/>
              </w:tc>
            </w:tr>
            <w:tr>
              <w:trPr>
                <w:trHeight w:hRule="exact" w:val="1200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  <w:bottom w:sz="4.559999942779541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2"/>
              </w:trPr>
              <w:tc>
                <w:tcPr>
                  <w:tcW w:type="dxa" w:w="132"/>
                  <w:vMerge w:val="restart"/>
                  <w:tcBorders>
                    <w:top w:sz="4.559999942779541" w:val="single" w:color="#000000"/>
                    <w:end w:sz="9.11999988555908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  <w:bottom w:sz="4.559999942779541" w:val="single" w:color="#000000"/>
                  </w:tcBorders>
                </w:tcPr>
                <w:p/>
              </w:tc>
            </w:tr>
            <w:tr>
              <w:trPr>
                <w:trHeight w:hRule="exact" w:val="108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</w:tcBorders>
                </w:tcPr>
                <w:p/>
              </w:tc>
              <w:tc>
                <w:tcPr>
                  <w:tcW w:type="dxa" w:w="5382"/>
                  <w:gridSpan w:val="9"/>
                  <w:vMerge/>
                  <w:tcBorders>
                    <w:start w:sz="9.119999885559082" w:val="single" w:color="#000000"/>
                    <w:top w:sz="9.119999885559082" w:val="single" w:color="#000000"/>
                    <w:end w:sz="9.119999885559082" w:val="single" w:color="#000000"/>
                    <w:bottom w:sz="9.119999885559082" w:val="single" w:color="#000000"/>
                  </w:tcBorders>
                </w:tcPr>
                <w:p/>
              </w:tc>
              <w:tc>
                <w:tcPr>
                  <w:tcW w:type="dxa" w:w="132"/>
                  <w:vMerge w:val="restart"/>
                  <w:tcBorders>
                    <w:start w:sz="4.559999942779541" w:val="single" w:color="#000000"/>
                    <w:top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6"/>
              </w:trPr>
              <w:tc>
                <w:tcPr>
                  <w:tcW w:type="dxa" w:w="598"/>
                  <w:vMerge/>
                  <w:tcBorders>
                    <w:top w:sz="4.559999942779541" w:val="single" w:color="#000000"/>
                    <w:end w:sz="9.119999885559082" w:val="single" w:color="#000000"/>
                  </w:tcBorders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4"/>
                  <w:gridSpan w:val="2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8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4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4"/>
                  <w:gridSpan w:val="2"/>
                  <w:tcBorders>
                    <w:start w:sz="4.559999942779541" w:val="single" w:color="#000000"/>
                    <w:top w:sz="9.119999885559082" w:val="single" w:color="#000000"/>
                    <w:end w:sz="4.55999994277954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tcBorders>
                    <w:start w:sz="4.559999942779541" w:val="single" w:color="#000000"/>
                    <w:top w:sz="9.1199998855590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8"/>
                  <w:vMerge/>
                  <w:tcBorders>
                    <w:start w:sz="9.119999885559082" w:val="single" w:color="#000000"/>
                    <w:top w:sz="4.559999942779541" w:val="single" w:color="#000000"/>
                  </w:tcBorders>
                </w:tcPr>
                <w:p/>
              </w:tc>
            </w:tr>
          </w:tbl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  <w:vMerge/>
            <w:tcBorders/>
          </w:tcPr>
          <w:p/>
        </w:tc>
        <w:tc>
          <w:tcPr>
            <w:tcW w:type="dxa" w:w="1041"/>
          </w:tcPr>
          <w:p/>
        </w:tc>
        <w:tc>
          <w:tcPr>
            <w:tcW w:type="dxa" w:w="5205"/>
            <w:gridSpan w:val="5"/>
            <w:vMerge/>
            <w:tcBorders/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5205"/>
            <w:gridSpan w:val="5"/>
            <w:vMerge/>
            <w:tcBorders/>
          </w:tcPr>
          <w:p/>
        </w:tc>
        <w:tc>
          <w:tcPr>
            <w:tcW w:type="dxa" w:w="1041"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5205"/>
            <w:gridSpan w:val="5"/>
            <w:vMerge/>
            <w:tcBorders/>
          </w:tcPr>
          <w:p/>
        </w:tc>
        <w:tc>
          <w:tcPr>
            <w:tcW w:type="dxa" w:w="1041"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5205"/>
            <w:gridSpan w:val="5"/>
            <w:vMerge/>
            <w:tcBorders/>
          </w:tcPr>
          <w:p/>
        </w:tc>
        <w:tc>
          <w:tcPr>
            <w:tcW w:type="dxa" w:w="1041"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  <w:vMerge/>
            <w:tcBorders/>
          </w:tcPr>
          <w:p/>
        </w:tc>
      </w:tr>
      <w:tr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</w:tcPr>
          <w:p/>
        </w:tc>
        <w:tc>
          <w:tcPr>
            <w:tcW w:type="dxa" w:w="1041"/>
            <w:vMerge/>
            <w:tcBorders/>
          </w:tcPr>
          <w:p/>
        </w:tc>
      </w:tr>
    </w:tbl>
    <w:p>
      <w:pPr>
        <w:sectPr>
          <w:pgSz w:w="12240" w:h="15840"/>
          <w:pgMar w:top="702" w:right="142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3797300</wp:posOffset>
            </wp:positionV>
            <wp:extent cx="2298700" cy="20447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04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correlated with their centers of abundance, which indicated that the centers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abundance shifted down-estuary in years of higher abundance.  The temporal pattern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was oriented along PC1 and reflected the increasing trend in abundance of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anadromous fishes. </w:t>
      </w:r>
    </w:p>
    <w:p>
      <w:pPr>
        <w:autoSpaceDN w:val="0"/>
        <w:autoSpaceDE w:val="0"/>
        <w:widowControl/>
        <w:spacing w:line="394" w:lineRule="exact" w:before="716" w:after="18"/>
        <w:ind w:left="0" w:right="4516" w:firstLine="0"/>
        <w:jc w:val="right"/>
      </w:pPr>
      <w:r>
        <w:rPr>
          <w:w w:val="98.89738148656384"/>
          <w:rFonts w:ascii="ArialMT" w:hAnsi="ArialMT" w:eastAsia="ArialMT"/>
          <w:b w:val="0"/>
          <w:i w:val="0"/>
          <w:color w:val="000000"/>
          <w:sz w:val="29"/>
        </w:rPr>
        <w:t>PC1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3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88" w:after="0"/>
              <w:ind w:left="212" w:right="0" w:firstLine="0"/>
              <w:jc w:val="left"/>
            </w:pPr>
            <w:r>
              <w:rPr>
                <w:w w:val="98.89738148656384"/>
                <w:rFonts w:ascii="ArialMT" w:hAnsi="ArialMT" w:eastAsia="ArialMT"/>
                <w:b w:val="0"/>
                <w:i w:val="0"/>
                <w:color w:val="000000"/>
                <w:sz w:val="29"/>
              </w:rPr>
              <w:t>12.9%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0" w:right="145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104" w:right="0" w:firstLine="0"/>
              <w:jc w:val="lef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56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41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1120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1456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8" w:after="0"/>
              <w:ind w:left="0" w:right="2978" w:firstLine="0"/>
              <w:jc w:val="right"/>
            </w:pPr>
            <w:r>
              <w:rPr>
                <w:w w:val="98.89738148656384"/>
                <w:rFonts w:ascii="ArialMT" w:hAnsi="ArialMT" w:eastAsia="ArialMT"/>
                <w:b w:val="0"/>
                <w:i w:val="0"/>
                <w:color w:val="000000"/>
                <w:sz w:val="29"/>
              </w:rPr>
              <w:t>PC1 scores</w:t>
            </w:r>
          </w:p>
        </w:tc>
      </w:tr>
      <w:tr>
        <w:trPr>
          <w:trHeight w:hRule="exact" w:val="214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6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>
              <w:trPr>
                <w:trHeight w:hRule="exact" w:val="130"/>
              </w:trPr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end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6"/>
                  <w:gridSpan w:val="2"/>
                  <w:tcBorders>
                    <w:start w:sz="4.432000160217285" w:val="single" w:color="#000000"/>
                    <w:end w:sz="4.432000160217285" w:val="single" w:color="#000000"/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2"/>
                  <w:gridSpan w:val="2"/>
                  <w:tcBorders>
                    <w:start w:sz="4.432000160217285" w:val="single" w:color="#000000"/>
                    <w:end w:sz="4.432000160217285" w:val="single" w:color="#000000"/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4"/>
                  <w:gridSpan w:val="2"/>
                  <w:tcBorders>
                    <w:start w:sz="4.432000160217285" w:val="single" w:color="#000000"/>
                    <w:end w:sz="4.432000160217285" w:val="single" w:color="#000000"/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2"/>
                  <w:gridSpan w:val="2"/>
                  <w:tcBorders>
                    <w:start w:sz="4.432000160217285" w:val="single" w:color="#000000"/>
                    <w:end w:sz="4.432000160217285" w:val="single" w:color="#000000"/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54"/>
                  <w:gridSpan w:val="2"/>
                  <w:tcBorders>
                    <w:start w:sz="4.432000160217285" w:val="single" w:color="#000000"/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34"/>
              </w:trPr>
              <w:tc>
                <w:tcPr>
                  <w:tcW w:type="dxa" w:w="128"/>
                  <w:tcBorders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>
                    <w:top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>
                    <w:top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26" w:after="0"/>
                    <w:ind w:left="0" w:right="242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10</w:t>
                  </w:r>
                </w:p>
              </w:tc>
              <w:tc>
                <w:tcPr>
                  <w:tcW w:type="dxa" w:w="1228"/>
                  <w:tcBorders>
                    <w:top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>
                    <w:top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4" w:lineRule="exact" w:before="0" w:after="0"/>
                    <w:ind w:left="0" w:right="0" w:firstLine="0"/>
                    <w:jc w:val="righ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P</w:t>
                  </w:r>
                </w:p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4" w:lineRule="exact" w:before="0" w:after="0"/>
                    <w:ind w:left="0" w:right="0" w:firstLine="0"/>
                    <w:jc w:val="center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o</w:t>
                  </w:r>
                </w:p>
              </w:tc>
              <w:tc>
                <w:tcPr>
                  <w:tcW w:type="dxa" w:w="1026"/>
                  <w:tcBorders>
                    <w:top w:sz="8.86400032043457" w:val="single" w:color="#000000"/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4" w:lineRule="exact" w:before="0" w:after="0"/>
                    <w:ind w:left="74" w:right="0" w:firstLine="0"/>
                    <w:jc w:val="lef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tomac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"/>
              </w:trPr>
              <w:tc>
                <w:tcPr>
                  <w:tcW w:type="dxa" w:w="128"/>
                  <w:tcBorders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392" w:lineRule="exact" w:before="0" w:after="0"/>
                    <w:ind w:left="0" w:right="0" w:firstLine="0"/>
                    <w:jc w:val="righ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s</w:t>
                  </w:r>
                </w:p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392" w:lineRule="exact" w:before="0" w:after="0"/>
                    <w:ind w:left="0" w:right="0" w:firstLine="0"/>
                    <w:jc w:val="righ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s</w:t>
                  </w:r>
                </w:p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vMerge w:val="restart"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98"/>
              </w:trPr>
              <w:tc>
                <w:tcPr>
                  <w:tcW w:type="dxa" w:w="128"/>
                  <w:vMerge w:val="restart"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1.99999999999989" w:type="dxa"/>
                  </w:tblPr>
                  <w:tblGrid>
                    <w:gridCol w:w="395"/>
                    <w:gridCol w:w="395"/>
                    <w:gridCol w:w="395"/>
                  </w:tblGrid>
                  <w:tr>
                    <w:trPr>
                      <w:trHeight w:hRule="exact" w:val="1186"/>
                    </w:trPr>
                    <w:tc>
                      <w:tcPr>
                        <w:tcW w:type="dxa" w:w="368"/>
                        <w:tcBorders/>
                        <w:tcMar>
                          <w:start w:w="0" w:type="dxa"/>
                          <w:end w:w="0" w:type="dxa"/>
                        </w:tcMar>
                        <w:textDirection w:val="btLr"/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2" w:lineRule="exact" w:before="0" w:after="0"/>
                          <w:ind w:left="170" w:right="0" w:firstLine="0"/>
                          <w:jc w:val="left"/>
                        </w:pPr>
                        <w:r>
                          <w:rPr>
                            <w:w w:val="98.89738148656384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9"/>
                          </w:rPr>
                          <w:t>arly yea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7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wpcent</w:t>
                        </w:r>
                      </w:p>
                    </w:tc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988" w:after="0"/>
                          <w:ind w:left="0" w:right="0" w:firstLine="0"/>
                          <w:jc w:val="righ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912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54" w:after="0"/>
                    <w:ind w:left="0" w:right="432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awcent </w:t>
                  </w:r>
                  <w:r>
                    <w:br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sp.temp </w:t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su.temp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54" w:after="0"/>
                    <w:ind w:left="0" w:right="18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su.c</w:t>
                  </w:r>
                </w:p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54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h</w:t>
                  </w:r>
                </w:p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54" w:after="0"/>
                    <w:ind w:left="24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la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608" w:after="0"/>
                    <w:ind w:left="0" w:right="132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su.ph</w:t>
                  </w:r>
                </w:p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vMerge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</w:tcPr>
                <w:p/>
              </w:tc>
            </w:tr>
            <w:tr>
              <w:trPr>
                <w:trHeight w:hRule="exact" w:val="42"/>
              </w:trPr>
              <w:tc>
                <w:tcPr>
                  <w:tcW w:type="dxa" w:w="540"/>
                  <w:vMerge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392" w:lineRule="exact" w:before="0" w:after="0"/>
                    <w:ind w:left="10" w:right="0" w:firstLine="0"/>
                    <w:jc w:val="lef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e</w:t>
                  </w:r>
                </w:p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392" w:lineRule="exact" w:before="0" w:after="0"/>
                    <w:ind w:left="10" w:right="0" w:firstLine="0"/>
                    <w:jc w:val="lef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>e</w:t>
                  </w:r>
                </w:p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vMerge w:val="restart"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42"/>
              </w:trPr>
              <w:tc>
                <w:tcPr>
                  <w:tcW w:type="dxa" w:w="128"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992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</w:t>
                  </w:r>
                </w:p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992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u</w:t>
                  </w:r>
                </w:p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54"/>
                    <w:ind w:left="70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sbcent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.999999999999773" w:type="dxa"/>
                  </w:tblPr>
                  <w:tblGrid>
                    <w:gridCol w:w="592"/>
                    <w:gridCol w:w="592"/>
                  </w:tblGrid>
                  <w:tr>
                    <w:trPr>
                      <w:trHeight w:hRule="exact" w:val="934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90" w:val="left"/>
                          </w:tabs>
                          <w:autoSpaceDE w:val="0"/>
                          <w:widowControl/>
                          <w:spacing w:line="196" w:lineRule="exact" w:before="76" w:after="0"/>
                          <w:ind w:left="14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bbcent </w:t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42" w:lineRule="exact" w:before="4" w:after="0"/>
                          <w:ind w:left="18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86 </w:t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.salt </w:t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ascent</w:t>
                        </w:r>
                      </w:p>
                    </w:tc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30" w:after="0"/>
                          <w:ind w:left="0" w:right="0" w:firstLine="0"/>
                          <w:jc w:val="righ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02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0" w:right="0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sp.ch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842" w:after="0"/>
                    <w:ind w:left="0" w:right="588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08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409"/>
                    <w:gridCol w:w="409"/>
                    <w:gridCol w:w="409"/>
                  </w:tblGrid>
                  <w:tr>
                    <w:trPr>
                      <w:trHeight w:hRule="exact" w:val="538"/>
                    </w:trPr>
                    <w:tc>
                      <w:tcPr>
                        <w:tcW w:type="dxa" w:w="1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la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16" w:val="left"/>
                          </w:tabs>
                          <w:autoSpaceDE w:val="0"/>
                          <w:widowControl/>
                          <w:spacing w:line="130" w:lineRule="exact" w:before="258" w:after="0"/>
                          <w:ind w:left="84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97 </w:t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type="dxa" w:w="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93</w:t>
                        </w:r>
                      </w:p>
                    </w:tc>
                  </w:tr>
                  <w:tr>
                    <w:trPr>
                      <w:trHeight w:hRule="exact" w:val="432"/>
                    </w:trPr>
                    <w:tc>
                      <w:tcPr>
                        <w:tcW w:type="dxa" w:w="409"/>
                        <w:vMerge/>
                        <w:tcBorders/>
                      </w:tcPr>
                      <w:p/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0" w:after="0"/>
                          <w:ind w:left="46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00 </w:t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aw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120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99</w:t>
                        </w:r>
                      </w:p>
                    </w:tc>
                    <w:tc>
                      <w:tcPr>
                        <w:tcW w:type="dxa" w:w="409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66" w:after="0"/>
                    <w:ind w:left="0" w:right="330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bb</w:t>
                  </w:r>
                </w:p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0" w:val="left"/>
                      <w:tab w:pos="452" w:val="left"/>
                      <w:tab w:pos="520" w:val="left"/>
                    </w:tabs>
                    <w:autoSpaceDE w:val="0"/>
                    <w:widowControl/>
                    <w:spacing w:line="152" w:lineRule="exact" w:before="66" w:after="0"/>
                    <w:ind w:left="0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wp </w:t>
                  </w:r>
                  <w:r>
                    <w:br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98 </w:t>
                  </w:r>
                  <w:r>
                    <w:br/>
                  </w:r>
                  <w:r>
                    <w:tab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sp.ph </w:t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su.do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132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sp.flo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270" w:after="0"/>
                    <w:ind w:left="208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sp.do </w:t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sb</w:t>
                  </w:r>
                </w:p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394" w:lineRule="exact" w:before="620" w:after="0"/>
                    <w:ind w:left="0" w:right="0" w:firstLine="0"/>
                    <w:jc w:val="left"/>
                  </w:pPr>
                  <w:r>
                    <w:rPr>
                      <w:w w:val="98.89738148656384"/>
                      <w:rFonts w:ascii="ArialMT" w:hAnsi="ArialMT" w:eastAsia="ArialMT"/>
                      <w:b w:val="0"/>
                      <w:i w:val="0"/>
                      <w:color w:val="000000"/>
                      <w:sz w:val="29"/>
                    </w:rPr>
                    <w:t xml:space="preserve"> years</w:t>
                  </w:r>
                </w:p>
              </w:tc>
              <w:tc>
                <w:tcPr>
                  <w:tcW w:type="dxa" w:w="540"/>
                  <w:vMerge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</w:tcPr>
                <w:p/>
              </w:tc>
            </w:tr>
            <w:tr>
              <w:trPr>
                <w:trHeight w:hRule="exact" w:val="1238"/>
              </w:trPr>
              <w:tc>
                <w:tcPr>
                  <w:tcW w:type="dxa" w:w="128"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94" w:val="left"/>
                    </w:tabs>
                    <w:autoSpaceDE w:val="0"/>
                    <w:widowControl/>
                    <w:spacing w:line="246" w:lineRule="exact" w:before="626" w:after="0"/>
                    <w:ind w:left="46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88 </w:t>
                  </w:r>
                  <w:r>
                    <w:tab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87</w:t>
                  </w:r>
                </w:p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4" w:val="left"/>
                    </w:tabs>
                    <w:autoSpaceDE w:val="0"/>
                    <w:widowControl/>
                    <w:spacing w:line="164" w:lineRule="exact" w:before="658" w:after="0"/>
                    <w:ind w:left="160" w:right="72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90 </w:t>
                  </w:r>
                  <w:r>
                    <w:br/>
                  </w:r>
                  <w:r>
                    <w:tab/>
                  </w: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02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34" w:after="0"/>
                    <w:ind w:left="0" w:right="344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92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8" w:after="36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05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0.0" w:type="dxa"/>
                  </w:tblPr>
                  <w:tblGrid>
                    <w:gridCol w:w="409"/>
                    <w:gridCol w:w="409"/>
                    <w:gridCol w:w="409"/>
                  </w:tblGrid>
                  <w:tr>
                    <w:trPr>
                      <w:trHeight w:hRule="exact" w:val="526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exact" w:before="128" w:after="0"/>
                          <w:ind w:left="0" w:right="12" w:firstLine="0"/>
                          <w:jc w:val="righ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01</w:t>
                        </w: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07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8" w:after="0"/>
                          <w:ind w:left="32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268" w:after="0"/>
                    <w:ind w:left="146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as</w:t>
                  </w:r>
                </w:p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3.99999999999977" w:type="dxa"/>
                  </w:tblPr>
                  <w:tblGrid>
                    <w:gridCol w:w="513"/>
                    <w:gridCol w:w="513"/>
                  </w:tblGrid>
                  <w:tr>
                    <w:trPr>
                      <w:trHeight w:hRule="exact" w:val="830"/>
                    </w:trPr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7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96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  <w:textDirection w:val="btLr"/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4" w:lineRule="exact" w:before="126" w:after="0"/>
                          <w:ind w:left="0" w:right="12" w:firstLine="0"/>
                          <w:jc w:val="right"/>
                        </w:pPr>
                        <w:r>
                          <w:rPr>
                            <w:w w:val="98.89738148656384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9"/>
                          </w:rPr>
                          <w:t>later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8"/>
                  <w:vMerge w:val="restart"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"/>
              </w:trPr>
              <w:tc>
                <w:tcPr>
                  <w:tcW w:type="dxa" w:w="128"/>
                  <w:vMerge w:val="restart"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vMerge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</w:tcPr>
                <w:p/>
              </w:tc>
            </w:tr>
            <w:tr>
              <w:trPr>
                <w:trHeight w:hRule="exact" w:val="1196"/>
              </w:trPr>
              <w:tc>
                <w:tcPr>
                  <w:tcW w:type="dxa" w:w="540"/>
                  <w:vMerge/>
                  <w:tcBorders>
                    <w:top w:sz="4.432000160217285" w:val="single" w:color="#000000"/>
                    <w:end w:sz="8.86400032043457" w:val="single" w:color="#000000"/>
                    <w:bottom w:sz="4.432000160217285" w:val="single" w:color="#000000"/>
                  </w:tcBorders>
                </w:tcPr>
                <w:p/>
              </w:tc>
              <w:tc>
                <w:tcPr>
                  <w:tcW w:type="dxa" w:w="46"/>
                  <w:tcBorders>
                    <w:start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0" w:right="202" w:firstLine="0"/>
                    <w:jc w:val="righ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sp.salt</w:t>
                  </w:r>
                </w:p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.000000000000114" w:type="dxa"/>
                  </w:tblPr>
                  <w:tblGrid>
                    <w:gridCol w:w="614"/>
                    <w:gridCol w:w="614"/>
                  </w:tblGrid>
                  <w:tr>
                    <w:trPr>
                      <w:trHeight w:hRule="exact" w:val="638"/>
                    </w:trPr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80" w:after="0"/>
                          <w:ind w:left="46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amcent</w:t>
                        </w:r>
                      </w:p>
                    </w:tc>
                    <w:tc>
                      <w:tcPr>
                        <w:tcW w:type="dxa" w:w="4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54" w:val="left"/>
                            <w:tab w:pos="338" w:val="left"/>
                          </w:tabs>
                          <w:autoSpaceDE w:val="0"/>
                          <w:widowControl/>
                          <w:spacing w:line="166" w:lineRule="exact" w:before="66" w:after="0"/>
                          <w:ind w:left="208" w:right="0" w:firstLine="0"/>
                          <w:jc w:val="left"/>
                        </w:pP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06 </w:t>
                        </w:r>
                        <w:r>
                          <w:br/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89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w w:val="98.99374842643738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09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360" w:after="0"/>
                    <w:ind w:left="0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9</w:t>
                  </w:r>
                </w:p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30" w:after="0"/>
                    <w:ind w:left="0" w:right="0" w:firstLine="0"/>
                    <w:jc w:val="center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type="dxa" w:w="1026"/>
                  <w:tcBorders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30" w:after="0"/>
                    <w:ind w:left="34" w:right="0" w:firstLine="0"/>
                    <w:jc w:val="left"/>
                  </w:pPr>
                  <w:r>
                    <w:rPr>
                      <w:w w:val="98.9937484264373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28"/>
                  <w:vMerge w:val="restart"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0"/>
              </w:trPr>
              <w:tc>
                <w:tcPr>
                  <w:tcW w:type="dxa" w:w="128"/>
                  <w:vMerge w:val="restart"/>
                  <w:tcBorders>
                    <w:top w:sz="4.432000160217285" w:val="single" w:color="#000000"/>
                    <w:end w:sz="8.8640003204345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vMerge/>
                  <w:tcBorders>
                    <w:start w:sz="8.86400032043457" w:val="single" w:color="#000000"/>
                    <w:top w:sz="4.432000160217285" w:val="single" w:color="#000000"/>
                    <w:bottom w:sz="4.432000160217285" w:val="single" w:color="#000000"/>
                  </w:tcBorders>
                </w:tcPr>
                <w:p/>
              </w:tc>
            </w:tr>
            <w:tr>
              <w:trPr>
                <w:trHeight w:hRule="exact" w:val="46"/>
              </w:trPr>
              <w:tc>
                <w:tcPr>
                  <w:tcW w:type="dxa" w:w="540"/>
                  <w:vMerge/>
                  <w:tcBorders>
                    <w:top w:sz="4.432000160217285" w:val="single" w:color="#000000"/>
                    <w:end w:sz="8.86400032043457" w:val="single" w:color="#000000"/>
                  </w:tcBorders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4"/>
                  <w:tcBorders>
                    <w:bottom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2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0"/>
              </w:trPr>
              <w:tc>
                <w:tcPr>
                  <w:tcW w:type="dxa" w:w="540"/>
                  <w:vMerge/>
                  <w:tcBorders>
                    <w:top w:sz="4.432000160217285" w:val="single" w:color="#000000"/>
                    <w:end w:sz="8.86400032043457" w:val="single" w:color="#000000"/>
                  </w:tcBorders>
                </w:tcPr>
                <w:p/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gridSpan w:val="2"/>
                  <w:tcBorders>
                    <w:start w:sz="4.432000160217285" w:val="single" w:color="#000000"/>
                    <w:top w:sz="8.86400032043457" w:val="single" w:color="#000000"/>
                    <w:end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>
                    <w:start w:sz="4.432000160217285" w:val="single" w:color="#000000"/>
                    <w:top w:sz="8.86400032043457" w:val="single" w:color="#000000"/>
                    <w:end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8"/>
                  <w:tcBorders>
                    <w:start w:sz="4.432000160217285" w:val="single" w:color="#000000"/>
                    <w:top w:sz="8.86400032043457" w:val="single" w:color="#000000"/>
                    <w:end w:sz="4.43200016021728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0"/>
                  <w:gridSpan w:val="2"/>
                  <w:tcBorders>
                    <w:start w:sz="4.432000160217285" w:val="single" w:color="#000000"/>
                    <w:top w:sz="8.86400032043457" w:val="single" w:color="#000000"/>
                    <w:end w:sz="4.43200016021728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2"/>
                  <w:gridSpan w:val="3"/>
                  <w:vMerge/>
                  <w:tcBorders>
                    <w:start w:sz="4.432000160217285" w:val="single" w:color="#000000"/>
                    <w:top w:sz="8.8640003204345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4" w:after="0"/>
              <w:ind w:left="0" w:right="396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 xml:space="preserve">Comp. 2 </w:t>
            </w:r>
            <w:r>
              <w:rPr>
                <w:w w:val="98.89738148656384"/>
                <w:rFonts w:ascii="ArialMT" w:hAnsi="ArialMT" w:eastAsia="ArialMT"/>
                <w:b w:val="0"/>
                <w:i w:val="0"/>
                <w:color w:val="000000"/>
                <w:sz w:val="29"/>
              </w:rPr>
              <w:t>PC2 loadings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0" w:right="22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0.2</w:t>
            </w:r>
          </w:p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27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0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0.0</w:t>
            </w:r>
          </w:p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240"/>
        </w:trPr>
        <w:tc>
          <w:tcPr>
            <w:tcW w:type="dxa" w:w="10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-0.2</w:t>
            </w:r>
          </w:p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582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-2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1040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0" w:right="444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-0.4</w:t>
            </w:r>
          </w:p>
        </w:tc>
        <w:tc>
          <w:tcPr>
            <w:tcW w:type="dxa" w:w="5200"/>
            <w:gridSpan w:val="5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626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-4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102" w:right="0" w:firstLine="0"/>
              <w:jc w:val="lef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-0.4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-0.2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0" w:firstLine="0"/>
              <w:jc w:val="center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364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1114" w:firstLine="0"/>
              <w:jc w:val="right"/>
            </w:pPr>
            <w:r>
              <w:rPr>
                <w:w w:val="97.96261165453039"/>
                <w:rFonts w:ascii="ArialMT" w:hAnsi="ArialMT" w:eastAsia="ArialMT"/>
                <w:b w:val="0"/>
                <w:i w:val="0"/>
                <w:color w:val="000000"/>
                <w:sz w:val="23"/>
              </w:rPr>
              <w:t>0.4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512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56" w:after="0"/>
              <w:ind w:left="0" w:right="566" w:firstLine="0"/>
              <w:jc w:val="right"/>
            </w:pPr>
            <w:r>
              <w:rPr>
                <w:w w:val="98.89738148656384"/>
                <w:rFonts w:ascii="ArialMT" w:hAnsi="ArialMT" w:eastAsia="ArialMT"/>
                <w:b w:val="0"/>
                <w:i w:val="0"/>
                <w:color w:val="000000"/>
                <w:sz w:val="29"/>
              </w:rPr>
              <w:t>PC1 loadings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56" w:after="0"/>
              <w:ind w:left="394" w:right="0" w:firstLine="0"/>
              <w:jc w:val="left"/>
            </w:pPr>
            <w:r>
              <w:rPr>
                <w:w w:val="98.89738148656384"/>
                <w:rFonts w:ascii="ArialMT" w:hAnsi="ArialMT" w:eastAsia="ArialMT"/>
                <w:b w:val="0"/>
                <w:i w:val="0"/>
                <w:color w:val="000000"/>
                <w:sz w:val="29"/>
              </w:rPr>
              <w:t>26.7%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4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Figure 13.  Principal components analysis biplot for the Potomac River.  The numbers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indicate the years of the observations.  See Table 9 for abbreviations of variables. </w:t>
      </w:r>
    </w:p>
    <w:p>
      <w:pPr>
        <w:autoSpaceDN w:val="0"/>
        <w:autoSpaceDE w:val="0"/>
        <w:widowControl/>
        <w:spacing w:line="194" w:lineRule="auto" w:before="23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28</w:t>
      </w:r>
    </w:p>
    <w:p>
      <w:pPr>
        <w:sectPr>
          <w:pgSz w:w="12240" w:h="15840"/>
          <w:pgMar w:top="70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Strategy and plan for remaining analyses </w:t>
      </w:r>
    </w:p>
    <w:p>
      <w:pPr>
        <w:autoSpaceDN w:val="0"/>
        <w:autoSpaceDE w:val="0"/>
        <w:widowControl/>
        <w:spacing w:line="276" w:lineRule="exact" w:before="272" w:after="0"/>
        <w:ind w:left="0" w:right="0" w:firstLine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Analyses that we conducted with support from the NOAA Chesapeake Bay Office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evaluated trends in abundance, biomass, length, growth, production, and spatial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distribution of YOY anadromous fishes.  Under the continuing contract from Maryland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DNR and ASMFC, we are analyzing abundance trends and patterns of the YOY </w:t>
      </w:r>
      <w:r>
        <w:rPr>
          <w:rFonts w:ascii="ArialMT" w:hAnsi="ArialMT" w:eastAsia="ArialMT"/>
          <w:b w:val="0"/>
          <w:i w:val="0"/>
          <w:color w:val="000000"/>
          <w:sz w:val="24"/>
        </w:rPr>
        <w:t>anadromous fishes and other species (e.g., Atlantic menhaden) to document inter-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annual variability, analyze its causes, and evaluate effects of variability in abundance on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sizes and growth rates of the YOY anadromous fishes.  In an extension of analyses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completed to date, abundances of YOY and age-1+ fish of all common species in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DNR seine survey will be included in our principal components analysis.  Water quality,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zooplankton prey abundance, and benthic prey abundance data from the Chesapeake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Bay Program will be included in our multivariate analyses to identify and quantify drivers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interannual variability in growth and production of YOY anadromous fishes. </w:t>
      </w:r>
    </w:p>
    <w:p>
      <w:pPr>
        <w:autoSpaceDN w:val="0"/>
        <w:autoSpaceDE w:val="0"/>
        <w:widowControl/>
        <w:spacing w:line="233" w:lineRule="auto" w:before="8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REFERENCES </w:t>
      </w:r>
    </w:p>
    <w:p>
      <w:pPr>
        <w:autoSpaceDN w:val="0"/>
        <w:autoSpaceDE w:val="0"/>
        <w:widowControl/>
        <w:spacing w:line="330" w:lineRule="exact" w:before="2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Carlisle, D. M. M. R. Meador, T. M. Short, C. M. Tate, M. E. Gurtz, W. L. Bryant, J. A. </w:t>
      </w:r>
    </w:p>
    <w:p>
      <w:pPr>
        <w:autoSpaceDN w:val="0"/>
        <w:autoSpaceDE w:val="0"/>
        <w:widowControl/>
        <w:spacing w:line="276" w:lineRule="exact" w:before="54" w:after="0"/>
        <w:ind w:left="72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Falcone and M. D. Woodside. 2013.  The quality of our Nation’s waters- 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Ecological health in the Nation’s streams, 1993-2005.  U.S. Geological Survey, </w:t>
      </w:r>
      <w:r>
        <w:rPr>
          <w:rFonts w:ascii="ArialMT" w:hAnsi="ArialMT" w:eastAsia="ArialMT"/>
          <w:b w:val="0"/>
          <w:i w:val="0"/>
          <w:color w:val="000000"/>
          <w:sz w:val="24"/>
        </w:rPr>
        <w:t>Circular 1391. (</w:t>
      </w:r>
      <w:r>
        <w:rPr>
          <w:rFonts w:ascii="Arial" w:hAnsi="Arial" w:eastAsia="Arial"/>
          <w:b w:val="0"/>
          <w:i/>
          <w:color w:val="000000"/>
          <w:sz w:val="24"/>
        </w:rPr>
        <w:t>http://pubs.usgs.gov/circ/1391/)</w:t>
      </w:r>
    </w:p>
    <w:p>
      <w:pPr>
        <w:autoSpaceDN w:val="0"/>
        <w:autoSpaceDE w:val="0"/>
        <w:widowControl/>
        <w:spacing w:line="276" w:lineRule="exact" w:before="276" w:after="0"/>
        <w:ind w:left="720" w:right="1008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Cronin, T. M. and C. D. Vann. 2003. The sedimentary record of climatic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anthropogenic influence on the Patuxent Estuary and Chesapeake Bay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ecosystems. Estuaries 26:196-209. </w:t>
      </w:r>
    </w:p>
    <w:p>
      <w:pPr>
        <w:autoSpaceDN w:val="0"/>
        <w:autoSpaceDE w:val="0"/>
        <w:widowControl/>
        <w:spacing w:line="276" w:lineRule="exact" w:before="276" w:after="0"/>
        <w:ind w:left="720" w:right="144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Hagy, J. D., W. R. Boyton, C. W. Keefe, and K. V. Wood. 2004. Hypoxia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Chesapeake Bay, 1950-2001: Long-term changes in relation to nutrient loading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river flow. Estuaries, 27, 634–658.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Kemp, W. M. and 17 coauthors. 2005. Eutrophication of Chesapeake Bay: historical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trends and ecological interactions. Marine Ecology Progress Series 303:1-29. </w:t>
      </w:r>
    </w:p>
    <w:p>
      <w:pPr>
        <w:autoSpaceDN w:val="0"/>
        <w:autoSpaceDE w:val="0"/>
        <w:widowControl/>
        <w:spacing w:line="276" w:lineRule="exact" w:before="276" w:after="0"/>
        <w:ind w:left="720" w:right="144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Kraus, R. T. and D. H. Secor. 2005. Connectivity in estuarine white perch populations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Chesapeake Bay: evidence from historical fisheries data. Estuarine, Coastal,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Shelf Science 64:108-118. </w:t>
      </w:r>
    </w:p>
    <w:p>
      <w:pPr>
        <w:autoSpaceDN w:val="0"/>
        <w:autoSpaceDE w:val="0"/>
        <w:widowControl/>
        <w:spacing w:line="276" w:lineRule="exact" w:before="276" w:after="0"/>
        <w:ind w:left="720" w:right="144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Martino, E. J. and E. D. Houde.  2010.  Recruitment of striped bass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Chesapeake Bay: spatial and temporal environmental variability and availability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 zooplankton prey.  Marine Ecology Progress Series 409:213-228. </w:t>
      </w:r>
    </w:p>
    <w:p>
      <w:pPr>
        <w:autoSpaceDN w:val="0"/>
        <w:autoSpaceDE w:val="0"/>
        <w:widowControl/>
        <w:spacing w:line="276" w:lineRule="exact" w:before="276" w:after="0"/>
        <w:ind w:left="720" w:right="432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Martino, E. J. and E. D. Houde. 2012. Density-dependent regulation of year-class </w:t>
      </w:r>
      <w:r>
        <w:rPr>
          <w:rFonts w:ascii="ArialMT" w:hAnsi="ArialMT" w:eastAsia="ArialMT"/>
          <w:b w:val="0"/>
          <w:i w:val="0"/>
          <w:color w:val="000000"/>
          <w:sz w:val="24"/>
        </w:rPr>
        <w:t>strength inage-0 juvenile striped bass (</w:t>
      </w:r>
      <w:r>
        <w:rPr>
          <w:rFonts w:ascii="Arial" w:hAnsi="Arial" w:eastAsia="Arial"/>
          <w:b w:val="0"/>
          <w:i/>
          <w:color w:val="000000"/>
          <w:sz w:val="24"/>
        </w:rPr>
        <w:t>Morone saxatilis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). Canadian Journal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Fisheries and Aquatic Science 69:430-446. </w:t>
      </w:r>
    </w:p>
    <w:p>
      <w:pPr>
        <w:autoSpaceDN w:val="0"/>
        <w:autoSpaceDE w:val="0"/>
        <w:widowControl/>
        <w:spacing w:line="194" w:lineRule="auto" w:before="744" w:after="0"/>
        <w:ind w:left="0" w:right="46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29</w:t>
      </w:r>
    </w:p>
    <w:p>
      <w:pPr>
        <w:sectPr>
          <w:pgSz w:w="12240" w:h="15840"/>
          <w:pgMar w:top="702" w:right="136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720" w:right="288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McGinty, M., J. Uphoff, R. Lukacovic, J. Mowrer, and B. Pyle. 2006. Development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habitat based reference points for Chesapeake Bay fishes of special concern: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impervious surface as a test case. Chesapeake Bay Finfish/Habitat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Investigations 152006, Project 3. Maryland Department of Natural Resources,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Annapolis, Maryland. </w:t>
      </w:r>
    </w:p>
    <w:p>
      <w:pPr>
        <w:autoSpaceDN w:val="0"/>
        <w:autoSpaceDE w:val="0"/>
        <w:widowControl/>
        <w:spacing w:line="276" w:lineRule="exact" w:before="276" w:after="0"/>
        <w:ind w:left="720" w:right="288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North, E. W. and E. D. Houde.  2001.  Retention of white perch and striped bass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larvae: biological-physical interactions in Chesapeake Bay Estuarine Turbidity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Maximum.  Estuaries 24:756-769.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North, E. W. and E. D. Houde.  2003.  Linking ETM physics, zooplankton prey,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fish early-life histories to striped bass </w:t>
      </w:r>
      <w:r>
        <w:rPr>
          <w:rFonts w:ascii="Arial" w:hAnsi="Arial" w:eastAsia="Arial"/>
          <w:b w:val="0"/>
          <w:i/>
          <w:color w:val="000000"/>
          <w:sz w:val="24"/>
        </w:rPr>
        <w:t>Morone saxatilis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and white perch </w:t>
      </w:r>
      <w:r>
        <w:rPr>
          <w:rFonts w:ascii="Arial" w:hAnsi="Arial" w:eastAsia="Arial"/>
          <w:b w:val="0"/>
          <w:i/>
          <w:color w:val="000000"/>
          <w:sz w:val="24"/>
        </w:rPr>
        <w:t>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24"/>
        </w:rPr>
        <w:t>americana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recruitment.  Marine Ecology Progressive Series 260:219-236. </w:t>
      </w:r>
    </w:p>
    <w:p>
      <w:pPr>
        <w:autoSpaceDN w:val="0"/>
        <w:autoSpaceDE w:val="0"/>
        <w:widowControl/>
        <w:spacing w:line="276" w:lineRule="exact" w:before="276" w:after="0"/>
        <w:ind w:left="720" w:right="288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North, E. W. and E. D. Houde.  2006.  Retention mechanisms of white perch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(</w:t>
      </w:r>
      <w:r>
        <w:rPr>
          <w:rFonts w:ascii="Arial" w:hAnsi="Arial" w:eastAsia="Arial"/>
          <w:b w:val="0"/>
          <w:i/>
          <w:color w:val="000000"/>
          <w:sz w:val="24"/>
        </w:rPr>
        <w:t>Morone americana</w:t>
      </w:r>
      <w:r>
        <w:rPr>
          <w:rFonts w:ascii="ArialMT" w:hAnsi="ArialMT" w:eastAsia="ArialMT"/>
          <w:b w:val="0"/>
          <w:i w:val="0"/>
          <w:color w:val="000000"/>
          <w:sz w:val="24"/>
        </w:rPr>
        <w:t>) and striped bass (</w:t>
      </w:r>
      <w:r>
        <w:rPr>
          <w:rFonts w:ascii="Arial" w:hAnsi="Arial" w:eastAsia="Arial"/>
          <w:b w:val="0"/>
          <w:i/>
          <w:color w:val="000000"/>
          <w:sz w:val="24"/>
        </w:rPr>
        <w:t>Morone saxatilis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) early-life stages in an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estuarine turbidity maximum: an integrative fixed-location and mapping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approach.  Fisheries Oceanography 15:429-450. </w:t>
      </w:r>
    </w:p>
    <w:p>
      <w:pPr>
        <w:autoSpaceDN w:val="0"/>
        <w:autoSpaceDE w:val="0"/>
        <w:widowControl/>
        <w:spacing w:line="276" w:lineRule="exact" w:before="276" w:after="0"/>
        <w:ind w:left="720" w:right="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Prasad, M. B. K., M. R. P. Sapiano, C. R. Anderson, W. Long, and R. Murtugudde.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2010. Long-term variability of nutrients and chlorophyll in the Chesapeake Bay: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retrospective analysis, 1985-2008. Estuaries and Coasts 33:1128-1143. </w:t>
      </w:r>
    </w:p>
    <w:p>
      <w:pPr>
        <w:autoSpaceDN w:val="0"/>
        <w:autoSpaceDE w:val="0"/>
        <w:widowControl/>
        <w:spacing w:line="276" w:lineRule="exact" w:before="276" w:after="0"/>
        <w:ind w:left="720" w:right="144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Schaaf, W. E., D. S. Peters, L. Coston-Clements, D. S. Vaughan, and C. W. Krause.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1993. A simulation model of how life history strategies mediate pollution effects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 fish populations. Estuaries 16:697-702. </w:t>
      </w:r>
    </w:p>
    <w:p>
      <w:pPr>
        <w:autoSpaceDN w:val="0"/>
        <w:autoSpaceDE w:val="0"/>
        <w:widowControl/>
        <w:spacing w:line="276" w:lineRule="exact" w:before="276" w:after="0"/>
        <w:ind w:left="720" w:right="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Testa, J. M., W. M. Kemp, W. R. Boynton, and J. D. Hagy. 2008. Long-term changes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quality and productivity in the Patuxent River Estuary: 1985-2003.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Estuaries and Coasts 31:1021-1037. </w:t>
      </w:r>
    </w:p>
    <w:p>
      <w:pPr>
        <w:autoSpaceDN w:val="0"/>
        <w:autoSpaceDE w:val="0"/>
        <w:widowControl/>
        <w:spacing w:line="276" w:lineRule="exact" w:before="276" w:after="0"/>
        <w:ind w:left="720" w:right="144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Uphoff, J., 2008. Identifying priority areas for protection and restoration: Chesapeake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Bay striped bass spawning and larval nursery area as a model. Fisheries Tech.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Rep. Series, Number 52. Maryland Department of Natural Resources, Fisheries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Service, Stevensville, MD. </w:t>
      </w:r>
    </w:p>
    <w:p>
      <w:pPr>
        <w:autoSpaceDN w:val="0"/>
        <w:autoSpaceDE w:val="0"/>
        <w:widowControl/>
        <w:spacing w:line="276" w:lineRule="exact" w:before="276" w:after="0"/>
        <w:ind w:left="720" w:right="288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Uphoff, J., M. McGinty, R. Lukacovic, J. Mowrer, and B. Pyle. 2007. Development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habitat based reference points for Chesapeake Bay fishes of special concern: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impervious surface as a test case. Chesapeake Bay Finfish/Habitat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Investigations 2006, F-61-R-1, Project 3.Maryland Department of Natural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Resources, Annapolis, Maryland. </w:t>
      </w:r>
    </w:p>
    <w:p>
      <w:pPr>
        <w:autoSpaceDN w:val="0"/>
        <w:autoSpaceDE w:val="0"/>
        <w:widowControl/>
        <w:spacing w:line="276" w:lineRule="exact" w:before="276" w:after="0"/>
        <w:ind w:left="720" w:right="576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Uphoff, J., M. McGinty, R. Lukacovic, J. Mowrer, and B. Pyle. 2011. Impervious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surface, summer dissolved oxygen, and fish distribution in Chesapeake Bay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subestuaries: Linking watershed development, habitat conditions, and </w:t>
      </w:r>
    </w:p>
    <w:p>
      <w:pPr>
        <w:autoSpaceDN w:val="0"/>
        <w:autoSpaceDE w:val="0"/>
        <w:widowControl/>
        <w:spacing w:line="194" w:lineRule="auto" w:before="7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30</w:t>
      </w:r>
    </w:p>
    <w:p>
      <w:pPr>
        <w:sectPr>
          <w:pgSz w:w="12240" w:h="15840"/>
          <w:pgMar w:top="840" w:right="1414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72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fisheries management.  North American Journal of Fisheries Management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31:554-566.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0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USGS (United States Geological Survey).  2012.  USGS surface-water monthly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statistics for the nation. </w:t>
      </w:r>
    </w:p>
    <w:p>
      <w:pPr>
        <w:autoSpaceDN w:val="0"/>
        <w:autoSpaceDE w:val="0"/>
        <w:widowControl/>
        <w:spacing w:line="276" w:lineRule="exact" w:before="54" w:after="0"/>
        <w:ind w:left="72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http://waterdata.usgs.gov/nwis/monthly/?referred_module=sw.  Accessed 22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June 2012. </w:t>
      </w:r>
    </w:p>
    <w:p>
      <w:pPr>
        <w:autoSpaceDN w:val="0"/>
        <w:autoSpaceDE w:val="0"/>
        <w:widowControl/>
        <w:spacing w:line="276" w:lineRule="exact" w:before="276" w:after="0"/>
        <w:ind w:left="720" w:right="328" w:hanging="72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Williams, M. R., S. Filoso, B. J. Longstaff, W. C. Dennison. 2010. Long-term trends of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quality and biotic metrics in Chesapeake Bay: 1986-2008. Estuaries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Coasts 33:1279-1299. </w:t>
      </w:r>
    </w:p>
    <w:p>
      <w:pPr>
        <w:autoSpaceDN w:val="0"/>
        <w:autoSpaceDE w:val="0"/>
        <w:widowControl/>
        <w:spacing w:line="276" w:lineRule="exact" w:before="276" w:after="0"/>
        <w:ind w:left="720" w:right="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Wood, R. J. and H. M. Austin. 2009. Synchronous multidecadal fish recruitment patterns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Chesapeake Bay, USA. Canadian Journal of Fisheries and Aquatic Science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66:496-508. </w:t>
      </w:r>
    </w:p>
    <w:p>
      <w:pPr>
        <w:autoSpaceDN w:val="0"/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PRODUCTS </w:t>
      </w:r>
    </w:p>
    <w:p>
      <w:pPr>
        <w:autoSpaceDN w:val="0"/>
        <w:autoSpaceDE w:val="0"/>
        <w:widowControl/>
        <w:spacing w:line="330" w:lineRule="exact" w:before="2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A. Presentations (since October 2011) </w:t>
      </w:r>
    </w:p>
    <w:p>
      <w:pPr>
        <w:autoSpaceDN w:val="0"/>
        <w:autoSpaceDE w:val="0"/>
        <w:widowControl/>
        <w:spacing w:line="276" w:lineRule="exact" w:before="276" w:after="0"/>
        <w:ind w:left="720" w:right="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Houde, E. D. and W. J. Connelly. 2012. A retrospective analysis of spatial and temporal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patterns of growth and abundance of juvenile anadromous fishes in the Maryland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Chesapeake Bay. NOAA Chesapeake Bay Office Fisheries Science Rollout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Edgewater, MD. January, 2012. </w:t>
      </w:r>
    </w:p>
    <w:p>
      <w:pPr>
        <w:autoSpaceDN w:val="0"/>
        <w:autoSpaceDE w:val="0"/>
        <w:widowControl/>
        <w:spacing w:line="276" w:lineRule="exact" w:before="274" w:after="0"/>
        <w:ind w:left="720" w:right="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Houde, E. D.  2012.  Forage fishes and YOY anadromous fishes in Chesapeake Bay: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causes of variability in abundance.  Invited presentation. Fisheries Goal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Implementation Team, Chesapeake Bay Program, Port Isobel, VA.  7 December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2012. </w:t>
      </w:r>
    </w:p>
    <w:p>
      <w:pPr>
        <w:autoSpaceDN w:val="0"/>
        <w:autoSpaceDE w:val="0"/>
        <w:widowControl/>
        <w:spacing w:line="330" w:lineRule="exact" w:before="2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Lozano, C. and E. D. Houde.  2013. Offshore growth of Atlantic menhaden larvae </w:t>
      </w:r>
    </w:p>
    <w:p>
      <w:pPr>
        <w:autoSpaceDN w:val="0"/>
        <w:autoSpaceDE w:val="0"/>
        <w:widowControl/>
        <w:spacing w:line="330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before entering Chesapeake Bay.  American Fisheries Society, Tidewater </w:t>
      </w:r>
    </w:p>
    <w:p>
      <w:pPr>
        <w:autoSpaceDN w:val="0"/>
        <w:autoSpaceDE w:val="0"/>
        <w:widowControl/>
        <w:spacing w:line="330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Chapter, Annual Meeting, Solomons, MD.  22 March 2013. </w:t>
      </w:r>
    </w:p>
    <w:p>
      <w:pPr>
        <w:autoSpaceDN w:val="0"/>
        <w:autoSpaceDE w:val="0"/>
        <w:widowControl/>
        <w:spacing w:line="330" w:lineRule="exact" w:before="3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O’Brien, M. H. P., A. N. Atkinson and D. H. Secor.  2013.  Preconditioning of summer </w:t>
      </w:r>
    </w:p>
    <w:p>
      <w:pPr>
        <w:autoSpaceDN w:val="0"/>
        <w:autoSpaceDE w:val="0"/>
        <w:widowControl/>
        <w:spacing w:line="330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juvenile fish assemblage by winter conditions in a temperate estuary.  American 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Fisheries Society, Tidewater Chapter, Annual Meeting, Solomons, MD.  22 </w:t>
      </w:r>
    </w:p>
    <w:p>
      <w:pPr>
        <w:autoSpaceDN w:val="0"/>
        <w:autoSpaceDE w:val="0"/>
        <w:widowControl/>
        <w:spacing w:line="330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March 2013. </w:t>
      </w:r>
    </w:p>
    <w:p>
      <w:pPr>
        <w:autoSpaceDN w:val="0"/>
        <w:autoSpaceDE w:val="0"/>
        <w:widowControl/>
        <w:spacing w:line="194" w:lineRule="auto" w:before="2384" w:after="0"/>
        <w:ind w:left="0" w:right="46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31</w:t>
      </w:r>
    </w:p>
    <w:p>
      <w:pPr>
        <w:sectPr>
          <w:pgSz w:w="12240" w:h="15840"/>
          <w:pgMar w:top="702" w:right="1362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Personnel</w:t>
      </w:r>
    </w:p>
    <w:p>
      <w:pPr>
        <w:autoSpaceDN w:val="0"/>
        <w:autoSpaceDE w:val="0"/>
        <w:widowControl/>
        <w:spacing w:line="276" w:lineRule="exact" w:before="2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Principal Investigator is Dr. E. D. Houde.  The principal scientist involved was Dr.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W. J. Connelly, Assistant Research Scientist.  Dr. Connelly left UMCES in October 2012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 take a new position with the Federal Energy Regulatory Commission. C. Lozano and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M. O’Brien provided technical assistance. </w:t>
      </w:r>
    </w:p>
    <w:p>
      <w:pPr>
        <w:autoSpaceDN w:val="0"/>
        <w:autoSpaceDE w:val="0"/>
        <w:widowControl/>
        <w:spacing w:line="194" w:lineRule="auto" w:before="117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32</w:t>
      </w:r>
    </w:p>
    <w:sectPr w:rsidR="00FC693F" w:rsidRPr="0006063C" w:rsidSect="00034616">
      <w:pgSz w:w="12240" w:h="15840"/>
      <w:pgMar w:top="722" w:right="1374" w:bottom="3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