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IN THE UNITED STATES DISTRICT COURT</w:t>
      </w:r>
    </w:p>
    <w:p>
      <w:pPr>
        <w:autoSpaceDN w:val="0"/>
        <w:autoSpaceDE w:val="0"/>
        <w:widowControl/>
        <w:spacing w:line="220" w:lineRule="exact" w:before="7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FOR THE WESTERN DISTRICT OF WISCONSIN</w:t>
      </w:r>
    </w:p>
    <w:p>
      <w:pPr>
        <w:autoSpaceDN w:val="0"/>
        <w:autoSpaceDE w:val="0"/>
        <w:widowControl/>
        <w:spacing w:line="200" w:lineRule="exact" w:before="55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0"/>
        </w:rPr>
        <w:t>CHARLES G. ANDERSON,</w:t>
      </w:r>
    </w:p>
    <w:p>
      <w:pPr>
        <w:autoSpaceDN w:val="0"/>
        <w:tabs>
          <w:tab w:pos="7164" w:val="left"/>
        </w:tabs>
        <w:autoSpaceDE w:val="0"/>
        <w:widowControl/>
        <w:spacing w:line="200" w:lineRule="exact" w:before="232" w:after="0"/>
        <w:ind w:left="288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0"/>
        </w:rPr>
        <w:t>Petitioner,</w:t>
      </w:r>
      <w:r>
        <w:tab/>
      </w:r>
      <w:r>
        <w:rPr>
          <w:rFonts w:ascii="ArrusBT" w:hAnsi="ArrusBT" w:eastAsia="ArrusBT"/>
          <w:b w:val="0"/>
          <w:i w:val="0"/>
          <w:color w:val="000000"/>
          <w:sz w:val="20"/>
        </w:rPr>
        <w:t xml:space="preserve"> ORDER</w:t>
      </w:r>
    </w:p>
    <w:p>
      <w:pPr>
        <w:autoSpaceDN w:val="0"/>
        <w:autoSpaceDE w:val="0"/>
        <w:widowControl/>
        <w:spacing w:line="200" w:lineRule="exact" w:before="16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0"/>
        </w:rPr>
        <w:t>v.</w:t>
      </w:r>
    </w:p>
    <w:p>
      <w:pPr>
        <w:autoSpaceDN w:val="0"/>
        <w:autoSpaceDE w:val="0"/>
        <w:widowControl/>
        <w:spacing w:line="200" w:lineRule="exact" w:before="16" w:after="0"/>
        <w:ind w:left="0" w:right="1026" w:firstLine="0"/>
        <w:jc w:val="right"/>
      </w:pPr>
      <w:r>
        <w:rPr>
          <w:rFonts w:ascii="ArrusBT" w:hAnsi="ArrusBT" w:eastAsia="ArrusBT"/>
          <w:b w:val="0"/>
          <w:i w:val="0"/>
          <w:color w:val="000000"/>
          <w:sz w:val="20"/>
        </w:rPr>
        <w:t xml:space="preserve"> 12-cv-578-bbc</w:t>
      </w:r>
    </w:p>
    <w:p>
      <w:pPr>
        <w:autoSpaceDN w:val="0"/>
        <w:autoSpaceDE w:val="0"/>
        <w:widowControl/>
        <w:spacing w:line="200" w:lineRule="exact" w:before="23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0"/>
        </w:rPr>
        <w:t>DEBORAH McCULLOCH,</w:t>
      </w:r>
      <w:r>
        <w:rPr>
          <w:rFonts w:ascii="ArrusBT" w:hAnsi="ArrusBT" w:eastAsia="ArrusBT"/>
          <w:b w:val="0"/>
          <w:i w:val="0"/>
          <w:color w:val="000000"/>
          <w:sz w:val="20"/>
        </w:rPr>
        <w:t xml:space="preserve"> Director,</w:t>
      </w:r>
    </w:p>
    <w:p>
      <w:pPr>
        <w:autoSpaceDN w:val="0"/>
        <w:autoSpaceDE w:val="0"/>
        <w:widowControl/>
        <w:spacing w:line="200" w:lineRule="exact" w:before="7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0"/>
        </w:rPr>
        <w:t>Sand Ridge Secure Treatment Center,</w:t>
      </w:r>
    </w:p>
    <w:p>
      <w:pPr>
        <w:autoSpaceDN w:val="0"/>
        <w:autoSpaceDE w:val="0"/>
        <w:widowControl/>
        <w:spacing w:line="226" w:lineRule="exact" w:before="260" w:after="0"/>
        <w:ind w:left="0" w:right="5232" w:firstLine="0"/>
        <w:jc w:val="right"/>
      </w:pPr>
      <w:r>
        <w:rPr>
          <w:rFonts w:ascii="ArrusBT" w:hAnsi="ArrusBT" w:eastAsia="ArrusBT"/>
          <w:b w:val="0"/>
          <w:i w:val="0"/>
          <w:color w:val="000000"/>
          <w:sz w:val="20"/>
        </w:rPr>
        <w:t>Respondent.</w:t>
      </w:r>
      <w:r>
        <w:rPr>
          <w:rFonts w:ascii="ArrusBT" w:hAnsi="ArrusBT" w:eastAsia="ArrusBT"/>
          <w:b w:val="0"/>
          <w:i w:val="0"/>
          <w:color w:val="000000"/>
          <w:sz w:val="12"/>
        </w:rPr>
        <w:t>1</w:t>
      </w:r>
    </w:p>
    <w:p>
      <w:pPr>
        <w:autoSpaceDN w:val="0"/>
        <w:autoSpaceDE w:val="0"/>
        <w:widowControl/>
        <w:spacing w:line="220" w:lineRule="exact" w:before="490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Petitioner Charles G. Anderson seeks a writ of habeas corpus under 28 U.S.C. § 2254 to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challenge his continued confinement at the Sand Ridge Secure Treatment Center in Mauston,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Wisconsin.  Anderson proceeds pro se and he has paid the five dollar filing fee. This case is</w:t>
      </w:r>
    </w:p>
    <w:p>
      <w:pPr>
        <w:autoSpaceDN w:val="0"/>
        <w:autoSpaceDE w:val="0"/>
        <w:widowControl/>
        <w:spacing w:line="218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pending before the court for preliminary review under Rule 4 of the Rules Governing Section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2254 Cases. </w:t>
      </w:r>
    </w:p>
    <w:p>
      <w:pPr>
        <w:autoSpaceDN w:val="0"/>
        <w:autoSpaceDE w:val="0"/>
        <w:widowControl/>
        <w:spacing w:line="220" w:lineRule="exact" w:before="342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Preliminary review of the petition shows that Anderson is in custody pursuant to a civil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commitment order entered under the state sexually violent persons law, Wis. Stat. ch. 980. 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Anderson provides scant detail about his commitment proceedings or his efforts to obtain relief</w:t>
      </w:r>
    </w:p>
    <w:p>
      <w:pPr>
        <w:autoSpaceDN w:val="0"/>
        <w:autoSpaceDE w:val="0"/>
        <w:widowControl/>
        <w:spacing w:line="218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in state court.  He appears to challenge a judgment from the Circuit Court for Portage County,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which denied his petition for discharge under Wis. Stat. § 980.09.  Public records confirm that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this judgment was affirmed on direct appeal, </w:t>
      </w:r>
      <w:r>
        <w:rPr>
          <w:rFonts w:ascii="ArrusBT" w:hAnsi="ArrusBT" w:eastAsia="ArrusBT"/>
          <w:b w:val="0"/>
          <w:i/>
          <w:color w:val="000000"/>
          <w:sz w:val="22"/>
        </w:rPr>
        <w:t>State v. Anderson</w:t>
      </w:r>
      <w:r>
        <w:rPr>
          <w:rFonts w:ascii="ArrusBT" w:hAnsi="ArrusBT" w:eastAsia="ArrusBT"/>
          <w:b w:val="0"/>
          <w:i w:val="0"/>
          <w:color w:val="000000"/>
          <w:sz w:val="22"/>
        </w:rPr>
        <w:t>, 2012 WI App 52, 340 Wis.2d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742, 813 N.W.2d 248 (Wis. App. March 22, 2012) (unpublished), and the Wisconsin Supreme</w:t>
      </w:r>
    </w:p>
    <w:p>
      <w:pPr>
        <w:autoSpaceDN w:val="0"/>
        <w:autoSpaceDE w:val="0"/>
        <w:widowControl/>
        <w:spacing w:line="220" w:lineRule="exact" w:before="342" w:after="84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Court has denied further review.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9"/>
        <w:gridCol w:w="4689"/>
      </w:tblGrid>
      <w:tr>
        <w:trPr>
          <w:trHeight w:hRule="exact" w:val="542"/>
        </w:trPr>
        <w:tc>
          <w:tcPr>
            <w:tcW w:type="dxa" w:w="840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56" w:after="0"/>
              <w:ind w:left="0" w:right="62" w:firstLine="0"/>
              <w:jc w:val="right"/>
            </w:pPr>
            <w:r>
              <w:rPr>
                <w:rFonts w:ascii="ArrusBT" w:hAnsi="ArrusBT" w:eastAsia="ArrusBT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8500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0" w:after="0"/>
              <w:ind w:left="0" w:right="0" w:firstLine="0"/>
              <w:jc w:val="center"/>
            </w:pPr>
            <w:r>
              <w:rPr>
                <w:rFonts w:ascii="ArrusBT" w:hAnsi="ArrusBT" w:eastAsia="ArrusBT"/>
                <w:b w:val="0"/>
                <w:i w:val="0"/>
                <w:color w:val="000000"/>
                <w:sz w:val="18"/>
              </w:rPr>
              <w:t>The petition lists Secretary Dennis Smith of the Wisconsin Department of Health and Human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18"/>
        </w:rPr>
        <w:t>Services as the respondent.  The court substitutes the official having custody, Sand Ridge Director</w:t>
      </w:r>
    </w:p>
    <w:p>
      <w:pPr>
        <w:autoSpaceDN w:val="0"/>
        <w:autoSpaceDE w:val="0"/>
        <w:widowControl/>
        <w:spacing w:line="180" w:lineRule="exact" w:before="74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18"/>
        </w:rPr>
        <w:t>Deborah McCulloch, as the proper respondent under Rule 2(a) of the Rules Governing Section 2254</w:t>
      </w:r>
    </w:p>
    <w:p>
      <w:pPr>
        <w:autoSpaceDN w:val="0"/>
        <w:autoSpaceDE w:val="0"/>
        <w:widowControl/>
        <w:spacing w:line="180" w:lineRule="exact" w:before="74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18"/>
        </w:rPr>
        <w:t xml:space="preserve">Cases. </w:t>
      </w:r>
    </w:p>
    <w:p>
      <w:pPr>
        <w:sectPr>
          <w:pgSz w:w="12240" w:h="15840"/>
          <w:pgMar w:top="744" w:right="1422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Liberally construed, Anderson contends that his continued confinement is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unconstitutional because the state failed to prove that he remains a sexually violent person as</w:t>
      </w:r>
    </w:p>
    <w:p>
      <w:pPr>
        <w:autoSpaceDN w:val="0"/>
        <w:autoSpaceDE w:val="0"/>
        <w:widowControl/>
        <w:spacing w:line="218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defined by Wis. Stat. 980.01(7).  Anderson has not alleged any facts in support of this claim. 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Nevertheless, it appears that Anderson has exhausted his state court remedies with respect to this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issue and that he has filed his petition within the one-year limitations period on federal review.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Therefore, at this early stage of the case, Anderson may proceed with this claim. </w:t>
      </w:r>
    </w:p>
    <w:p>
      <w:pPr>
        <w:autoSpaceDN w:val="0"/>
        <w:autoSpaceDE w:val="0"/>
        <w:widowControl/>
        <w:spacing w:line="218" w:lineRule="exact" w:before="904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ORDER</w:t>
      </w:r>
    </w:p>
    <w:p>
      <w:pPr>
        <w:autoSpaceDN w:val="0"/>
        <w:autoSpaceDE w:val="0"/>
        <w:widowControl/>
        <w:spacing w:line="220" w:lineRule="exact" w:before="342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IT IS ORDERED THAT:</w:t>
      </w:r>
    </w:p>
    <w:p>
      <w:pPr>
        <w:autoSpaceDN w:val="0"/>
        <w:autoSpaceDE w:val="0"/>
        <w:widowControl/>
        <w:spacing w:line="220" w:lineRule="exact" w:before="344" w:after="0"/>
        <w:ind w:left="818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 1.  </w:t>
      </w:r>
      <w:r>
        <w:rPr>
          <w:rFonts w:ascii="ArrusBT" w:hAnsi="ArrusBT" w:eastAsia="ArrusBT"/>
          <w:b/>
          <w:i w:val="0"/>
          <w:color w:val="000000"/>
          <w:sz w:val="22"/>
        </w:rPr>
        <w:t>Service of petition</w:t>
      </w:r>
      <w:r>
        <w:rPr>
          <w:rFonts w:ascii="ArrusBT" w:hAnsi="ArrusBT" w:eastAsia="ArrusBT"/>
          <w:b w:val="0"/>
          <w:i w:val="0"/>
          <w:color w:val="000000"/>
          <w:sz w:val="22"/>
        </w:rPr>
        <w:t>.  Pursuant to an informal service agreement between the</w:t>
      </w:r>
    </w:p>
    <w:p>
      <w:pPr>
        <w:autoSpaceDN w:val="0"/>
        <w:autoSpaceDE w:val="0"/>
        <w:widowControl/>
        <w:spacing w:line="220" w:lineRule="exact" w:before="344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Attorney General and the court, the Attorney General is being notified to seek service on the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respondent, Deborah McCulloch, in her official capacity as director of the Sand Ridge Secure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Treatment Center. </w:t>
      </w:r>
    </w:p>
    <w:p>
      <w:pPr>
        <w:autoSpaceDN w:val="0"/>
        <w:autoSpaceDE w:val="0"/>
        <w:widowControl/>
        <w:spacing w:line="220" w:lineRule="exact" w:before="344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2.  </w:t>
      </w:r>
      <w:r>
        <w:rPr>
          <w:rFonts w:ascii="ArrusBT" w:hAnsi="ArrusBT" w:eastAsia="ArrusBT"/>
          <w:b/>
          <w:i w:val="0"/>
          <w:color w:val="000000"/>
          <w:sz w:val="22"/>
        </w:rPr>
        <w:t>Answer  deadline</w:t>
      </w:r>
      <w:r>
        <w:rPr>
          <w:rFonts w:ascii="ArrusBT" w:hAnsi="ArrusBT" w:eastAsia="ArrusBT"/>
          <w:b w:val="0"/>
          <w:i w:val="0"/>
          <w:color w:val="000000"/>
          <w:sz w:val="22"/>
        </w:rPr>
        <w:t>.  Within 30 days of the date of service of this order, respondent</w:t>
      </w:r>
    </w:p>
    <w:p>
      <w:pPr>
        <w:autoSpaceDN w:val="0"/>
        <w:autoSpaceDE w:val="0"/>
        <w:widowControl/>
        <w:spacing w:line="220" w:lineRule="exact" w:before="344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must file an answer to the petition, in compliance with Rule 5 of the Rules Governing Section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2254 Cases, showing cause, if any, why this writ should not issue.</w:t>
      </w:r>
    </w:p>
    <w:p>
      <w:pPr>
        <w:autoSpaceDN w:val="0"/>
        <w:autoSpaceDE w:val="0"/>
        <w:widowControl/>
        <w:spacing w:line="220" w:lineRule="exact" w:before="344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3.  </w:t>
      </w:r>
      <w:r>
        <w:rPr>
          <w:rFonts w:ascii="ArrusBT" w:hAnsi="ArrusBT" w:eastAsia="ArrusBT"/>
          <w:b/>
          <w:i w:val="0"/>
          <w:color w:val="000000"/>
          <w:sz w:val="22"/>
        </w:rPr>
        <w:t>Motions to dismiss</w:t>
      </w:r>
      <w:r>
        <w:rPr>
          <w:rFonts w:ascii="ArrusBT" w:hAnsi="ArrusBT" w:eastAsia="ArrusBT"/>
          <w:b w:val="0"/>
          <w:i w:val="0"/>
          <w:color w:val="000000"/>
          <w:sz w:val="22"/>
        </w:rPr>
        <w:t>.  If the respondent contends that the petition is subject to</w:t>
      </w:r>
    </w:p>
    <w:p>
      <w:pPr>
        <w:autoSpaceDN w:val="0"/>
        <w:autoSpaceDE w:val="0"/>
        <w:widowControl/>
        <w:spacing w:line="220" w:lineRule="exact" w:before="344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dismissal on its face - - on grounds such as the statute of limitations, an unauthorized successive</w:t>
      </w:r>
    </w:p>
    <w:p>
      <w:pPr>
        <w:autoSpaceDN w:val="0"/>
        <w:autoSpaceDE w:val="0"/>
        <w:widowControl/>
        <w:spacing w:line="218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petition, lack of exhaustion or procedural default - - then respondent is authorized to file within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30 days of this order, a motion to dismiss, a supporting brief and any documents relevant to the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motion.  Petitioner shall have 20 days following service of any dismissal motion within which</w:t>
      </w:r>
    </w:p>
    <w:p>
      <w:pPr>
        <w:autoSpaceDN w:val="0"/>
        <w:autoSpaceDE w:val="0"/>
        <w:widowControl/>
        <w:spacing w:line="218" w:lineRule="exact" w:before="12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40" w:right="1422" w:bottom="7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to file and serve his responsive brief and any supporting documents.  The respondent shall have</w:t>
      </w:r>
    </w:p>
    <w:p>
      <w:pPr>
        <w:autoSpaceDN w:val="0"/>
        <w:autoSpaceDE w:val="0"/>
        <w:widowControl/>
        <w:spacing w:line="220" w:lineRule="exact" w:before="34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20 days following service of the response within which to file a reply.</w:t>
      </w:r>
    </w:p>
    <w:p>
      <w:pPr>
        <w:autoSpaceDN w:val="0"/>
        <w:autoSpaceDE w:val="0"/>
        <w:widowControl/>
        <w:spacing w:line="220" w:lineRule="exact" w:before="344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4.  </w:t>
      </w:r>
      <w:r>
        <w:rPr>
          <w:rFonts w:ascii="ArrusBT" w:hAnsi="ArrusBT" w:eastAsia="ArrusBT"/>
          <w:b/>
          <w:i w:val="0"/>
          <w:color w:val="000000"/>
          <w:sz w:val="22"/>
        </w:rPr>
        <w:t>Denial of motion to dismiss</w:t>
      </w:r>
      <w:r>
        <w:rPr>
          <w:rFonts w:ascii="ArrusBT" w:hAnsi="ArrusBT" w:eastAsia="ArrusBT"/>
          <w:b w:val="0"/>
          <w:i w:val="0"/>
          <w:color w:val="000000"/>
          <w:sz w:val="22"/>
        </w:rPr>
        <w:t>.  If the court denies such a motion to dismiss in whole</w:t>
      </w:r>
    </w:p>
    <w:p>
      <w:pPr>
        <w:autoSpaceDN w:val="0"/>
        <w:autoSpaceDE w:val="0"/>
        <w:widowControl/>
        <w:spacing w:line="220" w:lineRule="exact" w:before="344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or in part, then it will set deadlines for the respondent to file an answer and for the parties to</w:t>
      </w:r>
    </w:p>
    <w:p>
      <w:pPr>
        <w:autoSpaceDN w:val="0"/>
        <w:autoSpaceDE w:val="0"/>
        <w:widowControl/>
        <w:spacing w:line="218" w:lineRule="exact" w:before="342" w:after="0"/>
        <w:ind w:left="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brief the merits. </w:t>
      </w:r>
    </w:p>
    <w:p>
      <w:pPr>
        <w:autoSpaceDN w:val="0"/>
        <w:autoSpaceDE w:val="0"/>
        <w:widowControl/>
        <w:spacing w:line="218" w:lineRule="exact" w:before="346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5.  </w:t>
      </w:r>
      <w:r>
        <w:rPr>
          <w:rFonts w:ascii="ArrusBT" w:hAnsi="ArrusBT" w:eastAsia="ArrusBT"/>
          <w:b/>
          <w:i w:val="0"/>
          <w:color w:val="000000"/>
          <w:sz w:val="22"/>
        </w:rPr>
        <w:t>Briefing on the merits</w:t>
      </w:r>
      <w:r>
        <w:rPr>
          <w:rFonts w:ascii="ArrusBT" w:hAnsi="ArrusBT" w:eastAsia="ArrusBT"/>
          <w:b w:val="0"/>
          <w:i w:val="0"/>
          <w:color w:val="000000"/>
          <w:sz w:val="22"/>
        </w:rPr>
        <w:t>.  If respondent does not file a motion to dismiss, then the</w:t>
      </w:r>
    </w:p>
    <w:p>
      <w:pPr>
        <w:autoSpaceDN w:val="0"/>
        <w:autoSpaceDE w:val="0"/>
        <w:widowControl/>
        <w:spacing w:line="218" w:lineRule="exact" w:before="346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parties shall adhere to the following briefing schedule regarding the merits of petitioner’s claims:</w:t>
      </w:r>
    </w:p>
    <w:p>
      <w:pPr>
        <w:autoSpaceDN w:val="0"/>
        <w:tabs>
          <w:tab w:pos="1440" w:val="left"/>
        </w:tabs>
        <w:autoSpaceDE w:val="0"/>
        <w:widowControl/>
        <w:spacing w:line="220" w:lineRule="exact" w:before="342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ArrusBT" w:hAnsi="ArrusBT" w:eastAsia="ArrusBT"/>
          <w:b w:val="0"/>
          <w:i w:val="0"/>
          <w:color w:val="000000"/>
          <w:sz w:val="22"/>
        </w:rPr>
        <w:t>Petitioner shall file a brief in support of his petition within 30 days</w:t>
      </w:r>
    </w:p>
    <w:p>
      <w:pPr>
        <w:autoSpaceDN w:val="0"/>
        <w:autoSpaceDE w:val="0"/>
        <w:widowControl/>
        <w:spacing w:line="220" w:lineRule="exact" w:before="6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after respondent files his answer.  With respect to any claim</w:t>
      </w:r>
    </w:p>
    <w:p>
      <w:pPr>
        <w:autoSpaceDN w:val="0"/>
        <w:autoSpaceDE w:val="0"/>
        <w:widowControl/>
        <w:spacing w:line="220" w:lineRule="exact" w:before="60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adjudicated on the merits in state court, petitioner must show</w:t>
      </w:r>
    </w:p>
    <w:p>
      <w:pPr>
        <w:autoSpaceDN w:val="0"/>
        <w:autoSpaceDE w:val="0"/>
        <w:widowControl/>
        <w:spacing w:line="218" w:lineRule="exact" w:before="6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either that (1) the state court contravened a controlling opinion of</w:t>
      </w:r>
    </w:p>
    <w:p>
      <w:pPr>
        <w:autoSpaceDN w:val="0"/>
        <w:autoSpaceDE w:val="0"/>
        <w:widowControl/>
        <w:spacing w:line="220" w:lineRule="exact" w:before="6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the United States Supreme Court; (2) the state court applied a</w:t>
      </w:r>
    </w:p>
    <w:p>
      <w:pPr>
        <w:autoSpaceDN w:val="0"/>
        <w:autoSpaceDE w:val="0"/>
        <w:widowControl/>
        <w:spacing w:line="220" w:lineRule="exact" w:before="60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controlling opinion of the United States Supreme Court in an</w:t>
      </w:r>
    </w:p>
    <w:p>
      <w:pPr>
        <w:autoSpaceDN w:val="0"/>
        <w:autoSpaceDE w:val="0"/>
        <w:widowControl/>
        <w:spacing w:line="220" w:lineRule="exact" w:before="62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unreasonable manner; or (3) the state court’s decision rested upon</w:t>
      </w:r>
    </w:p>
    <w:p>
      <w:pPr>
        <w:autoSpaceDN w:val="0"/>
        <w:autoSpaceDE w:val="0"/>
        <w:widowControl/>
        <w:spacing w:line="220" w:lineRule="exact" w:before="60" w:after="0"/>
        <w:ind w:left="0" w:right="0" w:firstLine="0"/>
        <w:jc w:val="center"/>
      </w:pPr>
      <w:r>
        <w:rPr>
          <w:rFonts w:ascii="ArrusBT" w:hAnsi="ArrusBT" w:eastAsia="ArrusBT"/>
          <w:b w:val="0"/>
          <w:i w:val="0"/>
          <w:color w:val="000000"/>
          <w:sz w:val="22"/>
        </w:rPr>
        <w:t>an unreasonable determination of the facts.  28 U.S.C. § 2254(d).</w:t>
      </w:r>
    </w:p>
    <w:p>
      <w:pPr>
        <w:autoSpaceDN w:val="0"/>
        <w:tabs>
          <w:tab w:pos="1440" w:val="left"/>
        </w:tabs>
        <w:autoSpaceDE w:val="0"/>
        <w:widowControl/>
        <w:spacing w:line="220" w:lineRule="exact" w:before="342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ArrusBT" w:hAnsi="ArrusBT" w:eastAsia="ArrusBT"/>
          <w:b w:val="0"/>
          <w:i w:val="0"/>
          <w:color w:val="000000"/>
          <w:sz w:val="22"/>
        </w:rPr>
        <w:t>Respondent shall file a brief in opposition within 30 days after</w:t>
      </w:r>
    </w:p>
    <w:p>
      <w:pPr>
        <w:autoSpaceDN w:val="0"/>
        <w:autoSpaceDE w:val="0"/>
        <w:widowControl/>
        <w:spacing w:line="220" w:lineRule="exact" w:before="60" w:after="0"/>
        <w:ind w:left="144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petitioner files his initial brief.</w:t>
      </w:r>
    </w:p>
    <w:p>
      <w:pPr>
        <w:autoSpaceDN w:val="0"/>
        <w:tabs>
          <w:tab w:pos="1440" w:val="left"/>
        </w:tabs>
        <w:autoSpaceDE w:val="0"/>
        <w:widowControl/>
        <w:spacing w:line="220" w:lineRule="exact" w:before="342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 xml:space="preserve">(c) </w:t>
      </w:r>
      <w:r>
        <w:tab/>
      </w:r>
      <w:r>
        <w:rPr>
          <w:rFonts w:ascii="ArrusBT" w:hAnsi="ArrusBT" w:eastAsia="ArrusBT"/>
          <w:b w:val="0"/>
          <w:i w:val="0"/>
          <w:color w:val="000000"/>
          <w:sz w:val="22"/>
        </w:rPr>
        <w:t>Petitioner shall have 20 days after respondent files his brief in</w:t>
      </w:r>
    </w:p>
    <w:p>
      <w:pPr>
        <w:autoSpaceDN w:val="0"/>
        <w:autoSpaceDE w:val="0"/>
        <w:widowControl/>
        <w:spacing w:line="218" w:lineRule="exact" w:before="62" w:after="0"/>
        <w:ind w:left="144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which to file a reply brief.</w:t>
      </w:r>
    </w:p>
    <w:p>
      <w:pPr>
        <w:autoSpaceDN w:val="0"/>
        <w:autoSpaceDE w:val="0"/>
        <w:widowControl/>
        <w:spacing w:line="120" w:lineRule="exact" w:before="888" w:after="0"/>
        <w:ind w:left="2266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12"/>
        </w:rPr>
        <w:t>nd</w:t>
      </w:r>
    </w:p>
    <w:p>
      <w:pPr>
        <w:autoSpaceDN w:val="0"/>
        <w:autoSpaceDE w:val="0"/>
        <w:widowControl/>
        <w:spacing w:line="220" w:lineRule="exact" w:before="0" w:after="0"/>
        <w:ind w:left="720" w:right="0" w:firstLine="0"/>
        <w:jc w:val="left"/>
      </w:pPr>
      <w:r>
        <w:rPr>
          <w:rFonts w:ascii="ArrusBT" w:hAnsi="ArrusBT" w:eastAsia="ArrusBT"/>
          <w:b w:val="0"/>
          <w:i w:val="0"/>
          <w:color w:val="000000"/>
          <w:sz w:val="22"/>
        </w:rPr>
        <w:t>Entered this 22  day of August, 2012.</w:t>
      </w:r>
    </w:p>
    <w:p>
      <w:pPr>
        <w:autoSpaceDN w:val="0"/>
        <w:autoSpaceDE w:val="0"/>
        <w:widowControl/>
        <w:spacing w:line="220" w:lineRule="exact" w:before="342" w:after="0"/>
        <w:ind w:left="0" w:right="3226" w:firstLine="0"/>
        <w:jc w:val="right"/>
      </w:pPr>
      <w:r>
        <w:rPr>
          <w:rFonts w:ascii="ArrusBT" w:hAnsi="ArrusBT" w:eastAsia="ArrusBT"/>
          <w:b w:val="0"/>
          <w:i w:val="0"/>
          <w:color w:val="000000"/>
          <w:sz w:val="22"/>
        </w:rPr>
        <w:t>BY THE COURT:</w:t>
      </w:r>
    </w:p>
    <w:p>
      <w:pPr>
        <w:autoSpaceDN w:val="0"/>
        <w:autoSpaceDE w:val="0"/>
        <w:widowControl/>
        <w:spacing w:line="220" w:lineRule="exact" w:before="342" w:after="0"/>
        <w:ind w:left="0" w:right="4844" w:firstLine="0"/>
        <w:jc w:val="right"/>
      </w:pPr>
      <w:r>
        <w:rPr>
          <w:rFonts w:ascii="ArrusBT" w:hAnsi="ArrusBT" w:eastAsia="ArrusBT"/>
          <w:b w:val="0"/>
          <w:i w:val="0"/>
          <w:color w:val="000000"/>
          <w:sz w:val="22"/>
        </w:rPr>
        <w:t>/s/</w:t>
      </w:r>
    </w:p>
    <w:p>
      <w:pPr>
        <w:autoSpaceDN w:val="0"/>
        <w:autoSpaceDE w:val="0"/>
        <w:widowControl/>
        <w:spacing w:line="218" w:lineRule="exact" w:before="342" w:after="0"/>
        <w:ind w:left="0" w:right="2492" w:firstLine="0"/>
        <w:jc w:val="right"/>
      </w:pPr>
      <w:r>
        <w:rPr>
          <w:rFonts w:ascii="ArrusBT" w:hAnsi="ArrusBT" w:eastAsia="ArrusBT"/>
          <w:b w:val="0"/>
          <w:i w:val="0"/>
          <w:color w:val="000000"/>
          <w:sz w:val="22"/>
        </w:rPr>
        <w:t>STEPHEN L. CROCKER</w:t>
      </w:r>
    </w:p>
    <w:p>
      <w:pPr>
        <w:autoSpaceDN w:val="0"/>
        <w:autoSpaceDE w:val="0"/>
        <w:widowControl/>
        <w:spacing w:line="220" w:lineRule="exact" w:before="62" w:after="0"/>
        <w:ind w:left="0" w:right="3370" w:firstLine="0"/>
        <w:jc w:val="right"/>
      </w:pPr>
      <w:r>
        <w:rPr>
          <w:rFonts w:ascii="ArrusBT" w:hAnsi="ArrusBT" w:eastAsia="ArrusBT"/>
          <w:b w:val="0"/>
          <w:i w:val="0"/>
          <w:color w:val="000000"/>
          <w:sz w:val="22"/>
        </w:rPr>
        <w:t>Magistrate Judge</w:t>
      </w:r>
    </w:p>
    <w:p>
      <w:pPr>
        <w:autoSpaceDN w:val="0"/>
        <w:autoSpaceDE w:val="0"/>
        <w:widowControl/>
        <w:spacing w:line="218" w:lineRule="exact" w:before="17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</w:t>
      </w:r>
    </w:p>
    <w:sectPr w:rsidR="00FC693F" w:rsidRPr="0006063C" w:rsidSect="00034616">
      <w:pgSz w:w="12240" w:h="15840"/>
      <w:pgMar w:top="740" w:right="1424" w:bottom="72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