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0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4343400</wp:posOffset>
            </wp:positionH>
            <wp:positionV relativeFrom="page">
              <wp:posOffset>2590800</wp:posOffset>
            </wp:positionV>
            <wp:extent cx="2451100" cy="13335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51100" cy="133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4343400</wp:posOffset>
            </wp:positionH>
            <wp:positionV relativeFrom="page">
              <wp:posOffset>5981700</wp:posOffset>
            </wp:positionV>
            <wp:extent cx="2463800" cy="13462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63800" cy="134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4343400</wp:posOffset>
            </wp:positionH>
            <wp:positionV relativeFrom="page">
              <wp:posOffset>4292600</wp:posOffset>
            </wp:positionV>
            <wp:extent cx="2451100" cy="13462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51100" cy="134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4343400</wp:posOffset>
            </wp:positionH>
            <wp:positionV relativeFrom="page">
              <wp:posOffset>7696200</wp:posOffset>
            </wp:positionV>
            <wp:extent cx="2463800" cy="13462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63800" cy="1346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9618" w:val="left"/>
        </w:tabs>
        <w:autoSpaceDE w:val="0"/>
        <w:widowControl/>
        <w:spacing w:line="272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221F1F"/>
          <w:sz w:val="20"/>
        </w:rPr>
        <w:t xml:space="preserve">September 2011 </w:t>
      </w:r>
      <w:r>
        <w:tab/>
      </w:r>
      <w:r>
        <w:rPr>
          <w:rFonts w:ascii="Helvetica" w:hAnsi="Helvetica" w:eastAsia="Helvetica"/>
          <w:b w:val="0"/>
          <w:i w:val="0"/>
          <w:color w:val="221F1F"/>
          <w:sz w:val="20"/>
        </w:rPr>
        <w:t xml:space="preserve">11 </w:t>
      </w:r>
    </w:p>
    <w:p>
      <w:pPr>
        <w:autoSpaceDN w:val="0"/>
        <w:autoSpaceDE w:val="0"/>
        <w:widowControl/>
        <w:spacing w:line="604" w:lineRule="exact" w:before="608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00853E"/>
          <w:sz w:val="44"/>
        </w:rPr>
        <w:t xml:space="preserve">Government Receipts and Expenditures </w:t>
      </w:r>
    </w:p>
    <w:p>
      <w:pPr>
        <w:autoSpaceDN w:val="0"/>
        <w:autoSpaceDE w:val="0"/>
        <w:widowControl/>
        <w:spacing w:line="510" w:lineRule="exact" w:before="124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00853E"/>
          <w:sz w:val="37"/>
        </w:rPr>
        <w:t xml:space="preserve">Second Quarter of 2011 </w:t>
      </w:r>
    </w:p>
    <w:p>
      <w:pPr>
        <w:autoSpaceDN w:val="0"/>
        <w:autoSpaceDE w:val="0"/>
        <w:widowControl/>
        <w:spacing w:line="262" w:lineRule="exact" w:before="544" w:after="7762"/>
        <w:ind w:left="0" w:right="1754" w:firstLine="0"/>
        <w:jc w:val="right"/>
      </w:pPr>
      <w:r>
        <w:rPr>
          <w:rFonts w:ascii="Helvetica" w:hAnsi="Helvetica" w:eastAsia="Helvetica"/>
          <w:b/>
          <w:i w:val="0"/>
          <w:color w:val="00853E"/>
          <w:sz w:val="22"/>
        </w:rPr>
        <w:t xml:space="preserve">Chart 1. Governm </w:t>
      </w:r>
      <w:r>
        <w:rPr>
          <w:rFonts w:ascii="Helvetica" w:hAnsi="Helvetica" w:eastAsia="Helvetica"/>
          <w:b/>
          <w:i w:val="0"/>
          <w:color w:val="00853E"/>
          <w:sz w:val="22"/>
        </w:rPr>
        <w:t xml:space="preserve">ent Fiscal P </w:t>
      </w:r>
      <w:r>
        <w:rPr>
          <w:rFonts w:ascii="Helvetica" w:hAnsi="Helvetica" w:eastAsia="Helvetica"/>
          <w:b/>
          <w:i w:val="0"/>
          <w:color w:val="00853E"/>
          <w:sz w:val="22"/>
        </w:rPr>
        <w:t>osition</w:t>
      </w:r>
    </w:p>
    <w:p>
      <w:pPr>
        <w:sectPr>
          <w:pgSz w:w="12240" w:h="15840"/>
          <w:pgMar w:top="320" w:right="1004" w:bottom="504" w:left="132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82" w:lineRule="exact" w:before="32" w:after="74"/>
        <w:ind w:left="0" w:right="0" w:firstLine="0"/>
        <w:jc w:val="center"/>
      </w:pPr>
      <w:r>
        <w:rPr>
          <w:rFonts w:ascii="Helvetica" w:hAnsi="Helvetica" w:eastAsia="Helvetica"/>
          <w:b/>
          <w:i w:val="0"/>
          <w:color w:val="221F1F"/>
          <w:sz w:val="18"/>
        </w:rPr>
        <w:t xml:space="preserve">Table 1. Net Government Saving and Net Lending or Net Borrowing </w:t>
      </w:r>
      <w:r>
        <w:rPr>
          <w:rFonts w:ascii="Helvetica" w:hAnsi="Helvetica" w:eastAsia="Helvetica"/>
          <w:b w:val="0"/>
          <w:i w:val="0"/>
          <w:color w:val="221F1F"/>
          <w:sz w:val="14"/>
        </w:rPr>
        <w:t xml:space="preserve">[Billions of dollars, seasonally adjusted at annual rates]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653"/>
        <w:gridCol w:w="1653"/>
        <w:gridCol w:w="1653"/>
        <w:gridCol w:w="1653"/>
        <w:gridCol w:w="1653"/>
        <w:gridCol w:w="1653"/>
      </w:tblGrid>
      <w:tr>
        <w:trPr>
          <w:trHeight w:hRule="exact" w:val="260"/>
        </w:trPr>
        <w:tc>
          <w:tcPr>
            <w:tcW w:type="dxa" w:w="2200"/>
            <w:vMerge w:val="restart"/>
            <w:tcBorders>
              <w:top w:sz="1.6000000000003638" w:val="single" w:color="#221F1F"/>
              <w:end w:sz="1.599999999999909" w:val="single" w:color="#221F1F"/>
              <w:bottom w:sz="1.6000000000003638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638"/>
            <w:tcBorders>
              <w:start w:sz="1.599999999999909" w:val="single" w:color="#221F1F"/>
              <w:top w:sz="1.6000000000003638" w:val="single" w:color="#221F1F"/>
              <w:end w:sz="2.3999999999998636" w:val="single" w:color="#221F1F"/>
              <w:bottom w:sz="1.6000000000003638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3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21F1F"/>
                <w:sz w:val="16"/>
              </w:rPr>
              <w:t xml:space="preserve">Level </w:t>
            </w:r>
          </w:p>
        </w:tc>
        <w:tc>
          <w:tcPr>
            <w:tcW w:type="dxa" w:w="1972"/>
            <w:gridSpan w:val="4"/>
            <w:tcBorders>
              <w:start w:sz="2.3999999999998636" w:val="single" w:color="#221F1F"/>
              <w:top w:sz="1.6000000000003638" w:val="single" w:color="#221F1F"/>
              <w:bottom w:sz="1.6000000000003638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3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21F1F"/>
                <w:sz w:val="16"/>
              </w:rPr>
              <w:t xml:space="preserve">Change from preceding quarter </w:t>
            </w:r>
          </w:p>
        </w:tc>
      </w:tr>
      <w:tr>
        <w:trPr>
          <w:trHeight w:hRule="exact" w:val="300"/>
        </w:trPr>
        <w:tc>
          <w:tcPr>
            <w:tcW w:type="dxa" w:w="1653"/>
            <w:vMerge/>
            <w:tcBorders>
              <w:top w:sz="1.6000000000003638" w:val="single" w:color="#221F1F"/>
              <w:end w:sz="1.599999999999909" w:val="single" w:color="#221F1F"/>
              <w:bottom w:sz="1.6000000000003638" w:val="single" w:color="#221F1F"/>
            </w:tcBorders>
          </w:tcPr>
          <w:p/>
        </w:tc>
        <w:tc>
          <w:tcPr>
            <w:tcW w:type="dxa" w:w="638"/>
            <w:tcBorders>
              <w:start w:sz="1.599999999999909" w:val="single" w:color="#221F1F"/>
              <w:top w:sz="1.6000000000003638" w:val="single" w:color="#221F1F"/>
              <w:end w:sz="2.3999999999998636" w:val="single" w:color="#221F1F"/>
              <w:bottom w:sz="1.6000000000003638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3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21F1F"/>
                <w:sz w:val="16"/>
              </w:rPr>
              <w:t xml:space="preserve">2011 </w:t>
            </w:r>
          </w:p>
        </w:tc>
        <w:tc>
          <w:tcPr>
            <w:tcW w:type="dxa" w:w="956"/>
            <w:gridSpan w:val="2"/>
            <w:tcBorders>
              <w:start w:sz="2.3999999999998636" w:val="single" w:color="#221F1F"/>
              <w:top w:sz="1.6000000000003638" w:val="single" w:color="#221F1F"/>
              <w:end w:sz="1.6000000000001364" w:val="single" w:color="#221F1F"/>
              <w:bottom w:sz="1.6000000000003638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3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21F1F"/>
                <w:sz w:val="16"/>
              </w:rPr>
              <w:t xml:space="preserve">2010 </w:t>
            </w:r>
          </w:p>
        </w:tc>
        <w:tc>
          <w:tcPr>
            <w:tcW w:type="dxa" w:w="1016"/>
            <w:gridSpan w:val="2"/>
            <w:tcBorders>
              <w:start w:sz="1.6000000000001364" w:val="single" w:color="#221F1F"/>
              <w:top w:sz="1.6000000000003638" w:val="single" w:color="#221F1F"/>
              <w:bottom w:sz="1.6000000000003638" w:val="single" w:color="#221F1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3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21F1F"/>
                <w:sz w:val="16"/>
              </w:rPr>
              <w:t xml:space="preserve">2011 </w:t>
            </w:r>
          </w:p>
        </w:tc>
      </w:tr>
      <w:tr>
        <w:trPr>
          <w:trHeight w:hRule="exact" w:val="300"/>
        </w:trPr>
        <w:tc>
          <w:tcPr>
            <w:tcW w:type="dxa" w:w="1653"/>
            <w:vMerge/>
            <w:tcBorders>
              <w:top w:sz="1.6000000000003638" w:val="single" w:color="#221F1F"/>
              <w:end w:sz="1.599999999999909" w:val="single" w:color="#221F1F"/>
              <w:bottom w:sz="1.6000000000003638" w:val="single" w:color="#221F1F"/>
            </w:tcBorders>
          </w:tcPr>
          <w:p/>
        </w:tc>
        <w:tc>
          <w:tcPr>
            <w:tcW w:type="dxa" w:w="638"/>
            <w:tcBorders>
              <w:start w:sz="1.599999999999909" w:val="single" w:color="#221F1F"/>
              <w:top w:sz="1.6000000000003638" w:val="single" w:color="#221F1F"/>
              <w:end w:sz="2.3999999999998636" w:val="single" w:color="#221F1F"/>
              <w:bottom w:sz="1.6000000000003638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3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21F1F"/>
                <w:sz w:val="16"/>
              </w:rPr>
              <w:t xml:space="preserve">II </w:t>
            </w:r>
          </w:p>
        </w:tc>
        <w:tc>
          <w:tcPr>
            <w:tcW w:type="dxa" w:w="476"/>
            <w:tcBorders>
              <w:start w:sz="2.3999999999998636" w:val="single" w:color="#221F1F"/>
              <w:top w:sz="1.6000000000003638" w:val="single" w:color="#221F1F"/>
              <w:end w:sz="1.6000000000001364" w:val="single" w:color="#221F1F"/>
              <w:bottom w:sz="1.6000000000003638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3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21F1F"/>
                <w:sz w:val="16"/>
              </w:rPr>
              <w:t xml:space="preserve">III </w:t>
            </w:r>
          </w:p>
        </w:tc>
        <w:tc>
          <w:tcPr>
            <w:tcW w:type="dxa" w:w="480"/>
            <w:tcBorders>
              <w:start w:sz="1.6000000000001364" w:val="single" w:color="#221F1F"/>
              <w:top w:sz="1.6000000000003638" w:val="single" w:color="#221F1F"/>
              <w:end w:sz="1.6000000000001364" w:val="single" w:color="#221F1F"/>
              <w:bottom w:sz="1.6000000000003638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3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21F1F"/>
                <w:sz w:val="16"/>
              </w:rPr>
              <w:t xml:space="preserve">IV </w:t>
            </w:r>
          </w:p>
        </w:tc>
        <w:tc>
          <w:tcPr>
            <w:tcW w:type="dxa" w:w="470"/>
            <w:tcBorders>
              <w:start w:sz="1.6000000000001364" w:val="single" w:color="#221F1F"/>
              <w:top w:sz="1.6000000000003638" w:val="single" w:color="#221F1F"/>
              <w:end w:sz="2.399999999999636" w:val="single" w:color="#221F1F"/>
              <w:bottom w:sz="1.6000000000003638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3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21F1F"/>
                <w:sz w:val="16"/>
              </w:rPr>
              <w:t xml:space="preserve">I </w:t>
            </w:r>
          </w:p>
        </w:tc>
        <w:tc>
          <w:tcPr>
            <w:tcW w:type="dxa" w:w="546"/>
            <w:tcBorders>
              <w:start w:sz="2.399999999999636" w:val="single" w:color="#221F1F"/>
              <w:top w:sz="1.6000000000003638" w:val="single" w:color="#221F1F"/>
              <w:bottom w:sz="1.6000000000003638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3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21F1F"/>
                <w:sz w:val="16"/>
              </w:rPr>
              <w:t xml:space="preserve">II </w:t>
            </w:r>
          </w:p>
        </w:tc>
      </w:tr>
      <w:tr>
        <w:trPr>
          <w:trHeight w:hRule="exact" w:val="1720"/>
        </w:trPr>
        <w:tc>
          <w:tcPr>
            <w:tcW w:type="dxa" w:w="2200"/>
            <w:tcBorders>
              <w:top w:sz="1.6000000000003638" w:val="single" w:color="#221F1F"/>
              <w:end w:sz="1.599999999999909" w:val="single" w:color="#221F1F"/>
              <w:bottom w:sz="1.6000000000003638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5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21F1F"/>
                <w:sz w:val="16"/>
              </w:rPr>
              <w:t xml:space="preserve">Current receipts ................................ </w:t>
            </w:r>
          </w:p>
          <w:p>
            <w:pPr>
              <w:autoSpaceDN w:val="0"/>
              <w:autoSpaceDE w:val="0"/>
              <w:widowControl/>
              <w:spacing w:line="184" w:lineRule="exact" w:before="3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21F1F"/>
                <w:sz w:val="16"/>
              </w:rPr>
              <w:t xml:space="preserve">Current expenditures ........................ </w:t>
            </w:r>
          </w:p>
          <w:p>
            <w:pPr>
              <w:autoSpaceDN w:val="0"/>
              <w:autoSpaceDE w:val="0"/>
              <w:widowControl/>
              <w:spacing w:line="180" w:lineRule="exact" w:before="40" w:after="0"/>
              <w:ind w:left="140" w:right="18" w:hanging="120"/>
              <w:jc w:val="both"/>
            </w:pPr>
            <w:r>
              <w:rPr>
                <w:rFonts w:ascii="Helvetica" w:hAnsi="Helvetica" w:eastAsia="Helvetica"/>
                <w:b/>
                <w:i w:val="0"/>
                <w:color w:val="221F1F"/>
                <w:sz w:val="16"/>
              </w:rPr>
              <w:t xml:space="preserve">Net government saving </w:t>
            </w:r>
            <w:r>
              <w:rPr>
                <w:rFonts w:ascii="Helvetica" w:hAnsi="Helvetica" w:eastAsia="Helvetica"/>
                <w:b w:val="0"/>
                <w:i w:val="0"/>
                <w:color w:val="221F1F"/>
                <w:sz w:val="16"/>
              </w:rPr>
              <w:t xml:space="preserve">.................. </w:t>
            </w:r>
            <w:r>
              <w:rPr>
                <w:rFonts w:ascii="Helvetica" w:hAnsi="Helvetica" w:eastAsia="Helvetica"/>
                <w:b w:val="0"/>
                <w:i w:val="0"/>
                <w:color w:val="221F1F"/>
                <w:sz w:val="16"/>
              </w:rPr>
              <w:t xml:space="preserve">Federal .......................................... </w:t>
            </w:r>
            <w:r>
              <w:rPr>
                <w:rFonts w:ascii="Helvetica" w:hAnsi="Helvetica" w:eastAsia="Helvetica"/>
                <w:b w:val="0"/>
                <w:i w:val="0"/>
                <w:color w:val="221F1F"/>
                <w:sz w:val="16"/>
              </w:rPr>
              <w:t xml:space="preserve">State and local............................... </w:t>
            </w:r>
          </w:p>
          <w:p>
            <w:pPr>
              <w:autoSpaceDN w:val="0"/>
              <w:autoSpaceDE w:val="0"/>
              <w:widowControl/>
              <w:spacing w:line="180" w:lineRule="exact" w:before="60" w:after="0"/>
              <w:ind w:left="140" w:right="16" w:hanging="120"/>
              <w:jc w:val="both"/>
            </w:pPr>
            <w:r>
              <w:rPr>
                <w:rFonts w:ascii="Helvetica" w:hAnsi="Helvetica" w:eastAsia="Helvetica"/>
                <w:b/>
                <w:i w:val="0"/>
                <w:color w:val="221F1F"/>
                <w:sz w:val="16"/>
              </w:rPr>
              <w:t xml:space="preserve">Net lending or net borrowing (–) </w:t>
            </w:r>
            <w:r>
              <w:rPr>
                <w:rFonts w:ascii="Helvetica" w:hAnsi="Helvetica" w:eastAsia="Helvetica"/>
                <w:b w:val="0"/>
                <w:i w:val="0"/>
                <w:color w:val="221F1F"/>
                <w:sz w:val="16"/>
              </w:rPr>
              <w:t xml:space="preserve">... </w:t>
            </w:r>
            <w:r>
              <w:rPr>
                <w:rFonts w:ascii="Helvetica" w:hAnsi="Helvetica" w:eastAsia="Helvetica"/>
                <w:b w:val="0"/>
                <w:i w:val="0"/>
                <w:color w:val="221F1F"/>
                <w:sz w:val="16"/>
              </w:rPr>
              <w:t xml:space="preserve">Federal .......................................... </w:t>
            </w:r>
            <w:r>
              <w:rPr>
                <w:rFonts w:ascii="Helvetica" w:hAnsi="Helvetica" w:eastAsia="Helvetica"/>
                <w:b w:val="0"/>
                <w:i w:val="0"/>
                <w:color w:val="221F1F"/>
                <w:sz w:val="16"/>
              </w:rPr>
              <w:t xml:space="preserve">State and local............................... </w:t>
            </w:r>
          </w:p>
        </w:tc>
        <w:tc>
          <w:tcPr>
            <w:tcW w:type="dxa" w:w="638"/>
            <w:tcBorders>
              <w:start w:sz="1.599999999999909" w:val="single" w:color="#221F1F"/>
              <w:top w:sz="1.6000000000003638" w:val="single" w:color="#221F1F"/>
              <w:end w:sz="2.3999999999998636" w:val="single" w:color="#221F1F"/>
              <w:bottom w:sz="1.6000000000003638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62" w:after="0"/>
              <w:ind w:left="0" w:right="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221F1F"/>
                <w:sz w:val="16"/>
              </w:rPr>
              <w:t xml:space="preserve">4,157.0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221F1F"/>
                <w:sz w:val="16"/>
              </w:rPr>
              <w:t xml:space="preserve">5,470.0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221F1F"/>
                <w:sz w:val="16"/>
              </w:rPr>
              <w:t xml:space="preserve">–1,313.0 </w:t>
            </w:r>
            <w:r>
              <w:rPr>
                <w:rFonts w:ascii="Helvetica" w:hAnsi="Helvetica" w:eastAsia="Helvetica"/>
                <w:b w:val="0"/>
                <w:i w:val="0"/>
                <w:color w:val="221F1F"/>
                <w:sz w:val="16"/>
              </w:rPr>
              <w:t xml:space="preserve">–1,264.4 </w:t>
            </w:r>
            <w:r>
              <w:rPr>
                <w:rFonts w:ascii="Helvetica" w:hAnsi="Helvetica" w:eastAsia="Helvetica"/>
                <w:b w:val="0"/>
                <w:i w:val="0"/>
                <w:color w:val="221F1F"/>
                <w:sz w:val="16"/>
              </w:rPr>
              <w:t xml:space="preserve">–48.6 </w:t>
            </w:r>
            <w:r>
              <w:br/>
            </w:r>
            <w:r>
              <w:rPr>
                <w:rFonts w:ascii="Helvetica" w:hAnsi="Helvetica" w:eastAsia="Helvetica"/>
                <w:b w:val="0"/>
                <w:i w:val="0"/>
                <w:color w:val="221F1F"/>
                <w:sz w:val="16"/>
              </w:rPr>
              <w:t xml:space="preserve">–1,529.3 </w:t>
            </w:r>
            <w:r>
              <w:rPr>
                <w:rFonts w:ascii="Helvetica" w:hAnsi="Helvetica" w:eastAsia="Helvetica"/>
                <w:b w:val="0"/>
                <w:i w:val="0"/>
                <w:color w:val="221F1F"/>
                <w:sz w:val="16"/>
              </w:rPr>
              <w:t xml:space="preserve">–1,435.6 </w:t>
            </w:r>
            <w:r>
              <w:rPr>
                <w:rFonts w:ascii="Helvetica" w:hAnsi="Helvetica" w:eastAsia="Helvetica"/>
                <w:b w:val="0"/>
                <w:i w:val="0"/>
                <w:color w:val="221F1F"/>
                <w:sz w:val="16"/>
              </w:rPr>
              <w:t xml:space="preserve">–93.7 </w:t>
            </w:r>
          </w:p>
        </w:tc>
        <w:tc>
          <w:tcPr>
            <w:tcW w:type="dxa" w:w="476"/>
            <w:tcBorders>
              <w:start w:sz="2.3999999999998636" w:val="single" w:color="#221F1F"/>
              <w:top w:sz="1.6000000000003638" w:val="single" w:color="#221F1F"/>
              <w:end w:sz="1.6000000000001364" w:val="single" w:color="#221F1F"/>
              <w:bottom w:sz="1.6000000000003638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76" w:after="0"/>
              <w:ind w:left="0" w:right="2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221F1F"/>
                <w:sz w:val="16"/>
              </w:rPr>
              <w:t xml:space="preserve">88.4 </w:t>
            </w:r>
          </w:p>
          <w:p>
            <w:pPr>
              <w:autoSpaceDN w:val="0"/>
              <w:autoSpaceDE w:val="0"/>
              <w:widowControl/>
              <w:spacing w:line="184" w:lineRule="exact" w:before="36" w:after="0"/>
              <w:ind w:left="0" w:right="2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221F1F"/>
                <w:sz w:val="16"/>
              </w:rPr>
              <w:t xml:space="preserve">45.2 </w:t>
            </w:r>
          </w:p>
          <w:p>
            <w:pPr>
              <w:autoSpaceDN w:val="0"/>
              <w:autoSpaceDE w:val="0"/>
              <w:widowControl/>
              <w:spacing w:line="180" w:lineRule="exact" w:before="42" w:after="0"/>
              <w:ind w:left="176" w:right="2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221F1F"/>
                <w:sz w:val="16"/>
              </w:rPr>
              <w:t xml:space="preserve">43.3 </w:t>
            </w:r>
            <w:r>
              <w:rPr>
                <w:rFonts w:ascii="Helvetica" w:hAnsi="Helvetica" w:eastAsia="Helvetica"/>
                <w:b w:val="0"/>
                <w:i w:val="0"/>
                <w:color w:val="221F1F"/>
                <w:sz w:val="16"/>
              </w:rPr>
              <w:t xml:space="preserve">20.3 </w:t>
            </w:r>
            <w:r>
              <w:rPr>
                <w:rFonts w:ascii="Helvetica" w:hAnsi="Helvetica" w:eastAsia="Helvetica"/>
                <w:b w:val="0"/>
                <w:i w:val="0"/>
                <w:color w:val="221F1F"/>
                <w:sz w:val="16"/>
              </w:rPr>
              <w:t xml:space="preserve">23.0 </w:t>
            </w:r>
          </w:p>
          <w:p>
            <w:pPr>
              <w:autoSpaceDN w:val="0"/>
              <w:autoSpaceDE w:val="0"/>
              <w:widowControl/>
              <w:spacing w:line="168" w:lineRule="exact" w:before="72" w:after="0"/>
              <w:ind w:left="178" w:right="0" w:hanging="74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221F1F"/>
                <w:sz w:val="16"/>
              </w:rPr>
              <w:t xml:space="preserve">109.3 </w:t>
            </w:r>
            <w:r>
              <w:rPr>
                <w:rFonts w:ascii="Helvetica" w:hAnsi="Helvetica" w:eastAsia="Helvetica"/>
                <w:b w:val="0"/>
                <w:i w:val="0"/>
                <w:color w:val="221F1F"/>
                <w:sz w:val="16"/>
              </w:rPr>
              <w:t xml:space="preserve">78.4 </w:t>
            </w:r>
            <w:r>
              <w:rPr>
                <w:rFonts w:ascii="Helvetica" w:hAnsi="Helvetica" w:eastAsia="Helvetica"/>
                <w:b w:val="0"/>
                <w:i w:val="0"/>
                <w:color w:val="221F1F"/>
                <w:sz w:val="16"/>
              </w:rPr>
              <w:t xml:space="preserve">30.9 </w:t>
            </w:r>
          </w:p>
        </w:tc>
        <w:tc>
          <w:tcPr>
            <w:tcW w:type="dxa" w:w="480"/>
            <w:tcBorders>
              <w:start w:sz="1.6000000000001364" w:val="single" w:color="#221F1F"/>
              <w:top w:sz="1.6000000000003638" w:val="single" w:color="#221F1F"/>
              <w:end w:sz="1.6000000000001364" w:val="single" w:color="#221F1F"/>
              <w:bottom w:sz="1.6000000000003638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76" w:after="0"/>
              <w:ind w:left="0" w:right="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221F1F"/>
                <w:sz w:val="16"/>
              </w:rPr>
              <w:t xml:space="preserve">9.6 </w:t>
            </w:r>
          </w:p>
          <w:p>
            <w:pPr>
              <w:autoSpaceDN w:val="0"/>
              <w:autoSpaceDE w:val="0"/>
              <w:widowControl/>
              <w:spacing w:line="184" w:lineRule="exact" w:before="36" w:after="0"/>
              <w:ind w:left="0" w:right="2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221F1F"/>
                <w:sz w:val="16"/>
              </w:rPr>
              <w:t xml:space="preserve">69.4 </w:t>
            </w:r>
          </w:p>
          <w:p>
            <w:pPr>
              <w:autoSpaceDN w:val="0"/>
              <w:autoSpaceDE w:val="0"/>
              <w:widowControl/>
              <w:spacing w:line="180" w:lineRule="exact" w:before="42" w:after="0"/>
              <w:ind w:left="108" w:right="2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221F1F"/>
                <w:sz w:val="16"/>
              </w:rPr>
              <w:t xml:space="preserve">–59.9 </w:t>
            </w:r>
            <w:r>
              <w:rPr>
                <w:rFonts w:ascii="Helvetica" w:hAnsi="Helvetica" w:eastAsia="Helvetica"/>
                <w:b w:val="0"/>
                <w:i w:val="0"/>
                <w:color w:val="221F1F"/>
                <w:sz w:val="16"/>
              </w:rPr>
              <w:t xml:space="preserve">–29.6 </w:t>
            </w:r>
            <w:r>
              <w:rPr>
                <w:rFonts w:ascii="Helvetica" w:hAnsi="Helvetica" w:eastAsia="Helvetica"/>
                <w:b w:val="0"/>
                <w:i w:val="0"/>
                <w:color w:val="221F1F"/>
                <w:sz w:val="16"/>
              </w:rPr>
              <w:t xml:space="preserve">–30.3 </w:t>
            </w:r>
          </w:p>
          <w:p>
            <w:pPr>
              <w:autoSpaceDN w:val="0"/>
              <w:autoSpaceDE w:val="0"/>
              <w:widowControl/>
              <w:spacing w:line="168" w:lineRule="exact" w:before="72" w:after="0"/>
              <w:ind w:left="110" w:right="0" w:firstLine="0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221F1F"/>
                <w:sz w:val="16"/>
              </w:rPr>
              <w:t xml:space="preserve">–55.1 </w:t>
            </w:r>
            <w:r>
              <w:rPr>
                <w:rFonts w:ascii="Helvetica" w:hAnsi="Helvetica" w:eastAsia="Helvetica"/>
                <w:b w:val="0"/>
                <w:i w:val="0"/>
                <w:color w:val="221F1F"/>
                <w:sz w:val="16"/>
              </w:rPr>
              <w:t xml:space="preserve">–28.4 </w:t>
            </w:r>
            <w:r>
              <w:rPr>
                <w:rFonts w:ascii="Helvetica" w:hAnsi="Helvetica" w:eastAsia="Helvetica"/>
                <w:b w:val="0"/>
                <w:i w:val="0"/>
                <w:color w:val="221F1F"/>
                <w:sz w:val="16"/>
              </w:rPr>
              <w:t xml:space="preserve">–26.7 </w:t>
            </w:r>
          </w:p>
        </w:tc>
        <w:tc>
          <w:tcPr>
            <w:tcW w:type="dxa" w:w="470"/>
            <w:tcBorders>
              <w:start w:sz="1.6000000000001364" w:val="single" w:color="#221F1F"/>
              <w:top w:sz="1.6000000000003638" w:val="single" w:color="#221F1F"/>
              <w:end w:sz="2.399999999999636" w:val="single" w:color="#221F1F"/>
              <w:bottom w:sz="1.6000000000003638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76" w:after="0"/>
              <w:ind w:left="0" w:right="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221F1F"/>
                <w:sz w:val="16"/>
              </w:rPr>
              <w:t xml:space="preserve">81.0 </w:t>
            </w:r>
          </w:p>
          <w:p>
            <w:pPr>
              <w:autoSpaceDN w:val="0"/>
              <w:autoSpaceDE w:val="0"/>
              <w:widowControl/>
              <w:spacing w:line="184" w:lineRule="exact" w:before="34" w:after="0"/>
              <w:ind w:left="0" w:right="0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221F1F"/>
                <w:sz w:val="16"/>
              </w:rPr>
              <w:t xml:space="preserve">16.5 </w:t>
            </w:r>
          </w:p>
          <w:p>
            <w:pPr>
              <w:autoSpaceDN w:val="0"/>
              <w:autoSpaceDE w:val="0"/>
              <w:widowControl/>
              <w:spacing w:line="180" w:lineRule="exact" w:before="42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21F1F"/>
                <w:sz w:val="16"/>
              </w:rPr>
              <w:t xml:space="preserve">64.5 </w:t>
            </w:r>
            <w:r>
              <w:rPr>
                <w:rFonts w:ascii="Helvetica" w:hAnsi="Helvetica" w:eastAsia="Helvetica"/>
                <w:b w:val="0"/>
                <w:i w:val="0"/>
                <w:color w:val="221F1F"/>
                <w:sz w:val="16"/>
              </w:rPr>
              <w:t xml:space="preserve">86.2 </w:t>
            </w:r>
            <w:r>
              <w:rPr>
                <w:rFonts w:ascii="Helvetica" w:hAnsi="Helvetica" w:eastAsia="Helvetica"/>
                <w:b w:val="0"/>
                <w:i w:val="0"/>
                <w:color w:val="221F1F"/>
                <w:sz w:val="16"/>
              </w:rPr>
              <w:t xml:space="preserve">–21.7 </w:t>
            </w:r>
          </w:p>
          <w:p>
            <w:pPr>
              <w:autoSpaceDN w:val="0"/>
              <w:autoSpaceDE w:val="0"/>
              <w:widowControl/>
              <w:spacing w:line="170" w:lineRule="exact" w:before="70" w:after="0"/>
              <w:ind w:left="100" w:right="0" w:firstLine="74"/>
              <w:jc w:val="both"/>
            </w:pPr>
            <w:r>
              <w:rPr>
                <w:rFonts w:ascii="Helvetica" w:hAnsi="Helvetica" w:eastAsia="Helvetica"/>
                <w:b w:val="0"/>
                <w:i w:val="0"/>
                <w:color w:val="221F1F"/>
                <w:sz w:val="16"/>
              </w:rPr>
              <w:t xml:space="preserve">88.4 </w:t>
            </w:r>
            <w:r>
              <w:rPr>
                <w:rFonts w:ascii="Helvetica" w:hAnsi="Helvetica" w:eastAsia="Helvetica"/>
                <w:b w:val="0"/>
                <w:i w:val="0"/>
                <w:color w:val="221F1F"/>
                <w:sz w:val="16"/>
              </w:rPr>
              <w:t xml:space="preserve">106.4 </w:t>
            </w:r>
            <w:r>
              <w:rPr>
                <w:rFonts w:ascii="Helvetica" w:hAnsi="Helvetica" w:eastAsia="Helvetica"/>
                <w:b w:val="0"/>
                <w:i w:val="0"/>
                <w:color w:val="221F1F"/>
                <w:sz w:val="16"/>
              </w:rPr>
              <w:t xml:space="preserve">–18.0 </w:t>
            </w:r>
          </w:p>
        </w:tc>
        <w:tc>
          <w:tcPr>
            <w:tcW w:type="dxa" w:w="546"/>
            <w:tcBorders>
              <w:start w:sz="2.399999999999636" w:val="single" w:color="#221F1F"/>
              <w:top w:sz="1.6000000000003638" w:val="single" w:color="#221F1F"/>
              <w:bottom w:sz="1.6000000000003638" w:val="single" w:color="#221F1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76" w:after="0"/>
              <w:ind w:left="0" w:right="2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221F1F"/>
                <w:sz w:val="16"/>
              </w:rPr>
              <w:t xml:space="preserve">51.0 </w:t>
            </w:r>
          </w:p>
          <w:p>
            <w:pPr>
              <w:autoSpaceDN w:val="0"/>
              <w:autoSpaceDE w:val="0"/>
              <w:widowControl/>
              <w:spacing w:line="184" w:lineRule="exact" w:before="34" w:after="0"/>
              <w:ind w:left="0" w:right="2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221F1F"/>
                <w:sz w:val="16"/>
              </w:rPr>
              <w:t xml:space="preserve">105.7 </w:t>
            </w:r>
          </w:p>
          <w:p>
            <w:pPr>
              <w:autoSpaceDN w:val="0"/>
              <w:autoSpaceDE w:val="0"/>
              <w:widowControl/>
              <w:spacing w:line="180" w:lineRule="exact" w:before="42" w:after="0"/>
              <w:ind w:left="144" w:right="2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221F1F"/>
                <w:sz w:val="16"/>
              </w:rPr>
              <w:t xml:space="preserve">–54.7 </w:t>
            </w:r>
            <w:r>
              <w:rPr>
                <w:rFonts w:ascii="Helvetica" w:hAnsi="Helvetica" w:eastAsia="Helvetica"/>
                <w:b w:val="0"/>
                <w:i w:val="0"/>
                <w:color w:val="221F1F"/>
                <w:sz w:val="16"/>
              </w:rPr>
              <w:t xml:space="preserve">–63.3 </w:t>
            </w:r>
            <w:r>
              <w:rPr>
                <w:rFonts w:ascii="Helvetica" w:hAnsi="Helvetica" w:eastAsia="Helvetica"/>
                <w:b w:val="0"/>
                <w:i w:val="0"/>
                <w:color w:val="221F1F"/>
                <w:sz w:val="16"/>
              </w:rPr>
              <w:t xml:space="preserve">8.6 </w:t>
            </w:r>
          </w:p>
          <w:p>
            <w:pPr>
              <w:autoSpaceDN w:val="0"/>
              <w:autoSpaceDE w:val="0"/>
              <w:widowControl/>
              <w:spacing w:line="170" w:lineRule="exact" w:before="70" w:after="0"/>
              <w:ind w:left="144" w:right="0" w:firstLine="0"/>
              <w:jc w:val="center"/>
            </w:pPr>
            <w:r>
              <w:rPr>
                <w:rFonts w:ascii="Helvetica" w:hAnsi="Helvetica" w:eastAsia="Helvetica"/>
                <w:b w:val="0"/>
                <w:i w:val="0"/>
                <w:color w:val="221F1F"/>
                <w:sz w:val="16"/>
              </w:rPr>
              <w:t xml:space="preserve">–62.8 </w:t>
            </w:r>
            <w:r>
              <w:rPr>
                <w:rFonts w:ascii="Helvetica" w:hAnsi="Helvetica" w:eastAsia="Helvetica"/>
                <w:b w:val="0"/>
                <w:i w:val="0"/>
                <w:color w:val="221F1F"/>
                <w:sz w:val="16"/>
              </w:rPr>
              <w:t xml:space="preserve">–82.8 </w:t>
            </w:r>
            <w:r>
              <w:rPr>
                <w:rFonts w:ascii="Helvetica" w:hAnsi="Helvetica" w:eastAsia="Helvetica"/>
                <w:b w:val="0"/>
                <w:i w:val="0"/>
                <w:color w:val="221F1F"/>
                <w:sz w:val="16"/>
              </w:rPr>
              <w:t xml:space="preserve">20.0 </w:t>
            </w:r>
          </w:p>
        </w:tc>
      </w:tr>
    </w:tbl>
    <w:p>
      <w:pPr>
        <w:autoSpaceDN w:val="0"/>
        <w:autoSpaceDE w:val="0"/>
        <w:widowControl/>
        <w:spacing w:line="232" w:lineRule="exact" w:before="218" w:after="0"/>
        <w:ind w:left="0" w:right="0" w:firstLine="0"/>
        <w:jc w:val="left"/>
      </w:pPr>
      <w:r>
        <w:rPr>
          <w:rFonts w:ascii="Minion" w:hAnsi="Minion" w:eastAsia="Minion"/>
          <w:b w:val="0"/>
          <w:i/>
          <w:color w:val="221F1F"/>
          <w:sz w:val="22"/>
        </w:rPr>
        <w:t xml:space="preserve">Raymen Labella prepared this article. </w:t>
      </w:r>
    </w:p>
    <w:p>
      <w:pPr>
        <w:sectPr>
          <w:type w:val="continuous"/>
          <w:pgSz w:w="12240" w:h="15840"/>
          <w:pgMar w:top="320" w:right="1004" w:bottom="504" w:left="1320" w:header="720" w:footer="720" w:gutter="0"/>
          <w:cols w:num="2" w:equalWidth="0">
            <w:col w:w="4918" w:space="0"/>
            <w:col w:w="4998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2.00000000000045" w:type="dxa"/>
      </w:tblPr>
      <w:tblGrid>
        <w:gridCol w:w="9916"/>
      </w:tblGrid>
      <w:tr>
        <w:trPr>
          <w:trHeight w:hRule="exact" w:val="11156"/>
        </w:trPr>
        <w:tc>
          <w:tcPr>
            <w:tcW w:type="dxa" w:w="4780"/>
            <w:tcBorders>
              <w:start w:sz="17.152000427246094" w:val="single" w:color="#00853E"/>
              <w:top w:sz="17.152000427246094" w:val="single" w:color="#00853E"/>
              <w:end w:sz="17.152000427246094" w:val="single" w:color="#00853E"/>
              <w:bottom w:sz="17.152000427246094" w:val="single" w:color="#00853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2" w:lineRule="exact" w:before="58" w:after="4"/>
              <w:ind w:left="208" w:right="0" w:hanging="2"/>
              <w:jc w:val="left"/>
            </w:pPr>
            <w:r>
              <w:rPr>
                <w:w w:val="101.83818340301514"/>
                <w:rFonts w:ascii="Helvetica" w:hAnsi="Helvetica" w:eastAsia="Helvetica"/>
                <w:b/>
                <w:i w:val="0"/>
                <w:color w:val="00853E"/>
                <w:sz w:val="16"/>
              </w:rPr>
              <w:t xml:space="preserve">Current Receipts, Current Expenditures, and Net Government Saving </w:t>
            </w:r>
            <w:r>
              <w:rPr>
                <w:rFonts w:ascii="Helvetica" w:hAnsi="Helvetica" w:eastAsia="Helvetica"/>
                <w:b w:val="0"/>
                <w:i w:val="0"/>
                <w:color w:val="221F1F"/>
                <w:sz w:val="14"/>
              </w:rPr>
              <w:t xml:space="preserve">Billions of dollars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7.999999999999545" w:type="dxa"/>
            </w:tblPr>
            <w:tblGrid>
              <w:gridCol w:w="2390"/>
              <w:gridCol w:w="2390"/>
            </w:tblGrid>
            <w:tr>
              <w:trPr>
                <w:trHeight w:hRule="exact" w:val="336"/>
              </w:trPr>
              <w:tc>
                <w:tcPr>
                  <w:tcW w:type="dxa" w:w="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6" w:lineRule="exact" w:before="4" w:after="0"/>
                    <w:ind w:left="0" w:right="0" w:firstLine="0"/>
                    <w:jc w:val="center"/>
                  </w:pPr>
                  <w:r>
                    <w:rPr>
                      <w:w w:val="97.7588585444859"/>
                      <w:rFonts w:ascii="Helvetica" w:hAnsi="Helvetica" w:eastAsia="Helvetica"/>
                      <w:b w:val="0"/>
                      <w:i w:val="0"/>
                      <w:color w:val="221F1F"/>
                      <w:sz w:val="14"/>
                    </w:rPr>
                    <w:t xml:space="preserve">6,000 </w:t>
                  </w:r>
                </w:p>
              </w:tc>
              <w:tc>
                <w:tcPr>
                  <w:tcW w:type="dxa" w:w="27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6" w:lineRule="exact" w:before="120" w:after="0"/>
                    <w:ind w:left="140" w:right="0" w:firstLine="0"/>
                    <w:jc w:val="left"/>
                  </w:pPr>
                  <w:r>
                    <w:rPr>
                      <w:w w:val="97.7588585444859"/>
                      <w:rFonts w:ascii="Helvetica" w:hAnsi="Helvetica" w:eastAsia="Helvetica"/>
                      <w:b w:val="0"/>
                      <w:i w:val="0"/>
                      <w:color w:val="221F1F"/>
                      <w:sz w:val="14"/>
                    </w:rPr>
                    <w:t xml:space="preserve">Current expenditures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56" w:lineRule="exact" w:before="182" w:after="0"/>
              <w:ind w:left="120" w:right="0" w:firstLine="0"/>
              <w:jc w:val="left"/>
            </w:pPr>
            <w:r>
              <w:rPr>
                <w:w w:val="97.7588585444859"/>
                <w:rFonts w:ascii="Helvetica" w:hAnsi="Helvetica" w:eastAsia="Helvetica"/>
                <w:b w:val="0"/>
                <w:i w:val="0"/>
                <w:color w:val="221F1F"/>
                <w:sz w:val="14"/>
              </w:rPr>
              <w:t xml:space="preserve">4,000 </w:t>
            </w:r>
          </w:p>
          <w:p>
            <w:pPr>
              <w:autoSpaceDN w:val="0"/>
              <w:autoSpaceDE w:val="0"/>
              <w:widowControl/>
              <w:spacing w:line="156" w:lineRule="exact" w:before="76" w:after="0"/>
              <w:ind w:left="0" w:right="716" w:firstLine="0"/>
              <w:jc w:val="right"/>
            </w:pPr>
            <w:r>
              <w:rPr>
                <w:w w:val="97.7588585444859"/>
                <w:rFonts w:ascii="Helvetica" w:hAnsi="Helvetica" w:eastAsia="Helvetica"/>
                <w:b w:val="0"/>
                <w:i w:val="0"/>
                <w:color w:val="221F1F"/>
                <w:sz w:val="14"/>
              </w:rPr>
              <w:t xml:space="preserve">Current receipts </w:t>
            </w:r>
          </w:p>
          <w:p>
            <w:pPr>
              <w:autoSpaceDN w:val="0"/>
              <w:autoSpaceDE w:val="0"/>
              <w:widowControl/>
              <w:spacing w:line="156" w:lineRule="exact" w:before="134" w:after="294"/>
              <w:ind w:left="120" w:right="0" w:firstLine="0"/>
              <w:jc w:val="left"/>
            </w:pPr>
            <w:r>
              <w:rPr>
                <w:w w:val="97.7588585444859"/>
                <w:rFonts w:ascii="Helvetica" w:hAnsi="Helvetica" w:eastAsia="Helvetica"/>
                <w:b w:val="0"/>
                <w:i w:val="0"/>
                <w:color w:val="221F1F"/>
                <w:sz w:val="14"/>
              </w:rPr>
              <w:t xml:space="preserve">2,000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7.99999999999955" w:type="dxa"/>
            </w:tblPr>
            <w:tblGrid>
              <w:gridCol w:w="2390"/>
              <w:gridCol w:w="2390"/>
            </w:tblGrid>
            <w:tr>
              <w:trPr>
                <w:trHeight w:hRule="exact" w:val="388"/>
              </w:trPr>
              <w:tc>
                <w:tcPr>
                  <w:tcW w:type="dxa" w:w="12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4" w:lineRule="exact" w:before="60" w:after="0"/>
                    <w:ind w:left="186" w:right="0" w:firstLine="0"/>
                    <w:jc w:val="left"/>
                  </w:pPr>
                  <w:r>
                    <w:rPr>
                      <w:w w:val="97.7588585444859"/>
                      <w:rFonts w:ascii="Helvetica" w:hAnsi="Helvetica" w:eastAsia="Helvetica"/>
                      <w:b w:val="0"/>
                      <w:i w:val="0"/>
                      <w:color w:val="221F1F"/>
                      <w:sz w:val="14"/>
                    </w:rPr>
                    <w:t xml:space="preserve">0 </w:t>
                  </w:r>
                </w:p>
              </w:tc>
              <w:tc>
                <w:tcPr>
                  <w:tcW w:type="dxa" w:w="2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6" w:lineRule="exact" w:before="172" w:after="0"/>
                    <w:ind w:left="0" w:right="624" w:firstLine="0"/>
                    <w:jc w:val="right"/>
                  </w:pPr>
                  <w:r>
                    <w:rPr>
                      <w:w w:val="97.7588585444859"/>
                      <w:rFonts w:ascii="Helvetica" w:hAnsi="Helvetica" w:eastAsia="Helvetica"/>
                      <w:b w:val="0"/>
                      <w:i w:val="0"/>
                      <w:color w:val="221F1F"/>
                      <w:sz w:val="14"/>
                    </w:rPr>
                    <w:t xml:space="preserve">Net governm </w:t>
                  </w:r>
                  <w:r>
                    <w:rPr>
                      <w:w w:val="97.7588585444859"/>
                      <w:rFonts w:ascii="Helvetica" w:hAnsi="Helvetica" w:eastAsia="Helvetica"/>
                      <w:b w:val="0"/>
                      <w:i w:val="0"/>
                      <w:color w:val="221F1F"/>
                      <w:sz w:val="14"/>
                    </w:rPr>
                    <w:t xml:space="preserve">ent saving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56" w:lineRule="exact" w:before="148" w:after="2"/>
              <w:ind w:left="56" w:right="0" w:firstLine="0"/>
              <w:jc w:val="left"/>
            </w:pPr>
            <w:r>
              <w:rPr>
                <w:w w:val="97.7588585444859"/>
                <w:rFonts w:ascii="Helvetica" w:hAnsi="Helvetica" w:eastAsia="Helvetica"/>
                <w:b w:val="0"/>
                <w:i w:val="0"/>
                <w:color w:val="221F1F"/>
                <w:sz w:val="14"/>
              </w:rPr>
              <w:t xml:space="preserve">–2,000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12.000000000000455" w:type="dxa"/>
            </w:tblPr>
            <w:tblGrid>
              <w:gridCol w:w="797"/>
              <w:gridCol w:w="797"/>
              <w:gridCol w:w="797"/>
              <w:gridCol w:w="797"/>
              <w:gridCol w:w="797"/>
              <w:gridCol w:w="797"/>
            </w:tblGrid>
            <w:tr>
              <w:trPr>
                <w:trHeight w:hRule="exact" w:val="492"/>
              </w:trPr>
              <w:tc>
                <w:tcPr>
                  <w:tcW w:type="dxa" w:w="128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60" w:lineRule="exact" w:before="24" w:after="0"/>
                    <w:ind w:left="214" w:right="0" w:firstLine="358"/>
                    <w:jc w:val="left"/>
                  </w:pPr>
                  <w:r>
                    <w:rPr>
                      <w:w w:val="97.7588585444859"/>
                      <w:rFonts w:ascii="Helvetica" w:hAnsi="Helvetica" w:eastAsia="Helvetica"/>
                      <w:b w:val="0"/>
                      <w:i w:val="0"/>
                      <w:color w:val="221F1F"/>
                      <w:sz w:val="14"/>
                    </w:rPr>
                    <w:t xml:space="preserve">2007 </w:t>
                  </w:r>
                  <w:r>
                    <w:br/>
                  </w:r>
                  <w:r>
                    <w:rPr>
                      <w:w w:val="101.83818340301514"/>
                      <w:rFonts w:ascii="Helvetica" w:hAnsi="Helvetica" w:eastAsia="Helvetica"/>
                      <w:b/>
                      <w:i w:val="0"/>
                      <w:color w:val="00853E"/>
                      <w:sz w:val="16"/>
                    </w:rPr>
                    <w:t xml:space="preserve">Net Saving </w:t>
                  </w:r>
                  <w:r>
                    <w:br/>
                  </w:r>
                  <w:r>
                    <w:rPr>
                      <w:rFonts w:ascii="Helvetica" w:hAnsi="Helvetica" w:eastAsia="Helvetica"/>
                      <w:b w:val="0"/>
                      <w:i w:val="0"/>
                      <w:color w:val="221F1F"/>
                      <w:sz w:val="14"/>
                    </w:rPr>
                    <w:t>Billions of dollars</w:t>
                  </w:r>
                </w:p>
              </w:tc>
              <w:tc>
                <w:tcPr>
                  <w:tcW w:type="dxa" w:w="3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4" w:lineRule="exact" w:before="0" w:after="0"/>
                    <w:ind w:left="0" w:right="0" w:firstLine="0"/>
                    <w:jc w:val="center"/>
                  </w:pPr>
                  <w:r>
                    <w:rPr>
                      <w:w w:val="97.7588585444859"/>
                      <w:rFonts w:ascii="Helvetica" w:hAnsi="Helvetica" w:eastAsia="Helvetica"/>
                      <w:b w:val="0"/>
                      <w:i w:val="0"/>
                      <w:color w:val="221F1F"/>
                      <w:sz w:val="14"/>
                    </w:rPr>
                    <w:t xml:space="preserve">2008 </w:t>
                  </w:r>
                </w:p>
              </w:tc>
              <w:tc>
                <w:tcPr>
                  <w:tcW w:type="dxa" w:w="9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4" w:lineRule="exact" w:before="0" w:after="0"/>
                    <w:ind w:left="0" w:right="0" w:firstLine="0"/>
                    <w:jc w:val="right"/>
                  </w:pPr>
                  <w:r>
                    <w:rPr>
                      <w:w w:val="97.7588585444859"/>
                      <w:rFonts w:ascii="Helvetica" w:hAnsi="Helvetica" w:eastAsia="Helvetica"/>
                      <w:b w:val="0"/>
                      <w:i w:val="0"/>
                      <w:color w:val="221F1F"/>
                      <w:sz w:val="14"/>
                    </w:rPr>
                    <w:t>2009</w:t>
                  </w:r>
                </w:p>
              </w:tc>
              <w:tc>
                <w:tcPr>
                  <w:tcW w:type="dxa" w:w="1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4" w:lineRule="exact" w:before="0" w:after="0"/>
                    <w:ind w:left="0" w:right="0" w:firstLine="0"/>
                    <w:jc w:val="right"/>
                  </w:pPr>
                  <w:r>
                    <w:rPr>
                      <w:w w:val="97.7588585444859"/>
                      <w:rFonts w:ascii="Helvetica" w:hAnsi="Helvetica" w:eastAsia="Helvetica"/>
                      <w:b w:val="0"/>
                      <w:i w:val="0"/>
                      <w:color w:val="221F1F"/>
                      <w:sz w:val="14"/>
                    </w:rPr>
                    <w:t xml:space="preserve"> 2010 </w:t>
                  </w:r>
                </w:p>
              </w:tc>
              <w:tc>
                <w:tcPr>
                  <w:tcW w:type="dxa" w:w="10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4" w:lineRule="exact" w:before="0" w:after="0"/>
                    <w:ind w:left="0" w:right="0" w:firstLine="0"/>
                    <w:jc w:val="center"/>
                  </w:pPr>
                  <w:r>
                    <w:rPr>
                      <w:w w:val="97.7588585444859"/>
                      <w:rFonts w:ascii="Helvetica" w:hAnsi="Helvetica" w:eastAsia="Helvetica"/>
                      <w:b w:val="0"/>
                      <w:i w:val="0"/>
                      <w:color w:val="221F1F"/>
                      <w:sz w:val="14"/>
                    </w:rPr>
                    <w:t xml:space="preserve">2011 </w:t>
                  </w:r>
                </w:p>
              </w:tc>
            </w:tr>
            <w:tr>
              <w:trPr>
                <w:trHeight w:hRule="exact" w:val="2180"/>
              </w:trPr>
              <w:tc>
                <w:tcPr>
                  <w:tcW w:type="dxa" w:w="42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6" w:lineRule="exact" w:before="0" w:after="0"/>
                    <w:ind w:left="0" w:right="0" w:firstLine="0"/>
                    <w:jc w:val="right"/>
                  </w:pPr>
                  <w:r>
                    <w:rPr>
                      <w:w w:val="97.7588585444859"/>
                      <w:rFonts w:ascii="Helvetica" w:hAnsi="Helvetica" w:eastAsia="Helvetica"/>
                      <w:b w:val="0"/>
                      <w:i w:val="0"/>
                      <w:color w:val="221F1F"/>
                      <w:sz w:val="14"/>
                    </w:rPr>
                    <w:t xml:space="preserve">200 </w:t>
                  </w:r>
                  <w:r>
                    <w:br/>
                  </w:r>
                  <w:r>
                    <w:rPr>
                      <w:w w:val="97.7588585444859"/>
                      <w:rFonts w:ascii="Helvetica" w:hAnsi="Helvetica" w:eastAsia="Helvetica"/>
                      <w:b w:val="0"/>
                      <w:i w:val="0"/>
                      <w:color w:val="221F1F"/>
                      <w:sz w:val="14"/>
                    </w:rPr>
                    <w:t xml:space="preserve">0 </w:t>
                  </w:r>
                  <w:r>
                    <w:br/>
                  </w:r>
                  <w:r>
                    <w:rPr>
                      <w:w w:val="97.7588585444859"/>
                      <w:rFonts w:ascii="Helvetica" w:hAnsi="Helvetica" w:eastAsia="Helvetica"/>
                      <w:b w:val="0"/>
                      <w:i w:val="0"/>
                      <w:color w:val="221F1F"/>
                      <w:sz w:val="14"/>
                    </w:rPr>
                    <w:t xml:space="preserve">–200 </w:t>
                  </w:r>
                  <w:r>
                    <w:br/>
                  </w:r>
                  <w:r>
                    <w:rPr>
                      <w:w w:val="97.7588585444859"/>
                      <w:rFonts w:ascii="Helvetica" w:hAnsi="Helvetica" w:eastAsia="Helvetica"/>
                      <w:b w:val="0"/>
                      <w:i w:val="0"/>
                      <w:color w:val="221F1F"/>
                      <w:sz w:val="14"/>
                    </w:rPr>
                    <w:t xml:space="preserve">–400 </w:t>
                  </w:r>
                  <w:r>
                    <w:br/>
                  </w:r>
                  <w:r>
                    <w:rPr>
                      <w:w w:val="97.7588585444859"/>
                      <w:rFonts w:ascii="Helvetica" w:hAnsi="Helvetica" w:eastAsia="Helvetica"/>
                      <w:b w:val="0"/>
                      <w:i w:val="0"/>
                      <w:color w:val="221F1F"/>
                      <w:sz w:val="14"/>
                    </w:rPr>
                    <w:t xml:space="preserve">–600 </w:t>
                  </w:r>
                  <w:r>
                    <w:br/>
                  </w:r>
                  <w:r>
                    <w:rPr>
                      <w:w w:val="97.7588585444859"/>
                      <w:rFonts w:ascii="Helvetica" w:hAnsi="Helvetica" w:eastAsia="Helvetica"/>
                      <w:b w:val="0"/>
                      <w:i w:val="0"/>
                      <w:color w:val="221F1F"/>
                      <w:sz w:val="14"/>
                    </w:rPr>
                    <w:t xml:space="preserve">–800 </w:t>
                  </w:r>
                  <w:r>
                    <w:br/>
                  </w:r>
                  <w:r>
                    <w:rPr>
                      <w:w w:val="97.7588585444859"/>
                      <w:rFonts w:ascii="Helvetica" w:hAnsi="Helvetica" w:eastAsia="Helvetica"/>
                      <w:b w:val="0"/>
                      <w:i w:val="0"/>
                      <w:color w:val="221F1F"/>
                      <w:sz w:val="14"/>
                    </w:rPr>
                    <w:t xml:space="preserve">–1,000 </w:t>
                  </w:r>
                  <w:r>
                    <w:rPr>
                      <w:w w:val="97.7588585444859"/>
                      <w:rFonts w:ascii="Helvetica" w:hAnsi="Helvetica" w:eastAsia="Helvetica"/>
                      <w:b w:val="0"/>
                      <w:i w:val="0"/>
                      <w:color w:val="221F1F"/>
                      <w:sz w:val="14"/>
                    </w:rPr>
                    <w:t xml:space="preserve">–1,200 </w:t>
                  </w:r>
                  <w:r>
                    <w:rPr>
                      <w:w w:val="97.7588585444859"/>
                      <w:rFonts w:ascii="Helvetica" w:hAnsi="Helvetica" w:eastAsia="Helvetica"/>
                      <w:b w:val="0"/>
                      <w:i w:val="0"/>
                      <w:color w:val="221F1F"/>
                      <w:sz w:val="14"/>
                    </w:rPr>
                    <w:t xml:space="preserve">–1,400 </w:t>
                  </w:r>
                </w:p>
              </w:tc>
              <w:tc>
                <w:tcPr>
                  <w:tcW w:type="dxa" w:w="4160"/>
                  <w:gridSpan w:val="5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60" w:lineRule="exact" w:before="0" w:after="0"/>
                    <w:ind w:left="0" w:right="0"/>
                  </w:pP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52.000000000000455" w:type="dxa"/>
                  </w:tblPr>
                  <w:tblGrid>
                    <w:gridCol w:w="4160"/>
                  </w:tblGrid>
                  <w:tr>
                    <w:trPr>
                      <w:trHeight w:hRule="exact" w:val="514"/>
                    </w:trPr>
                    <w:tc>
                      <w:tcPr>
                        <w:tcW w:type="dxa" w:w="3832"/>
                        <w:tcBorders>
                          <w:start w:sz="17.152000427246094" w:val="single" w:color="#00853E"/>
                          <w:top w:sz="17.152000427246094" w:val="single" w:color="#00853E"/>
                          <w:end w:sz="17.152000427246094" w:val="single" w:color="#00853E"/>
                          <w:bottom w:sz="3.0" w:val="single" w:color="#221F1F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264"/>
                    </w:trPr>
                    <w:tc>
                      <w:tcPr>
                        <w:tcW w:type="dxa" w:w="3832"/>
                        <w:tcBorders>
                          <w:start w:sz="17.152000427246094" w:val="single" w:color="#00853E"/>
                          <w:top w:sz="3.0" w:val="single" w:color="#221F1F"/>
                          <w:end w:sz="17.152000427246094" w:val="single" w:color="#00853E"/>
                          <w:bottom w:sz="3.0" w:val="single" w:color="#221F1F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264"/>
                    </w:trPr>
                    <w:tc>
                      <w:tcPr>
                        <w:tcW w:type="dxa" w:w="3832"/>
                        <w:tcBorders>
                          <w:start w:sz="17.152000427246094" w:val="single" w:color="#00853E"/>
                          <w:top w:sz="3.0" w:val="single" w:color="#221F1F"/>
                          <w:end w:sz="17.152000427246094" w:val="single" w:color="#00853E"/>
                          <w:bottom w:sz="3.0" w:val="single" w:color="#221F1F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254"/>
                    </w:trPr>
                    <w:tc>
                      <w:tcPr>
                        <w:tcW w:type="dxa" w:w="3832"/>
                        <w:tcBorders>
                          <w:start w:sz="17.152000427246094" w:val="single" w:color="#00853E"/>
                          <w:top w:sz="3.0" w:val="single" w:color="#221F1F"/>
                          <w:end w:sz="17.152000427246094" w:val="single" w:color="#00853E"/>
                          <w:bottom w:sz="3.0" w:val="single" w:color="#221F1F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254"/>
                    </w:trPr>
                    <w:tc>
                      <w:tcPr>
                        <w:tcW w:type="dxa" w:w="3832"/>
                        <w:tcBorders>
                          <w:start w:sz="17.152000427246094" w:val="single" w:color="#00853E"/>
                          <w:top w:sz="3.0" w:val="single" w:color="#221F1F"/>
                          <w:end w:sz="17.152000427246094" w:val="single" w:color="#00853E"/>
                          <w:bottom w:sz="3.0" w:val="single" w:color="#221F1F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264"/>
                    </w:trPr>
                    <w:tc>
                      <w:tcPr>
                        <w:tcW w:type="dxa" w:w="3832"/>
                        <w:tcBorders>
                          <w:start w:sz="17.152000427246094" w:val="single" w:color="#00853E"/>
                          <w:top w:sz="3.0" w:val="single" w:color="#221F1F"/>
                          <w:end w:sz="17.152000427246094" w:val="single" w:color="#00853E"/>
                          <w:bottom w:sz="3.0" w:val="single" w:color="#221F1F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tabs>
                            <w:tab w:pos="804" w:val="left"/>
                          </w:tabs>
                          <w:autoSpaceDE w:val="0"/>
                          <w:widowControl/>
                          <w:spacing w:line="154" w:lineRule="exact" w:before="76" w:after="0"/>
                          <w:ind w:left="198" w:right="0" w:firstLine="0"/>
                          <w:jc w:val="left"/>
                        </w:pPr>
                        <w:r>
                          <w:rPr>
                            <w:w w:val="97.7588585444859"/>
                            <w:rFonts w:ascii="Helvetica" w:hAnsi="Helvetica" w:eastAsia="Helvetica"/>
                            <w:b w:val="0"/>
                            <w:i w:val="0"/>
                            <w:color w:val="221F1F"/>
                            <w:sz w:val="14"/>
                          </w:rPr>
                          <w:t xml:space="preserve">Federal </w:t>
                        </w:r>
                        <w:r>
                          <w:rPr>
                            <w:w w:val="97.7588585444859"/>
                            <w:rFonts w:ascii="Helvetica" w:hAnsi="Helvetica" w:eastAsia="Helvetica"/>
                            <w:b w:val="0"/>
                            <w:i w:val="0"/>
                            <w:color w:val="221F1F"/>
                            <w:sz w:val="14"/>
                          </w:rPr>
                          <w:t xml:space="preserve">State and local </w:t>
                        </w:r>
                      </w:p>
                    </w:tc>
                  </w:tr>
                  <w:tr>
                    <w:trPr>
                      <w:trHeight w:hRule="exact" w:val="242"/>
                    </w:trPr>
                    <w:tc>
                      <w:tcPr>
                        <w:tcW w:type="dxa" w:w="3832"/>
                        <w:tcBorders>
                          <w:start w:sz="17.152000427246094" w:val="single" w:color="#00853E"/>
                          <w:top w:sz="3.0" w:val="single" w:color="#221F1F"/>
                          <w:end w:sz="17.152000427246094" w:val="single" w:color="#00853E"/>
                          <w:bottom w:sz="17.152000427246094" w:val="single" w:color="#00853E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180"/>
              </w:trPr>
              <w:tc>
                <w:tcPr>
                  <w:tcW w:type="dxa" w:w="797"/>
                  <w:vMerge/>
                  <w:tcBorders/>
                </w:tcPr>
                <w:p/>
              </w:tc>
              <w:tc>
                <w:tcPr>
                  <w:tcW w:type="dxa" w:w="8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4" w:lineRule="exact" w:before="0" w:after="0"/>
                    <w:ind w:left="154" w:right="0" w:firstLine="0"/>
                    <w:jc w:val="left"/>
                  </w:pPr>
                  <w:r>
                    <w:rPr>
                      <w:w w:val="97.7588585444859"/>
                      <w:rFonts w:ascii="Helvetica" w:hAnsi="Helvetica" w:eastAsia="Helvetica"/>
                      <w:b w:val="0"/>
                      <w:i w:val="0"/>
                      <w:color w:val="221F1F"/>
                      <w:sz w:val="14"/>
                    </w:rPr>
                    <w:t xml:space="preserve">2007 </w:t>
                  </w:r>
                </w:p>
              </w:tc>
              <w:tc>
                <w:tcPr>
                  <w:tcW w:type="dxa" w:w="3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4" w:lineRule="exact" w:before="0" w:after="0"/>
                    <w:ind w:left="0" w:right="0" w:firstLine="0"/>
                    <w:jc w:val="center"/>
                  </w:pPr>
                  <w:r>
                    <w:rPr>
                      <w:w w:val="97.7588585444859"/>
                      <w:rFonts w:ascii="Helvetica" w:hAnsi="Helvetica" w:eastAsia="Helvetica"/>
                      <w:b w:val="0"/>
                      <w:i w:val="0"/>
                      <w:color w:val="221F1F"/>
                      <w:sz w:val="14"/>
                    </w:rPr>
                    <w:t xml:space="preserve">2008 </w:t>
                  </w:r>
                </w:p>
              </w:tc>
              <w:tc>
                <w:tcPr>
                  <w:tcW w:type="dxa" w:w="9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4" w:lineRule="exact" w:before="0" w:after="0"/>
                    <w:ind w:left="0" w:right="0" w:firstLine="0"/>
                    <w:jc w:val="right"/>
                  </w:pPr>
                  <w:r>
                    <w:rPr>
                      <w:w w:val="97.7588585444859"/>
                      <w:rFonts w:ascii="Helvetica" w:hAnsi="Helvetica" w:eastAsia="Helvetica"/>
                      <w:b w:val="0"/>
                      <w:i w:val="0"/>
                      <w:color w:val="221F1F"/>
                      <w:sz w:val="14"/>
                    </w:rPr>
                    <w:t>2009</w:t>
                  </w:r>
                </w:p>
              </w:tc>
              <w:tc>
                <w:tcPr>
                  <w:tcW w:type="dxa" w:w="1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4" w:lineRule="exact" w:before="0" w:after="0"/>
                    <w:ind w:left="0" w:right="0" w:firstLine="0"/>
                    <w:jc w:val="right"/>
                  </w:pPr>
                  <w:r>
                    <w:rPr>
                      <w:w w:val="97.7588585444859"/>
                      <w:rFonts w:ascii="Helvetica" w:hAnsi="Helvetica" w:eastAsia="Helvetica"/>
                      <w:b w:val="0"/>
                      <w:i w:val="0"/>
                      <w:color w:val="221F1F"/>
                      <w:sz w:val="14"/>
                    </w:rPr>
                    <w:t xml:space="preserve"> 2010 </w:t>
                  </w:r>
                </w:p>
              </w:tc>
              <w:tc>
                <w:tcPr>
                  <w:tcW w:type="dxa" w:w="10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4" w:lineRule="exact" w:before="0" w:after="0"/>
                    <w:ind w:left="0" w:right="0" w:firstLine="0"/>
                    <w:jc w:val="center"/>
                  </w:pPr>
                  <w:r>
                    <w:rPr>
                      <w:w w:val="97.7588585444859"/>
                      <w:rFonts w:ascii="Helvetica" w:hAnsi="Helvetica" w:eastAsia="Helvetica"/>
                      <w:b w:val="0"/>
                      <w:i w:val="0"/>
                      <w:color w:val="221F1F"/>
                      <w:sz w:val="14"/>
                    </w:rPr>
                    <w:t xml:space="preserve">2011 </w:t>
                  </w:r>
                </w:p>
              </w:tc>
            </w:tr>
            <w:tr>
              <w:trPr>
                <w:trHeight w:hRule="exact" w:val="3220"/>
              </w:trPr>
              <w:tc>
                <w:tcPr>
                  <w:tcW w:type="dxa" w:w="4580"/>
                  <w:gridSpan w:val="6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0" w:lineRule="exact" w:before="2" w:after="0"/>
                    <w:ind w:left="0" w:right="0" w:firstLine="0"/>
                    <w:jc w:val="center"/>
                  </w:pPr>
                  <w:r>
                    <w:rPr>
                      <w:w w:val="101.83818340301514"/>
                      <w:rFonts w:ascii="Helvetica" w:hAnsi="Helvetica" w:eastAsia="Helvetica"/>
                      <w:b/>
                      <w:i w:val="0"/>
                      <w:color w:val="00853E"/>
                      <w:sz w:val="16"/>
                    </w:rPr>
                    <w:t xml:space="preserve">Total Receipts,Total Expenditures, and Net Lending or Borrowing </w:t>
                  </w:r>
                </w:p>
                <w:p>
                  <w:pPr>
                    <w:autoSpaceDN w:val="0"/>
                    <w:autoSpaceDE w:val="0"/>
                    <w:widowControl/>
                    <w:spacing w:line="192" w:lineRule="exact" w:before="0" w:after="0"/>
                    <w:ind w:left="184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221F1F"/>
                      <w:sz w:val="14"/>
                    </w:rPr>
                    <w:t xml:space="preserve">Billions of dollars </w:t>
                  </w:r>
                </w:p>
                <w:p>
                  <w:pPr>
                    <w:autoSpaceDN w:val="0"/>
                    <w:autoSpaceDE w:val="0"/>
                    <w:widowControl/>
                    <w:spacing w:line="156" w:lineRule="exact" w:before="0" w:after="0"/>
                    <w:ind w:left="134" w:right="0" w:firstLine="0"/>
                    <w:jc w:val="left"/>
                  </w:pPr>
                  <w:r>
                    <w:rPr>
                      <w:w w:val="97.7588585444859"/>
                      <w:rFonts w:ascii="Helvetica" w:hAnsi="Helvetica" w:eastAsia="Helvetica"/>
                      <w:b w:val="0"/>
                      <w:i w:val="0"/>
                      <w:color w:val="221F1F"/>
                      <w:sz w:val="14"/>
                    </w:rPr>
                    <w:t xml:space="preserve">6,000 </w:t>
                  </w:r>
                </w:p>
                <w:p>
                  <w:pPr>
                    <w:autoSpaceDN w:val="0"/>
                    <w:autoSpaceDE w:val="0"/>
                    <w:widowControl/>
                    <w:spacing w:line="1018" w:lineRule="exact" w:before="0" w:after="0"/>
                    <w:ind w:left="0" w:right="4032" w:firstLine="0"/>
                    <w:jc w:val="center"/>
                  </w:pPr>
                  <w:r>
                    <w:rPr>
                      <w:w w:val="97.7588585444859"/>
                      <w:rFonts w:ascii="Helvetica" w:hAnsi="Helvetica" w:eastAsia="Helvetica"/>
                      <w:b w:val="0"/>
                      <w:i w:val="0"/>
                      <w:color w:val="221F1F"/>
                      <w:sz w:val="14"/>
                    </w:rPr>
                    <w:t xml:space="preserve">–2,000 </w:t>
                  </w:r>
                  <w:r>
                    <w:br/>
                  </w:r>
                  <w:r>
                    <w:rPr>
                      <w:w w:val="97.7588585444859"/>
                      <w:rFonts w:ascii="Helvetica" w:hAnsi="Helvetica" w:eastAsia="Helvetica"/>
                      <w:b w:val="0"/>
                      <w:i w:val="0"/>
                      <w:color w:val="221F1F"/>
                      <w:sz w:val="14"/>
                    </w:rPr>
                    <w:t xml:space="preserve">2,000 </w:t>
                  </w:r>
                </w:p>
                <w:p>
                  <w:pPr>
                    <w:autoSpaceDN w:val="0"/>
                    <w:autoSpaceDE w:val="0"/>
                    <w:widowControl/>
                    <w:spacing w:line="156" w:lineRule="exact" w:before="0" w:after="0"/>
                    <w:ind w:left="358" w:right="0" w:firstLine="0"/>
                    <w:jc w:val="left"/>
                  </w:pPr>
                  <w:r>
                    <w:rPr>
                      <w:w w:val="97.7588585444859"/>
                      <w:rFonts w:ascii="Helvetica" w:hAnsi="Helvetica" w:eastAsia="Helvetica"/>
                      <w:b w:val="0"/>
                      <w:i w:val="0"/>
                      <w:color w:val="221F1F"/>
                      <w:sz w:val="14"/>
                    </w:rPr>
                    <w:t xml:space="preserve">0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476.0000000000002" w:type="dxa"/>
                  </w:tblPr>
                  <w:tblGrid>
                    <w:gridCol w:w="4580"/>
                  </w:tblGrid>
                  <w:tr>
                    <w:trPr>
                      <w:trHeight w:hRule="exact" w:val="518"/>
                    </w:trPr>
                    <w:tc>
                      <w:tcPr>
                        <w:tcW w:type="dxa" w:w="3846"/>
                        <w:tcBorders>
                          <w:start w:sz="17.152000427246094" w:val="single" w:color="#00853E"/>
                          <w:top w:sz="17.152000427246094" w:val="single" w:color="#00853E"/>
                          <w:end w:sz="17.152000427246094" w:val="single" w:color="#00853E"/>
                          <w:bottom w:sz="3.0" w:val="single" w:color="#221F1F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56" w:lineRule="exact" w:before="2" w:after="0"/>
                          <w:ind w:left="64" w:right="0" w:firstLine="0"/>
                          <w:jc w:val="left"/>
                        </w:pPr>
                        <w:r>
                          <w:rPr>
                            <w:w w:val="97.7588585444859"/>
                            <w:rFonts w:ascii="Helvetica" w:hAnsi="Helvetica" w:eastAsia="Helvetica"/>
                            <w:b w:val="0"/>
                            <w:i w:val="0"/>
                            <w:color w:val="221F1F"/>
                            <w:sz w:val="14"/>
                          </w:rPr>
                          <w:t xml:space="preserve">T </w:t>
                        </w:r>
                        <w:r>
                          <w:rPr>
                            <w:w w:val="97.7588585444859"/>
                            <w:rFonts w:ascii="Helvetica" w:hAnsi="Helvetica" w:eastAsia="Helvetica"/>
                            <w:b w:val="0"/>
                            <w:i w:val="0"/>
                            <w:color w:val="221F1F"/>
                            <w:sz w:val="14"/>
                          </w:rPr>
                          <w:t xml:space="preserve">otal expenditures </w:t>
                        </w:r>
                      </w:p>
                    </w:tc>
                  </w:tr>
                  <w:tr>
                    <w:trPr>
                      <w:trHeight w:hRule="exact" w:val="514"/>
                    </w:trPr>
                    <w:tc>
                      <w:tcPr>
                        <w:tcW w:type="dxa" w:w="3846"/>
                        <w:tcBorders>
                          <w:start w:sz="17.152000427246094" w:val="single" w:color="#00853E"/>
                          <w:top w:sz="3.0" w:val="single" w:color="#221F1F"/>
                          <w:end w:sz="17.152000427246094" w:val="single" w:color="#00853E"/>
                          <w:bottom w:sz="3.0" w:val="single" w:color="#221F1F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54" w:lineRule="exact" w:before="132" w:after="0"/>
                          <w:ind w:left="550" w:right="0" w:firstLine="0"/>
                          <w:jc w:val="left"/>
                        </w:pPr>
                        <w:r>
                          <w:rPr>
                            <w:w w:val="97.7588585444859"/>
                            <w:rFonts w:ascii="Helvetica" w:hAnsi="Helvetica" w:eastAsia="Helvetica"/>
                            <w:b w:val="0"/>
                            <w:i w:val="0"/>
                            <w:color w:val="221F1F"/>
                            <w:sz w:val="14"/>
                          </w:rPr>
                          <w:t xml:space="preserve">T </w:t>
                        </w:r>
                        <w:r>
                          <w:rPr>
                            <w:w w:val="97.7588585444859"/>
                            <w:rFonts w:ascii="Helvetica" w:hAnsi="Helvetica" w:eastAsia="Helvetica"/>
                            <w:b w:val="0"/>
                            <w:i w:val="0"/>
                            <w:color w:val="221F1F"/>
                            <w:sz w:val="14"/>
                          </w:rPr>
                          <w:t xml:space="preserve">otal receipts </w:t>
                        </w:r>
                      </w:p>
                    </w:tc>
                  </w:tr>
                  <w:tr>
                    <w:trPr>
                      <w:trHeight w:hRule="exact" w:val="524"/>
                    </w:trPr>
                    <w:tc>
                      <w:tcPr>
                        <w:tcW w:type="dxa" w:w="3846"/>
                        <w:tcBorders>
                          <w:start w:sz="17.152000427246094" w:val="single" w:color="#00853E"/>
                          <w:top w:sz="3.0" w:val="single" w:color="#221F1F"/>
                          <w:end w:sz="17.152000427246094" w:val="single" w:color="#00853E"/>
                          <w:bottom w:sz="3.0" w:val="single" w:color="#221F1F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/>
                    </w:tc>
                  </w:tr>
                  <w:tr>
                    <w:trPr>
                      <w:trHeight w:hRule="exact" w:val="520"/>
                    </w:trPr>
                    <w:tc>
                      <w:tcPr>
                        <w:tcW w:type="dxa" w:w="3846"/>
                        <w:tcBorders>
                          <w:start w:sz="17.152000427246094" w:val="single" w:color="#00853E"/>
                          <w:top w:sz="3.0" w:val="single" w:color="#221F1F"/>
                          <w:end w:sz="17.152000427246094" w:val="single" w:color="#00853E"/>
                          <w:bottom w:sz="17.152000427246094" w:val="single" w:color="#00853E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156" w:lineRule="exact" w:before="76" w:after="0"/>
                          <w:ind w:left="0" w:right="952" w:firstLine="0"/>
                          <w:jc w:val="right"/>
                        </w:pPr>
                        <w:r>
                          <w:rPr>
                            <w:w w:val="97.7588585444859"/>
                            <w:rFonts w:ascii="Helvetica" w:hAnsi="Helvetica" w:eastAsia="Helvetica"/>
                            <w:b w:val="0"/>
                            <w:i w:val="0"/>
                            <w:color w:val="221F1F"/>
                            <w:sz w:val="14"/>
                          </w:rPr>
                          <w:t xml:space="preserve">Net lending or borrowing 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56" w:lineRule="exact" w:before="0" w:after="0"/>
                    <w:ind w:left="134" w:right="0" w:firstLine="0"/>
                    <w:jc w:val="left"/>
                  </w:pPr>
                  <w:r>
                    <w:rPr>
                      <w:w w:val="97.7588585444859"/>
                      <w:rFonts w:ascii="Helvetica" w:hAnsi="Helvetica" w:eastAsia="Helvetica"/>
                      <w:b w:val="0"/>
                      <w:i w:val="0"/>
                      <w:color w:val="221F1F"/>
                      <w:sz w:val="14"/>
                    </w:rPr>
                    <w:t xml:space="preserve">4,000 </w:t>
                  </w:r>
                </w:p>
                <w:p>
                  <w:pPr>
                    <w:autoSpaceDN w:val="0"/>
                    <w:tabs>
                      <w:tab w:pos="1302" w:val="left"/>
                      <w:tab w:pos="2270" w:val="left"/>
                      <w:tab w:pos="3184" w:val="left"/>
                      <w:tab w:pos="3922" w:val="left"/>
                    </w:tabs>
                    <w:autoSpaceDE w:val="0"/>
                    <w:widowControl/>
                    <w:spacing w:line="186" w:lineRule="exact" w:before="1498" w:after="0"/>
                    <w:ind w:left="574" w:right="0" w:firstLine="0"/>
                    <w:jc w:val="left"/>
                  </w:pPr>
                  <w:r>
                    <w:rPr>
                      <w:w w:val="97.7588585444859"/>
                      <w:rFonts w:ascii="Helvetica" w:hAnsi="Helvetica" w:eastAsia="Helvetica"/>
                      <w:b w:val="0"/>
                      <w:i w:val="0"/>
                      <w:color w:val="221F1F"/>
                      <w:sz w:val="14"/>
                    </w:rPr>
                    <w:t xml:space="preserve">2007 </w:t>
                  </w:r>
                  <w:r>
                    <w:tab/>
                  </w:r>
                  <w:r>
                    <w:rPr>
                      <w:w w:val="97.7588585444859"/>
                      <w:rFonts w:ascii="Helvetica" w:hAnsi="Helvetica" w:eastAsia="Helvetica"/>
                      <w:b w:val="0"/>
                      <w:i w:val="0"/>
                      <w:color w:val="221F1F"/>
                      <w:sz w:val="14"/>
                    </w:rPr>
                    <w:t xml:space="preserve">2008 </w:t>
                  </w:r>
                  <w:r>
                    <w:tab/>
                  </w:r>
                  <w:r>
                    <w:rPr>
                      <w:w w:val="97.7588585444859"/>
                      <w:rFonts w:ascii="Helvetica" w:hAnsi="Helvetica" w:eastAsia="Helvetica"/>
                      <w:b w:val="0"/>
                      <w:i w:val="0"/>
                      <w:color w:val="221F1F"/>
                      <w:sz w:val="14"/>
                    </w:rPr>
                    <w:t>2009</w:t>
                  </w:r>
                  <w:r>
                    <w:tab/>
                  </w:r>
                  <w:r>
                    <w:rPr>
                      <w:w w:val="97.7588585444859"/>
                      <w:rFonts w:ascii="Helvetica" w:hAnsi="Helvetica" w:eastAsia="Helvetica"/>
                      <w:b w:val="0"/>
                      <w:i w:val="0"/>
                      <w:color w:val="221F1F"/>
                      <w:sz w:val="14"/>
                    </w:rPr>
                    <w:t xml:space="preserve"> 2010 </w:t>
                  </w:r>
                  <w:r>
                    <w:tab/>
                  </w:r>
                  <w:r>
                    <w:rPr>
                      <w:w w:val="97.7588585444859"/>
                      <w:rFonts w:ascii="Helvetica" w:hAnsi="Helvetica" w:eastAsia="Helvetica"/>
                      <w:b w:val="0"/>
                      <w:i w:val="0"/>
                      <w:color w:val="221F1F"/>
                      <w:sz w:val="14"/>
                    </w:rPr>
                    <w:t xml:space="preserve">2011 </w:t>
                  </w:r>
                </w:p>
                <w:p>
                  <w:pPr>
                    <w:autoSpaceDN w:val="0"/>
                    <w:autoSpaceDE w:val="0"/>
                    <w:widowControl/>
                    <w:spacing w:line="190" w:lineRule="exact" w:before="0" w:after="0"/>
                    <w:ind w:left="172" w:right="0" w:firstLine="0"/>
                    <w:jc w:val="left"/>
                  </w:pPr>
                  <w:r>
                    <w:rPr>
                      <w:w w:val="101.83818340301514"/>
                      <w:rFonts w:ascii="Helvetica" w:hAnsi="Helvetica" w:eastAsia="Helvetica"/>
                      <w:b/>
                      <w:i w:val="0"/>
                      <w:color w:val="00853E"/>
                      <w:sz w:val="16"/>
                    </w:rPr>
                    <w:t xml:space="preserve"> Net Lending or Net Borrowing </w:t>
                  </w:r>
                </w:p>
                <w:p>
                  <w:pPr>
                    <w:autoSpaceDN w:val="0"/>
                    <w:autoSpaceDE w:val="0"/>
                    <w:widowControl/>
                    <w:spacing w:line="192" w:lineRule="exact" w:before="0" w:after="0"/>
                    <w:ind w:left="224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221F1F"/>
                      <w:sz w:val="14"/>
                    </w:rPr>
                    <w:t xml:space="preserve">Billions of dollars </w:t>
                  </w:r>
                </w:p>
                <w:p>
                  <w:pPr>
                    <w:autoSpaceDN w:val="0"/>
                    <w:autoSpaceDE w:val="0"/>
                    <w:widowControl/>
                    <w:spacing w:line="156" w:lineRule="exact" w:before="0" w:after="0"/>
                    <w:ind w:left="216" w:right="0" w:firstLine="0"/>
                    <w:jc w:val="left"/>
                  </w:pPr>
                  <w:r>
                    <w:rPr>
                      <w:w w:val="97.7588585444859"/>
                      <w:rFonts w:ascii="Helvetica" w:hAnsi="Helvetica" w:eastAsia="Helvetica"/>
                      <w:b w:val="0"/>
                      <w:i w:val="0"/>
                      <w:color w:val="221F1F"/>
                      <w:sz w:val="14"/>
                    </w:rPr>
                    <w:t xml:space="preserve">500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56" w:lineRule="exact" w:before="194" w:after="0"/>
              <w:ind w:left="332" w:right="0" w:firstLine="0"/>
              <w:jc w:val="left"/>
            </w:pPr>
            <w:r>
              <w:rPr>
                <w:w w:val="97.7588585444859"/>
                <w:rFonts w:ascii="Helvetica" w:hAnsi="Helvetica" w:eastAsia="Helvetica"/>
                <w:b w:val="0"/>
                <w:i w:val="0"/>
                <w:color w:val="221F1F"/>
                <w:sz w:val="14"/>
              </w:rPr>
              <w:t xml:space="preserve">0 </w:t>
            </w:r>
          </w:p>
          <w:p>
            <w:pPr>
              <w:autoSpaceDN w:val="0"/>
              <w:autoSpaceDE w:val="0"/>
              <w:widowControl/>
              <w:spacing w:line="156" w:lineRule="exact" w:before="254" w:after="0"/>
              <w:ind w:left="142" w:right="0" w:firstLine="0"/>
              <w:jc w:val="left"/>
            </w:pPr>
            <w:r>
              <w:rPr>
                <w:w w:val="97.7588585444859"/>
                <w:rFonts w:ascii="Helvetica" w:hAnsi="Helvetica" w:eastAsia="Helvetica"/>
                <w:b w:val="0"/>
                <w:i w:val="0"/>
                <w:color w:val="221F1F"/>
                <w:sz w:val="14"/>
              </w:rPr>
              <w:t xml:space="preserve">–500 </w:t>
            </w:r>
          </w:p>
          <w:p>
            <w:pPr>
              <w:autoSpaceDN w:val="0"/>
              <w:autoSpaceDE w:val="0"/>
              <w:widowControl/>
              <w:spacing w:line="156" w:lineRule="exact" w:before="254" w:after="194"/>
              <w:ind w:left="46" w:right="0" w:firstLine="0"/>
              <w:jc w:val="left"/>
            </w:pPr>
            <w:r>
              <w:rPr>
                <w:w w:val="97.7588585444859"/>
                <w:rFonts w:ascii="Helvetica" w:hAnsi="Helvetica" w:eastAsia="Helvetica"/>
                <w:b w:val="0"/>
                <w:i w:val="0"/>
                <w:color w:val="221F1F"/>
                <w:sz w:val="14"/>
              </w:rPr>
              <w:t xml:space="preserve">–1,000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7.999999999999545" w:type="dxa"/>
            </w:tblPr>
            <w:tblGrid>
              <w:gridCol w:w="797"/>
              <w:gridCol w:w="797"/>
              <w:gridCol w:w="797"/>
              <w:gridCol w:w="797"/>
              <w:gridCol w:w="797"/>
              <w:gridCol w:w="797"/>
            </w:tblGrid>
            <w:tr>
              <w:trPr>
                <w:trHeight w:hRule="exact" w:val="196"/>
              </w:trPr>
              <w:tc>
                <w:tcPr>
                  <w:tcW w:type="dxa" w:w="2920"/>
                  <w:gridSpan w:val="4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6" w:lineRule="exact" w:before="40" w:after="0"/>
                    <w:ind w:left="38" w:right="0" w:firstLine="0"/>
                    <w:jc w:val="left"/>
                  </w:pPr>
                  <w:r>
                    <w:rPr>
                      <w:w w:val="97.7588585444859"/>
                      <w:rFonts w:ascii="Helvetica" w:hAnsi="Helvetica" w:eastAsia="Helvetica"/>
                      <w:b w:val="0"/>
                      <w:i w:val="0"/>
                      <w:color w:val="221F1F"/>
                      <w:sz w:val="14"/>
                    </w:rPr>
                    <w:t xml:space="preserve">–1,500 </w:t>
                  </w:r>
                </w:p>
              </w:tc>
              <w:tc>
                <w:tcPr>
                  <w:tcW w:type="dxa" w:w="80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6" w:lineRule="exact" w:before="608" w:after="0"/>
                    <w:ind w:left="0" w:right="0" w:firstLine="0"/>
                    <w:jc w:val="center"/>
                  </w:pPr>
                  <w:r>
                    <w:rPr>
                      <w:w w:val="97.7588585444859"/>
                      <w:rFonts w:ascii="Helvetica" w:hAnsi="Helvetica" w:eastAsia="Helvetica"/>
                      <w:b w:val="0"/>
                      <w:i w:val="0"/>
                      <w:color w:val="221F1F"/>
                      <w:sz w:val="14"/>
                    </w:rPr>
                    <w:t xml:space="preserve"> 2010 </w:t>
                  </w:r>
                </w:p>
              </w:tc>
              <w:tc>
                <w:tcPr>
                  <w:tcW w:type="dxa" w:w="78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6" w:lineRule="exact" w:before="608" w:after="0"/>
                    <w:ind w:left="0" w:right="0" w:firstLine="0"/>
                    <w:jc w:val="center"/>
                  </w:pPr>
                  <w:r>
                    <w:rPr>
                      <w:w w:val="97.7588585444859"/>
                      <w:rFonts w:ascii="Helvetica" w:hAnsi="Helvetica" w:eastAsia="Helvetica"/>
                      <w:b w:val="0"/>
                      <w:i w:val="0"/>
                      <w:color w:val="221F1F"/>
                      <w:sz w:val="14"/>
                    </w:rPr>
                    <w:t xml:space="preserve">2011 </w:t>
                  </w:r>
                </w:p>
              </w:tc>
            </w:tr>
            <w:tr>
              <w:trPr>
                <w:trHeight w:hRule="exact" w:val="200"/>
              </w:trPr>
              <w:tc>
                <w:tcPr>
                  <w:tcW w:type="dxa" w:w="116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6" w:lineRule="exact" w:before="8" w:after="0"/>
                    <w:ind w:left="0" w:right="84" w:firstLine="0"/>
                    <w:jc w:val="right"/>
                  </w:pPr>
                  <w:r>
                    <w:rPr>
                      <w:w w:val="97.7588585444859"/>
                      <w:rFonts w:ascii="Helvetica" w:hAnsi="Helvetica" w:eastAsia="Helvetica"/>
                      <w:b w:val="0"/>
                      <w:i w:val="0"/>
                      <w:color w:val="221F1F"/>
                      <w:sz w:val="14"/>
                    </w:rPr>
                    <w:t xml:space="preserve">Federal </w:t>
                  </w:r>
                </w:p>
              </w:tc>
              <w:tc>
                <w:tcPr>
                  <w:tcW w:type="dxa" w:w="176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6" w:lineRule="exact" w:before="8" w:after="0"/>
                    <w:ind w:left="98" w:right="0" w:firstLine="0"/>
                    <w:jc w:val="left"/>
                  </w:pPr>
                  <w:r>
                    <w:rPr>
                      <w:w w:val="97.7588585444859"/>
                      <w:rFonts w:ascii="Helvetica" w:hAnsi="Helvetica" w:eastAsia="Helvetica"/>
                      <w:b w:val="0"/>
                      <w:i w:val="0"/>
                      <w:color w:val="221F1F"/>
                      <w:sz w:val="14"/>
                    </w:rPr>
                    <w:t xml:space="preserve">State and local </w:t>
                  </w:r>
                </w:p>
              </w:tc>
              <w:tc>
                <w:tcPr>
                  <w:tcW w:type="dxa" w:w="797"/>
                  <w:vMerge/>
                  <w:tcBorders/>
                </w:tcPr>
                <w:p/>
              </w:tc>
              <w:tc>
                <w:tcPr>
                  <w:tcW w:type="dxa" w:w="797"/>
                  <w:vMerge/>
                  <w:tcBorders/>
                </w:tcPr>
                <w:p/>
              </w:tc>
            </w:tr>
            <w:tr>
              <w:trPr>
                <w:trHeight w:hRule="exact" w:val="400"/>
              </w:trPr>
              <w:tc>
                <w:tcPr>
                  <w:tcW w:type="dxa" w:w="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56" w:lineRule="exact" w:before="74" w:after="0"/>
                    <w:ind w:left="0" w:right="0" w:firstLine="0"/>
                    <w:jc w:val="center"/>
                  </w:pPr>
                  <w:r>
                    <w:rPr>
                      <w:w w:val="97.7588585444859"/>
                      <w:rFonts w:ascii="Helvetica" w:hAnsi="Helvetica" w:eastAsia="Helvetica"/>
                      <w:b w:val="0"/>
                      <w:i w:val="0"/>
                      <w:color w:val="221F1F"/>
                      <w:sz w:val="14"/>
                    </w:rPr>
                    <w:t xml:space="preserve">–2,000 </w:t>
                  </w:r>
                </w:p>
              </w:tc>
              <w:tc>
                <w:tcPr>
                  <w:tcW w:type="dxa" w:w="6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6" w:lineRule="exact" w:before="212" w:after="0"/>
                    <w:ind w:left="74" w:right="0" w:firstLine="0"/>
                    <w:jc w:val="left"/>
                  </w:pPr>
                  <w:r>
                    <w:rPr>
                      <w:w w:val="97.7588585444859"/>
                      <w:rFonts w:ascii="Helvetica" w:hAnsi="Helvetica" w:eastAsia="Helvetica"/>
                      <w:b w:val="0"/>
                      <w:i w:val="0"/>
                      <w:color w:val="221F1F"/>
                      <w:sz w:val="14"/>
                    </w:rPr>
                    <w:t xml:space="preserve">2007 </w:t>
                  </w:r>
                </w:p>
              </w:tc>
              <w:tc>
                <w:tcPr>
                  <w:tcW w:type="dxa" w:w="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6" w:lineRule="exact" w:before="212" w:after="0"/>
                    <w:ind w:left="122" w:right="0" w:firstLine="0"/>
                    <w:jc w:val="left"/>
                  </w:pPr>
                  <w:r>
                    <w:rPr>
                      <w:w w:val="97.7588585444859"/>
                      <w:rFonts w:ascii="Helvetica" w:hAnsi="Helvetica" w:eastAsia="Helvetica"/>
                      <w:b w:val="0"/>
                      <w:i w:val="0"/>
                      <w:color w:val="221F1F"/>
                      <w:sz w:val="14"/>
                    </w:rPr>
                    <w:t xml:space="preserve">2008 </w:t>
                  </w:r>
                </w:p>
              </w:tc>
              <w:tc>
                <w:tcPr>
                  <w:tcW w:type="dxa" w:w="9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6" w:lineRule="exact" w:before="212" w:after="0"/>
                    <w:ind w:left="0" w:right="0" w:firstLine="0"/>
                    <w:jc w:val="center"/>
                  </w:pPr>
                  <w:r>
                    <w:rPr>
                      <w:w w:val="97.7588585444859"/>
                      <w:rFonts w:ascii="Helvetica" w:hAnsi="Helvetica" w:eastAsia="Helvetica"/>
                      <w:b w:val="0"/>
                      <w:i w:val="0"/>
                      <w:color w:val="221F1F"/>
                      <w:sz w:val="14"/>
                    </w:rPr>
                    <w:t>2009</w:t>
                  </w:r>
                </w:p>
              </w:tc>
              <w:tc>
                <w:tcPr>
                  <w:tcW w:type="dxa" w:w="797"/>
                  <w:vMerge/>
                  <w:tcBorders/>
                </w:tcPr>
                <w:p/>
              </w:tc>
              <w:tc>
                <w:tcPr>
                  <w:tcW w:type="dxa" w:w="797"/>
                  <w:vMerge/>
                  <w:tcBorders/>
                </w:tcPr>
                <w:p/>
              </w:tc>
            </w:tr>
            <w:tr>
              <w:trPr>
                <w:trHeight w:hRule="exact" w:val="158"/>
              </w:trPr>
              <w:tc>
                <w:tcPr>
                  <w:tcW w:type="dxa" w:w="2920"/>
                  <w:gridSpan w:val="4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38" w:lineRule="exact" w:before="16" w:after="0"/>
                    <w:ind w:left="88" w:right="0" w:firstLine="0"/>
                    <w:jc w:val="left"/>
                  </w:pPr>
                  <w:r>
                    <w:rPr>
                      <w:rFonts w:ascii="Helvetica" w:hAnsi="Helvetica" w:eastAsia="Helvetica"/>
                      <w:b w:val="0"/>
                      <w:i w:val="0"/>
                      <w:color w:val="221F1F"/>
                      <w:sz w:val="12"/>
                    </w:rPr>
                    <w:t xml:space="preserve">N </w:t>
                  </w:r>
                  <w:r>
                    <w:rPr>
                      <w:rFonts w:ascii="Helvetica" w:hAnsi="Helvetica" w:eastAsia="Helvetica"/>
                      <w:b w:val="0"/>
                      <w:i w:val="0"/>
                      <w:color w:val="221F1F"/>
                      <w:sz w:val="8"/>
                    </w:rPr>
                    <w:t xml:space="preserve">O </w:t>
                  </w:r>
                  <w:r>
                    <w:rPr>
                      <w:rFonts w:ascii="Helvetica" w:hAnsi="Helvetica" w:eastAsia="Helvetica"/>
                      <w:b w:val="0"/>
                      <w:i w:val="0"/>
                      <w:color w:val="221F1F"/>
                      <w:sz w:val="8"/>
                    </w:rPr>
                    <w:t>TE</w:t>
                  </w:r>
                  <w:r>
                    <w:rPr>
                      <w:rFonts w:ascii="Helvetica" w:hAnsi="Helvetica" w:eastAsia="Helvetica"/>
                      <w:b w:val="0"/>
                      <w:i w:val="0"/>
                      <w:color w:val="221F1F"/>
                      <w:sz w:val="12"/>
                    </w:rPr>
                    <w:t xml:space="preserve">. All estimates are seasonally adjusted at annual rates. </w:t>
                  </w:r>
                </w:p>
              </w:tc>
              <w:tc>
                <w:tcPr>
                  <w:tcW w:type="dxa" w:w="797"/>
                  <w:vMerge/>
                  <w:tcBorders/>
                </w:tcPr>
                <w:p/>
              </w:tc>
              <w:tc>
                <w:tcPr>
                  <w:tcW w:type="dxa" w:w="797"/>
                  <w:vMerge/>
                  <w:tcBorders/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138" w:lineRule="exact" w:before="2" w:after="0"/>
              <w:ind w:left="9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21F1F"/>
                <w:sz w:val="12"/>
              </w:rPr>
              <w:t xml:space="preserve">U </w:t>
            </w:r>
            <w:r>
              <w:rPr>
                <w:rFonts w:ascii="Helvetica" w:hAnsi="Helvetica" w:eastAsia="Helvetica"/>
                <w:b w:val="0"/>
                <w:i w:val="0"/>
                <w:color w:val="221F1F"/>
                <w:sz w:val="12"/>
              </w:rPr>
              <w:t xml:space="preserve">.S. Bureau of Economic Analysis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nextColumn"/>
          <w:pgSz w:w="12240" w:h="15840"/>
          <w:pgMar w:top="320" w:right="1004" w:bottom="504" w:left="1320" w:header="720" w:footer="720" w:gutter="0"/>
          <w:cols w:num="2" w:equalWidth="0">
            <w:col w:w="4918" w:space="0"/>
            <w:col w:w="4998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609600</wp:posOffset>
            </wp:positionH>
            <wp:positionV relativeFrom="page">
              <wp:posOffset>1778000</wp:posOffset>
            </wp:positionV>
            <wp:extent cx="3670300" cy="55753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70300" cy="55753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0.0" w:type="dxa"/>
      </w:tblPr>
      <w:tblGrid>
        <w:gridCol w:w="3429"/>
        <w:gridCol w:w="3429"/>
        <w:gridCol w:w="3429"/>
      </w:tblGrid>
      <w:tr>
        <w:trPr>
          <w:trHeight w:hRule="exact" w:val="360"/>
        </w:trPr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2" w:after="0"/>
              <w:ind w:left="2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21F1F"/>
                <w:sz w:val="20"/>
              </w:rPr>
              <w:t xml:space="preserve">12 </w:t>
            </w:r>
          </w:p>
        </w:tc>
        <w:tc>
          <w:tcPr>
            <w:tcW w:type="dxa" w:w="6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0" w:lineRule="exact" w:before="0" w:after="0"/>
              <w:ind w:left="1366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21F1F"/>
                <w:sz w:val="22"/>
              </w:rPr>
              <w:t>Government Receipts</w:t>
            </w:r>
            <w:r>
              <w:rPr>
                <w:rFonts w:ascii="Helvetica" w:hAnsi="Helvetica" w:eastAsia="Helvetica"/>
                <w:b w:val="0"/>
                <w:i w:val="0"/>
                <w:color w:val="221F1F"/>
                <w:sz w:val="22"/>
              </w:rPr>
              <w:t>and Expenditures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22" w:after="0"/>
              <w:ind w:left="0" w:right="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221F1F"/>
                <w:sz w:val="20"/>
              </w:rPr>
              <w:t xml:space="preserve">September 2011 </w:t>
            </w:r>
          </w:p>
        </w:tc>
      </w:tr>
    </w:tbl>
    <w:p>
      <w:pPr>
        <w:autoSpaceDN w:val="0"/>
        <w:autoSpaceDE w:val="0"/>
        <w:widowControl/>
        <w:spacing w:line="46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0286"/>
      </w:tblGrid>
      <w:tr>
        <w:trPr>
          <w:trHeight w:hRule="exact" w:val="480"/>
        </w:trPr>
        <w:tc>
          <w:tcPr>
            <w:tcW w:type="dxa" w:w="10200"/>
            <w:tcBorders/>
            <w:shd w:fill="00853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3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4"/>
              </w:rPr>
              <w:t xml:space="preserve">Federal Government </w:t>
            </w:r>
          </w:p>
        </w:tc>
      </w:tr>
    </w:tbl>
    <w:p>
      <w:pPr>
        <w:autoSpaceDN w:val="0"/>
        <w:autoSpaceDE w:val="0"/>
        <w:widowControl/>
        <w:spacing w:line="214" w:lineRule="exact" w:before="412" w:after="0"/>
        <w:ind w:left="396" w:right="0" w:firstLine="0"/>
        <w:jc w:val="left"/>
      </w:pPr>
      <w:r>
        <w:rPr>
          <w:rFonts w:ascii="Helvetica" w:hAnsi="Helvetica" w:eastAsia="Helvetica"/>
          <w:b/>
          <w:i w:val="0"/>
          <w:color w:val="221F1F"/>
          <w:sz w:val="18"/>
        </w:rPr>
        <w:t xml:space="preserve">Table 2. Federal Government Current Receipts and Expenditures </w:t>
      </w:r>
    </w:p>
    <w:p>
      <w:pPr>
        <w:autoSpaceDN w:val="0"/>
        <w:tabs>
          <w:tab w:pos="3288" w:val="left"/>
        </w:tabs>
        <w:autoSpaceDE w:val="0"/>
        <w:widowControl/>
        <w:spacing w:line="184" w:lineRule="exact" w:before="298" w:after="0"/>
        <w:ind w:left="2670" w:right="0" w:firstLine="0"/>
        <w:jc w:val="left"/>
      </w:pPr>
      <w:r>
        <w:rPr>
          <w:rFonts w:ascii="Helvetica" w:hAnsi="Helvetica" w:eastAsia="Helvetica"/>
          <w:b w:val="0"/>
          <w:i w:val="0"/>
          <w:color w:val="221F1F"/>
          <w:sz w:val="16"/>
        </w:rPr>
        <w:t xml:space="preserve">Level </w:t>
      </w:r>
      <w:r>
        <w:tab/>
      </w:r>
      <w:r>
        <w:rPr>
          <w:rFonts w:ascii="Helvetica" w:hAnsi="Helvetica" w:eastAsia="Helvetica"/>
          <w:b w:val="0"/>
          <w:i w:val="0"/>
          <w:color w:val="221F1F"/>
          <w:sz w:val="16"/>
        </w:rPr>
        <w:t xml:space="preserve">Change from preceding quarter </w:t>
      </w:r>
    </w:p>
    <w:p>
      <w:pPr>
        <w:autoSpaceDN w:val="0"/>
        <w:tabs>
          <w:tab w:pos="3520" w:val="left"/>
          <w:tab w:pos="4608" w:val="left"/>
        </w:tabs>
        <w:autoSpaceDE w:val="0"/>
        <w:widowControl/>
        <w:spacing w:line="184" w:lineRule="exact" w:before="76" w:after="0"/>
        <w:ind w:left="2676" w:right="0" w:firstLine="0"/>
        <w:jc w:val="left"/>
      </w:pPr>
      <w:r>
        <w:rPr>
          <w:rFonts w:ascii="Helvetica" w:hAnsi="Helvetica" w:eastAsia="Helvetica"/>
          <w:b w:val="0"/>
          <w:i w:val="0"/>
          <w:color w:val="221F1F"/>
          <w:sz w:val="16"/>
        </w:rPr>
        <w:t xml:space="preserve">2011 </w:t>
      </w:r>
      <w:r>
        <w:rPr>
          <w:rFonts w:ascii="Helvetica" w:hAnsi="Helvetica" w:eastAsia="Helvetica"/>
          <w:b w:val="0"/>
          <w:i w:val="0"/>
          <w:color w:val="221F1F"/>
          <w:sz w:val="16"/>
        </w:rPr>
        <w:t xml:space="preserve">2010 </w:t>
      </w:r>
      <w:r>
        <w:rPr>
          <w:rFonts w:ascii="Helvetica" w:hAnsi="Helvetica" w:eastAsia="Helvetica"/>
          <w:b w:val="0"/>
          <w:i w:val="0"/>
          <w:color w:val="221F1F"/>
          <w:sz w:val="16"/>
        </w:rPr>
        <w:t xml:space="preserve">2011 </w:t>
      </w:r>
    </w:p>
    <w:p>
      <w:pPr>
        <w:autoSpaceDN w:val="0"/>
        <w:tabs>
          <w:tab w:pos="3336" w:val="left"/>
          <w:tab w:pos="3880" w:val="left"/>
          <w:tab w:pos="4476" w:val="left"/>
          <w:tab w:pos="4994" w:val="left"/>
        </w:tabs>
        <w:autoSpaceDE w:val="0"/>
        <w:widowControl/>
        <w:spacing w:line="184" w:lineRule="exact" w:before="116" w:after="0"/>
        <w:ind w:left="2786" w:right="0" w:firstLine="0"/>
        <w:jc w:val="left"/>
      </w:pPr>
      <w:r>
        <w:rPr>
          <w:rFonts w:ascii="Helvetica" w:hAnsi="Helvetica" w:eastAsia="Helvetica"/>
          <w:b w:val="0"/>
          <w:i w:val="0"/>
          <w:color w:val="221F1F"/>
          <w:sz w:val="16"/>
        </w:rPr>
        <w:t xml:space="preserve">II </w:t>
      </w:r>
      <w:r>
        <w:tab/>
      </w:r>
      <w:r>
        <w:rPr>
          <w:rFonts w:ascii="Helvetica" w:hAnsi="Helvetica" w:eastAsia="Helvetica"/>
          <w:b w:val="0"/>
          <w:i w:val="0"/>
          <w:color w:val="221F1F"/>
          <w:sz w:val="16"/>
        </w:rPr>
        <w:t xml:space="preserve">III </w:t>
      </w:r>
      <w:r>
        <w:rPr>
          <w:rFonts w:ascii="Helvetica" w:hAnsi="Helvetica" w:eastAsia="Helvetica"/>
          <w:b w:val="0"/>
          <w:i w:val="0"/>
          <w:color w:val="221F1F"/>
          <w:sz w:val="16"/>
        </w:rPr>
        <w:t xml:space="preserve">IV </w:t>
      </w:r>
      <w:r>
        <w:tab/>
      </w:r>
      <w:r>
        <w:rPr>
          <w:rFonts w:ascii="Helvetica" w:hAnsi="Helvetica" w:eastAsia="Helvetica"/>
          <w:b w:val="0"/>
          <w:i w:val="0"/>
          <w:color w:val="221F1F"/>
          <w:sz w:val="16"/>
        </w:rPr>
        <w:t xml:space="preserve">I </w:t>
      </w:r>
      <w:r>
        <w:rPr>
          <w:rFonts w:ascii="Helvetica" w:hAnsi="Helvetica" w:eastAsia="Helvetica"/>
          <w:b w:val="0"/>
          <w:i w:val="0"/>
          <w:color w:val="221F1F"/>
          <w:sz w:val="16"/>
        </w:rPr>
        <w:t xml:space="preserve">II </w:t>
      </w:r>
    </w:p>
    <w:p>
      <w:pPr>
        <w:autoSpaceDN w:val="0"/>
        <w:autoSpaceDE w:val="0"/>
        <w:widowControl/>
        <w:spacing w:line="212" w:lineRule="exact" w:before="6620" w:after="0"/>
        <w:ind w:left="0" w:right="72" w:firstLine="0"/>
        <w:jc w:val="right"/>
      </w:pPr>
      <w:r>
        <w:rPr>
          <w:rFonts w:ascii="Minion" w:hAnsi="Minion" w:eastAsia="Minion"/>
          <w:b w:val="0"/>
          <w:i w:val="0"/>
          <w:color w:val="221F1F"/>
          <w:sz w:val="20"/>
        </w:rPr>
        <w:t>Gross government investment decreased less, reflect­</w:t>
      </w:r>
    </w:p>
    <w:p>
      <w:pPr>
        <w:autoSpaceDN w:val="0"/>
        <w:autoSpaceDE w:val="0"/>
        <w:widowControl/>
        <w:spacing w:line="210" w:lineRule="exact" w:before="18" w:after="1356"/>
        <w:ind w:left="0" w:right="364" w:firstLine="0"/>
        <w:jc w:val="right"/>
      </w:pPr>
      <w:r>
        <w:rPr>
          <w:rFonts w:ascii="Minion" w:hAnsi="Minion" w:eastAsia="Minion"/>
          <w:b w:val="0"/>
          <w:i w:val="0"/>
          <w:color w:val="221F1F"/>
          <w:sz w:val="20"/>
        </w:rPr>
        <w:t xml:space="preserve">ing an upturn in defense equipment and software.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0286"/>
      </w:tblGrid>
      <w:tr>
        <w:trPr>
          <w:trHeight w:hRule="exact" w:val="3076"/>
        </w:trPr>
        <w:tc>
          <w:tcPr>
            <w:tcW w:type="dxa" w:w="10200"/>
            <w:tcBorders>
              <w:start w:sz="8.0" w:val="single" w:color="#00853E"/>
              <w:top w:sz="8.0" w:val="single" w:color="#00853E"/>
              <w:end w:sz="8.0" w:val="single" w:color="#00853E"/>
              <w:bottom w:sz="8.0" w:val="single" w:color="#00853E"/>
            </w:tcBorders>
            <w:shd w:fill="deebe1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142" w:after="0"/>
              <w:ind w:left="5210" w:right="144" w:hanging="1442"/>
              <w:jc w:val="left"/>
            </w:pPr>
            <w:r>
              <w:rPr>
                <w:rFonts w:ascii="Helvetica" w:hAnsi="Helvetica" w:eastAsia="Helvetica"/>
                <w:b/>
                <w:i w:val="0"/>
                <w:color w:val="221F1F"/>
                <w:sz w:val="18"/>
              </w:rPr>
              <w:t xml:space="preserve">Federal Government Estimates </w:t>
            </w:r>
            <w:r>
              <w:br/>
            </w:r>
            <w:r>
              <w:rPr>
                <w:rFonts w:ascii="Minion" w:hAnsi="Minion" w:eastAsia="Minion"/>
                <w:b w:val="0"/>
                <w:i w:val="0"/>
                <w:color w:val="221F1F"/>
                <w:sz w:val="20"/>
              </w:rPr>
              <w:t xml:space="preserve">3.4–3.8, 3.12, and 3.13. Detailed quarterly estimates are </w:t>
            </w:r>
            <w:r>
              <w:rPr>
                <w:rFonts w:ascii="Minion" w:hAnsi="Minion" w:eastAsia="Minion"/>
                <w:b w:val="0"/>
                <w:i w:val="0"/>
                <w:color w:val="221F1F"/>
                <w:sz w:val="20"/>
              </w:rPr>
              <w:t xml:space="preserve">available in underlying NIPA tables at </w:t>
            </w:r>
            <w:r>
              <w:rPr>
                <w:rFonts w:ascii="Minion" w:hAnsi="Minion" w:eastAsia="Minion"/>
                <w:b w:val="0"/>
                <w:i w:val="0"/>
                <w:color w:val="0000FF"/>
                <w:sz w:val="20"/>
              </w:rPr>
              <w:t xml:space="preserve">www.bea.gov/ </w:t>
            </w:r>
            <w:r>
              <w:rPr>
                <w:rFonts w:ascii="Minion" w:hAnsi="Minion" w:eastAsia="Minion"/>
                <w:b w:val="0"/>
                <w:i w:val="0"/>
                <w:color w:val="0000FF"/>
                <w:sz w:val="20"/>
              </w:rPr>
              <w:t>national/nipaweb/nipa_underlying/Index.asp</w:t>
            </w:r>
            <w:r>
              <w:rPr>
                <w:rFonts w:ascii="Minion" w:hAnsi="Minion" w:eastAsia="Minion"/>
                <w:b w:val="0"/>
                <w:i w:val="0"/>
                <w:color w:val="221F1F"/>
                <w:sz w:val="20"/>
              </w:rPr>
              <w:t>.</w:t>
            </w:r>
          </w:p>
          <w:p>
            <w:pPr>
              <w:autoSpaceDN w:val="0"/>
              <w:autoSpaceDE w:val="0"/>
              <w:widowControl/>
              <w:spacing w:line="230" w:lineRule="exact" w:before="0" w:after="0"/>
              <w:ind w:left="5210" w:right="184" w:firstLine="180"/>
              <w:jc w:val="both"/>
            </w:pPr>
            <w:r>
              <w:rPr>
                <w:rFonts w:ascii="Minion" w:hAnsi="Minion" w:eastAsia="Minion"/>
                <w:b w:val="0"/>
                <w:i w:val="0"/>
                <w:color w:val="221F1F"/>
                <w:sz w:val="20"/>
              </w:rPr>
              <w:t xml:space="preserve"> Each year, BEA translates the information in the federal </w:t>
            </w:r>
            <w:r>
              <w:br/>
            </w:r>
            <w:r>
              <w:rPr>
                <w:rFonts w:ascii="Minion" w:hAnsi="Minion" w:eastAsia="Minion"/>
                <w:b w:val="0"/>
                <w:i w:val="0"/>
                <w:color w:val="221F1F"/>
                <w:sz w:val="20"/>
              </w:rPr>
              <w:t>budget into a NIPA framework.</w:t>
            </w:r>
            <w:r>
              <w:rPr>
                <w:rFonts w:ascii="Minion" w:hAnsi="Minion" w:eastAsia="Minion"/>
                <w:b w:val="0"/>
                <w:i w:val="0"/>
                <w:color w:val="221F1F"/>
                <w:sz w:val="12"/>
              </w:rPr>
              <w:t>1</w:t>
            </w:r>
            <w:r>
              <w:rPr>
                <w:rFonts w:ascii="Minion" w:hAnsi="Minion" w:eastAsia="Minion"/>
                <w:b w:val="0"/>
                <w:i w:val="0"/>
                <w:color w:val="221F1F"/>
                <w:sz w:val="20"/>
              </w:rPr>
              <w:t xml:space="preserve"> For a historical time series </w:t>
            </w:r>
            <w:r>
              <w:br/>
            </w:r>
            <w:r>
              <w:rPr>
                <w:rFonts w:ascii="Minion" w:hAnsi="Minion" w:eastAsia="Minion"/>
                <w:b w:val="0"/>
                <w:i w:val="0"/>
                <w:color w:val="221F1F"/>
                <w:sz w:val="20"/>
              </w:rPr>
              <w:t xml:space="preserve">of these estimates, see NIPA table 3.18B, which is scheduled </w:t>
            </w:r>
            <w:r>
              <w:br/>
            </w:r>
            <w:r>
              <w:rPr>
                <w:rFonts w:ascii="Minion" w:hAnsi="Minion" w:eastAsia="Minion"/>
                <w:b w:val="0"/>
                <w:i w:val="0"/>
                <w:color w:val="221F1F"/>
                <w:sz w:val="20"/>
              </w:rPr>
              <w:t xml:space="preserve">to be published in the October 2011 </w:t>
            </w:r>
            <w:r>
              <w:rPr>
                <w:rFonts w:ascii="Minion" w:hAnsi="Minion" w:eastAsia="Minion"/>
                <w:b w:val="0"/>
                <w:i w:val="0"/>
                <w:color w:val="221F1F"/>
                <w:sz w:val="20"/>
              </w:rPr>
              <w:t>S</w:t>
            </w:r>
            <w:r>
              <w:rPr>
                <w:w w:val="103.21504886333759"/>
                <w:rFonts w:ascii="Minion" w:hAnsi="Minion" w:eastAsia="Minion"/>
                <w:b w:val="0"/>
                <w:i w:val="0"/>
                <w:color w:val="221F1F"/>
                <w:sz w:val="13"/>
              </w:rPr>
              <w:t>URVEY</w:t>
            </w:r>
            <w:r>
              <w:rPr>
                <w:rFonts w:ascii="Minion" w:hAnsi="Minion" w:eastAsia="Minion"/>
                <w:b w:val="0"/>
                <w:i w:val="0"/>
                <w:color w:val="221F1F"/>
                <w:sz w:val="20"/>
              </w:rPr>
              <w:t xml:space="preserve">.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308" w:right="1004" w:bottom="360" w:left="9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0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1778000</wp:posOffset>
            </wp:positionV>
            <wp:extent cx="3670300" cy="47371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70300" cy="47371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0.0" w:type="dxa"/>
      </w:tblPr>
      <w:tblGrid>
        <w:gridCol w:w="3429"/>
        <w:gridCol w:w="3429"/>
        <w:gridCol w:w="3429"/>
      </w:tblGrid>
      <w:tr>
        <w:trPr>
          <w:trHeight w:hRule="exact" w:val="332"/>
        </w:trPr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20" w:right="0" w:firstLine="0"/>
              <w:jc w:val="left"/>
            </w:pPr>
            <w:r>
              <w:rPr>
                <w:rFonts w:ascii="Helvetica" w:hAnsi="Helvetica" w:eastAsia="Helvetica"/>
                <w:b w:val="0"/>
                <w:i w:val="0"/>
                <w:color w:val="221F1F"/>
                <w:sz w:val="20"/>
              </w:rPr>
              <w:t xml:space="preserve">September  2011 </w:t>
            </w:r>
          </w:p>
        </w:tc>
        <w:tc>
          <w:tcPr>
            <w:tcW w:type="dxa" w:w="5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14" w:after="0"/>
              <w:ind w:left="982" w:right="0" w:firstLine="0"/>
              <w:jc w:val="left"/>
            </w:pPr>
            <w:r>
              <w:rPr>
                <w:rFonts w:ascii="Minion" w:hAnsi="Minion" w:eastAsia="Minion"/>
                <w:b/>
                <w:i w:val="0"/>
                <w:color w:val="221F1F"/>
                <w:sz w:val="24"/>
              </w:rPr>
              <w:t>S</w:t>
            </w:r>
            <w:r>
              <w:rPr>
                <w:w w:val="101.25477313995361"/>
                <w:rFonts w:ascii="Minion" w:hAnsi="Minion" w:eastAsia="Minion"/>
                <w:b/>
                <w:i w:val="0"/>
                <w:color w:val="221F1F"/>
                <w:sz w:val="16"/>
              </w:rPr>
              <w:t>URVEY OF</w:t>
            </w:r>
            <w:r>
              <w:rPr>
                <w:rFonts w:ascii="Minion" w:hAnsi="Minion" w:eastAsia="Minion"/>
                <w:b/>
                <w:i w:val="0"/>
                <w:color w:val="221F1F"/>
                <w:sz w:val="24"/>
              </w:rPr>
              <w:t xml:space="preserve"> C</w:t>
            </w:r>
            <w:r>
              <w:rPr>
                <w:w w:val="101.25477313995361"/>
                <w:rFonts w:ascii="Minion" w:hAnsi="Minion" w:eastAsia="Minion"/>
                <w:b/>
                <w:i w:val="0"/>
                <w:color w:val="221F1F"/>
                <w:sz w:val="16"/>
              </w:rPr>
              <w:t>URRENT</w:t>
            </w:r>
            <w:r>
              <w:rPr>
                <w:rFonts w:ascii="Minion" w:hAnsi="Minion" w:eastAsia="Minion"/>
                <w:b/>
                <w:i w:val="0"/>
                <w:color w:val="221F1F"/>
                <w:sz w:val="24"/>
              </w:rPr>
              <w:t xml:space="preserve"> B</w:t>
            </w:r>
            <w:r>
              <w:rPr>
                <w:w w:val="101.25477313995361"/>
                <w:rFonts w:ascii="Minion" w:hAnsi="Minion" w:eastAsia="Minion"/>
                <w:b/>
                <w:i w:val="0"/>
                <w:color w:val="221F1F"/>
                <w:sz w:val="16"/>
              </w:rPr>
              <w:t xml:space="preserve">USINESS </w:t>
            </w:r>
          </w:p>
        </w:tc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2" w:lineRule="exact" w:before="0" w:after="0"/>
              <w:ind w:left="0" w:right="4" w:firstLine="0"/>
              <w:jc w:val="right"/>
            </w:pPr>
            <w:r>
              <w:rPr>
                <w:rFonts w:ascii="Helvetica" w:hAnsi="Helvetica" w:eastAsia="Helvetica"/>
                <w:b w:val="0"/>
                <w:i w:val="0"/>
                <w:color w:val="221F1F"/>
                <w:sz w:val="20"/>
              </w:rPr>
              <w:t xml:space="preserve">13 </w:t>
            </w:r>
          </w:p>
        </w:tc>
      </w:tr>
    </w:tbl>
    <w:p>
      <w:pPr>
        <w:autoSpaceDN w:val="0"/>
        <w:autoSpaceDE w:val="0"/>
        <w:widowControl/>
        <w:spacing w:line="46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10286"/>
      </w:tblGrid>
      <w:tr>
        <w:trPr>
          <w:trHeight w:hRule="exact" w:val="480"/>
        </w:trPr>
        <w:tc>
          <w:tcPr>
            <w:tcW w:type="dxa" w:w="10200"/>
            <w:tcBorders/>
            <w:shd w:fill="00853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0" w:lineRule="exact" w:before="36" w:after="0"/>
              <w:ind w:left="0" w:right="0" w:firstLine="0"/>
              <w:jc w:val="center"/>
            </w:pPr>
            <w:r>
              <w:rPr>
                <w:rFonts w:ascii="Helvetica" w:hAnsi="Helvetica" w:eastAsia="Helvetica"/>
                <w:b/>
                <w:i w:val="0"/>
                <w:color w:val="FFFFFF"/>
                <w:sz w:val="24"/>
              </w:rPr>
              <w:t xml:space="preserve">State and Local Government </w:t>
            </w:r>
          </w:p>
        </w:tc>
      </w:tr>
    </w:tbl>
    <w:p>
      <w:pPr>
        <w:autoSpaceDN w:val="0"/>
        <w:autoSpaceDE w:val="0"/>
        <w:widowControl/>
        <w:spacing w:line="214" w:lineRule="exact" w:before="412" w:after="0"/>
        <w:ind w:left="112" w:right="0" w:firstLine="0"/>
        <w:jc w:val="left"/>
      </w:pPr>
      <w:r>
        <w:rPr>
          <w:rFonts w:ascii="Helvetica" w:hAnsi="Helvetica" w:eastAsia="Helvetica"/>
          <w:b/>
          <w:i w:val="0"/>
          <w:color w:val="221F1F"/>
          <w:sz w:val="18"/>
        </w:rPr>
        <w:t xml:space="preserve">Table 3. State and Local Government Current Receipts and Expenditures </w:t>
      </w:r>
    </w:p>
    <w:p>
      <w:pPr>
        <w:autoSpaceDN w:val="0"/>
        <w:tabs>
          <w:tab w:pos="3320" w:val="left"/>
        </w:tabs>
        <w:autoSpaceDE w:val="0"/>
        <w:widowControl/>
        <w:spacing w:line="184" w:lineRule="exact" w:before="298" w:after="0"/>
        <w:ind w:left="2762" w:right="0" w:firstLine="0"/>
        <w:jc w:val="left"/>
      </w:pPr>
      <w:r>
        <w:rPr>
          <w:rFonts w:ascii="Helvetica" w:hAnsi="Helvetica" w:eastAsia="Helvetica"/>
          <w:b w:val="0"/>
          <w:i w:val="0"/>
          <w:color w:val="221F1F"/>
          <w:sz w:val="16"/>
        </w:rPr>
        <w:t xml:space="preserve">Level </w:t>
      </w:r>
      <w:r>
        <w:tab/>
      </w:r>
      <w:r>
        <w:rPr>
          <w:rFonts w:ascii="Helvetica" w:hAnsi="Helvetica" w:eastAsia="Helvetica"/>
          <w:b w:val="0"/>
          <w:i w:val="0"/>
          <w:color w:val="221F1F"/>
          <w:sz w:val="16"/>
        </w:rPr>
        <w:t xml:space="preserve">Change from preceding quarter </w:t>
      </w:r>
    </w:p>
    <w:p>
      <w:pPr>
        <w:autoSpaceDN w:val="0"/>
        <w:tabs>
          <w:tab w:pos="3560" w:val="left"/>
          <w:tab w:pos="4616" w:val="left"/>
        </w:tabs>
        <w:autoSpaceDE w:val="0"/>
        <w:widowControl/>
        <w:spacing w:line="184" w:lineRule="exact" w:before="76" w:after="0"/>
        <w:ind w:left="2768" w:right="0" w:firstLine="0"/>
        <w:jc w:val="left"/>
      </w:pPr>
      <w:r>
        <w:rPr>
          <w:rFonts w:ascii="Helvetica" w:hAnsi="Helvetica" w:eastAsia="Helvetica"/>
          <w:b w:val="0"/>
          <w:i w:val="0"/>
          <w:color w:val="221F1F"/>
          <w:sz w:val="16"/>
        </w:rPr>
        <w:t xml:space="preserve">2011 </w:t>
      </w:r>
      <w:r>
        <w:rPr>
          <w:rFonts w:ascii="Helvetica" w:hAnsi="Helvetica" w:eastAsia="Helvetica"/>
          <w:b w:val="0"/>
          <w:i w:val="0"/>
          <w:color w:val="221F1F"/>
          <w:sz w:val="16"/>
        </w:rPr>
        <w:t xml:space="preserve">2010 </w:t>
      </w:r>
      <w:r>
        <w:tab/>
      </w:r>
      <w:r>
        <w:rPr>
          <w:rFonts w:ascii="Helvetica" w:hAnsi="Helvetica" w:eastAsia="Helvetica"/>
          <w:b w:val="0"/>
          <w:i w:val="0"/>
          <w:color w:val="221F1F"/>
          <w:sz w:val="16"/>
        </w:rPr>
        <w:t xml:space="preserve">2011 </w:t>
      </w:r>
    </w:p>
    <w:p>
      <w:pPr>
        <w:autoSpaceDN w:val="0"/>
        <w:tabs>
          <w:tab w:pos="3386" w:val="left"/>
          <w:tab w:pos="3908" w:val="left"/>
          <w:tab w:pos="4480" w:val="left"/>
          <w:tab w:pos="4990" w:val="left"/>
        </w:tabs>
        <w:autoSpaceDE w:val="0"/>
        <w:widowControl/>
        <w:spacing w:line="184" w:lineRule="exact" w:before="116" w:after="6886"/>
        <w:ind w:left="2878" w:right="0" w:firstLine="0"/>
        <w:jc w:val="left"/>
      </w:pPr>
      <w:r>
        <w:rPr>
          <w:rFonts w:ascii="Helvetica" w:hAnsi="Helvetica" w:eastAsia="Helvetica"/>
          <w:b w:val="0"/>
          <w:i w:val="0"/>
          <w:color w:val="221F1F"/>
          <w:sz w:val="16"/>
        </w:rPr>
        <w:t xml:space="preserve">II </w:t>
      </w:r>
      <w:r>
        <w:tab/>
      </w:r>
      <w:r>
        <w:rPr>
          <w:rFonts w:ascii="Helvetica" w:hAnsi="Helvetica" w:eastAsia="Helvetica"/>
          <w:b w:val="0"/>
          <w:i w:val="0"/>
          <w:color w:val="221F1F"/>
          <w:sz w:val="16"/>
        </w:rPr>
        <w:t xml:space="preserve">III </w:t>
      </w:r>
      <w:r>
        <w:tab/>
      </w:r>
      <w:r>
        <w:rPr>
          <w:rFonts w:ascii="Helvetica" w:hAnsi="Helvetica" w:eastAsia="Helvetica"/>
          <w:b w:val="0"/>
          <w:i w:val="0"/>
          <w:color w:val="221F1F"/>
          <w:sz w:val="16"/>
        </w:rPr>
        <w:t xml:space="preserve">IV </w:t>
      </w:r>
      <w:r>
        <w:tab/>
      </w:r>
      <w:r>
        <w:rPr>
          <w:rFonts w:ascii="Helvetica" w:hAnsi="Helvetica" w:eastAsia="Helvetica"/>
          <w:b w:val="0"/>
          <w:i w:val="0"/>
          <w:color w:val="221F1F"/>
          <w:sz w:val="16"/>
        </w:rPr>
        <w:t xml:space="preserve">I </w:t>
      </w:r>
      <w:r>
        <w:tab/>
      </w:r>
      <w:r>
        <w:rPr>
          <w:rFonts w:ascii="Helvetica" w:hAnsi="Helvetica" w:eastAsia="Helvetica"/>
          <w:b w:val="0"/>
          <w:i w:val="0"/>
          <w:color w:val="221F1F"/>
          <w:sz w:val="16"/>
        </w:rPr>
        <w:t xml:space="preserve">II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286"/>
      </w:tblGrid>
      <w:tr>
        <w:trPr>
          <w:trHeight w:hRule="exact" w:val="4426"/>
        </w:trPr>
        <w:tc>
          <w:tcPr>
            <w:tcW w:type="dxa" w:w="10220"/>
            <w:tcBorders/>
            <w:shd w:fill="deebe1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0.0" w:type="dxa"/>
            </w:tblPr>
            <w:tblGrid>
              <w:gridCol w:w="10220"/>
            </w:tblGrid>
            <w:tr>
              <w:trPr>
                <w:trHeight w:hRule="exact" w:val="4398"/>
              </w:trPr>
              <w:tc>
                <w:tcPr>
                  <w:tcW w:type="dxa" w:w="10200"/>
                  <w:tcBorders>
                    <w:start w:sz="8.0" w:val="single" w:color="#00853E"/>
                    <w:top w:sz="8.0" w:val="single" w:color="#00853E"/>
                    <w:end w:sz="8.0" w:val="single" w:color="#00853E"/>
                    <w:bottom w:sz="8.0" w:val="single" w:color="#00853E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210" w:after="0"/>
                    <w:ind w:left="5210" w:right="144" w:hanging="3406"/>
                    <w:jc w:val="left"/>
                  </w:pPr>
                  <w:r>
                    <w:rPr>
                      <w:rFonts w:ascii="Helvetica" w:hAnsi="Helvetica" w:eastAsia="Helvetica"/>
                      <w:b/>
                      <w:i w:val="0"/>
                      <w:color w:val="221F1F"/>
                      <w:sz w:val="20"/>
                    </w:rPr>
                    <w:t xml:space="preserve">Estimates of State and Local Government Receipts and Expenditures </w:t>
                  </w:r>
                  <w:r>
                    <w:br/>
                  </w:r>
                  <w:r>
                    <w:rPr>
                      <w:rFonts w:ascii="Minion" w:hAnsi="Minion" w:eastAsia="Minion"/>
                      <w:b w:val="0"/>
                      <w:i w:val="0"/>
                      <w:color w:val="221F1F"/>
                      <w:sz w:val="20"/>
                    </w:rPr>
                    <w:t xml:space="preserve">annually in NIPA tables 3.4–3.8, 3.12, and 3.13. Detailed </w:t>
                  </w:r>
                  <w:r>
                    <w:rPr>
                      <w:rFonts w:ascii="Minion" w:hAnsi="Minion" w:eastAsia="Minion"/>
                      <w:b w:val="0"/>
                      <w:i w:val="0"/>
                      <w:color w:val="221F1F"/>
                      <w:sz w:val="20"/>
                    </w:rPr>
                    <w:t xml:space="preserve">quarterly estimates are available in underlying NIPA </w:t>
                  </w:r>
                  <w:r>
                    <w:rPr>
                      <w:rFonts w:ascii="Minion" w:hAnsi="Minion" w:eastAsia="Minion"/>
                      <w:b w:val="0"/>
                      <w:i w:val="0"/>
                      <w:color w:val="221F1F"/>
                      <w:sz w:val="20"/>
                    </w:rPr>
                    <w:t>tables at</w:t>
                  </w:r>
                  <w:r>
                    <w:rPr>
                      <w:rFonts w:ascii="Minion" w:hAnsi="Minion" w:eastAsia="Minion"/>
                      <w:b w:val="0"/>
                      <w:i w:val="0"/>
                      <w:color w:val="0000FF"/>
                      <w:sz w:val="20"/>
                    </w:rPr>
                    <w:t xml:space="preserve"> www.bea.gov/national/nipaweb/nipa_underlying/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2240" w:h="15840"/>
      <w:pgMar w:top="320" w:right="884" w:bottom="460" w:left="107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