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autoSpaceDE w:val="0"/>
        <w:widowControl/>
        <w:spacing w:line="332" w:lineRule="exact" w:before="0" w:after="0"/>
        <w:ind w:left="36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211.925   Powers and duties of cabinet. </w:t>
      </w:r>
    </w:p>
    <w:p>
      <w:pPr>
        <w:autoSpaceDN w:val="0"/>
        <w:autoSpaceDE w:val="0"/>
        <w:widowControl/>
        <w:spacing w:line="284" w:lineRule="exact" w:before="100" w:after="10"/>
        <w:ind w:left="36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addition to all other powers and duties vested in it by law, the cabinet shall have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authority, power, and duty to: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680"/>
        <w:gridCol w:w="4680"/>
      </w:tblGrid>
      <w:tr>
        <w:trPr>
          <w:trHeight w:hRule="exact" w:val="6030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2" w:after="0"/>
              <w:ind w:left="0" w:right="10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(1) </w:t>
            </w:r>
          </w:p>
          <w:p>
            <w:pPr>
              <w:autoSpaceDN w:val="0"/>
              <w:autoSpaceDE w:val="0"/>
              <w:widowControl/>
              <w:spacing w:line="320" w:lineRule="exact" w:before="872" w:after="0"/>
              <w:ind w:left="0" w:right="10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(2) </w:t>
            </w:r>
          </w:p>
          <w:p>
            <w:pPr>
              <w:autoSpaceDN w:val="0"/>
              <w:autoSpaceDE w:val="0"/>
              <w:widowControl/>
              <w:spacing w:line="320" w:lineRule="exact" w:before="306" w:after="0"/>
              <w:ind w:left="0" w:right="10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(3) </w:t>
            </w:r>
          </w:p>
          <w:p>
            <w:pPr>
              <w:autoSpaceDN w:val="0"/>
              <w:autoSpaceDE w:val="0"/>
              <w:widowControl/>
              <w:spacing w:line="320" w:lineRule="exact" w:before="590" w:after="0"/>
              <w:ind w:left="0" w:right="10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(4) </w:t>
            </w:r>
          </w:p>
          <w:p>
            <w:pPr>
              <w:autoSpaceDN w:val="0"/>
              <w:autoSpaceDE w:val="0"/>
              <w:widowControl/>
              <w:spacing w:line="320" w:lineRule="exact" w:before="1156" w:after="0"/>
              <w:ind w:left="0" w:right="10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(5) </w:t>
            </w:r>
          </w:p>
          <w:p>
            <w:pPr>
              <w:autoSpaceDN w:val="0"/>
              <w:autoSpaceDE w:val="0"/>
              <w:widowControl/>
              <w:spacing w:line="320" w:lineRule="exact" w:before="874" w:after="0"/>
              <w:ind w:left="0" w:right="10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(6) </w:t>
            </w:r>
          </w:p>
        </w:tc>
        <w:tc>
          <w:tcPr>
            <w:tcW w:type="dxa" w:w="8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52" w:after="0"/>
              <w:ind w:left="108" w:right="144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Adopt, modify, and repeal regulations and standards relating to the public health or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health aspects of the operation of state confinement facilities, and exercise general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supervision over the administration of KRS 211.920 to 211.945 and assist in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enforcement of all regulations and standards promulgated pursuant to it; </w:t>
            </w:r>
          </w:p>
          <w:p>
            <w:pPr>
              <w:autoSpaceDN w:val="0"/>
              <w:autoSpaceDE w:val="0"/>
              <w:widowControl/>
              <w:spacing w:line="284" w:lineRule="exact" w:before="6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Collect, evaluate, and disseminate information from state confinement facilities as it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relates to the public health of the people of the Commonwealth; </w:t>
            </w:r>
          </w:p>
          <w:p>
            <w:pPr>
              <w:autoSpaceDN w:val="0"/>
              <w:autoSpaceDE w:val="0"/>
              <w:widowControl/>
              <w:spacing w:line="282" w:lineRule="exact" w:before="60" w:after="0"/>
              <w:ind w:left="108" w:right="14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Develop comprehensive plans for the elimination of conditions in state confinement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facilities which adversely affect the public health or the health of those persons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confined or likely to be confined in any state confinement facility; </w:t>
            </w:r>
          </w:p>
          <w:p>
            <w:pPr>
              <w:autoSpaceDN w:val="0"/>
              <w:autoSpaceDE w:val="0"/>
              <w:widowControl/>
              <w:spacing w:line="284" w:lineRule="exact" w:before="60" w:after="0"/>
              <w:ind w:left="108" w:right="14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Enter upon the premises and inspect any state confinement facility for the purpose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of determining the extent of compliance with KRS 211.920 to 211.945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investigating the effect of the operation of state confinement facilities upon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public health or the health of those persons confined or likely to be confined in any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state confinement facility; </w:t>
            </w:r>
          </w:p>
          <w:p>
            <w:pPr>
              <w:autoSpaceDN w:val="0"/>
              <w:autoSpaceDE w:val="0"/>
              <w:widowControl/>
              <w:spacing w:line="284" w:lineRule="exact" w:before="58" w:after="0"/>
              <w:ind w:left="108" w:right="14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Advise, consult, and cooperate with other agencies of the Commonwealth,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including the Department of Corrections, other jurisdictions, the federal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government, interstate and interlocal agencies, and local governments regarding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effects of the operation of confinement facilities upon the public health; </w:t>
            </w:r>
          </w:p>
          <w:p>
            <w:pPr>
              <w:autoSpaceDN w:val="0"/>
              <w:autoSpaceDE w:val="0"/>
              <w:widowControl/>
              <w:spacing w:line="282" w:lineRule="exact" w:before="62" w:after="0"/>
              <w:ind w:left="108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Accept, receive, and administer grants or other funds or gifts from public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private agencies for the purpose of implementing KRS 211.920 to 211.945. </w:t>
            </w:r>
          </w:p>
        </w:tc>
      </w:tr>
    </w:tbl>
    <w:p>
      <w:pPr>
        <w:autoSpaceDN w:val="0"/>
        <w:autoSpaceDE w:val="0"/>
        <w:widowControl/>
        <w:spacing w:line="276" w:lineRule="exact" w:before="18" w:after="0"/>
        <w:ind w:left="180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0"/>
        </w:rPr>
        <w:t xml:space="preserve">Effective: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July 14, 1992 </w:t>
      </w:r>
    </w:p>
    <w:p>
      <w:pPr>
        <w:autoSpaceDN w:val="0"/>
        <w:autoSpaceDE w:val="0"/>
        <w:widowControl/>
        <w:spacing w:line="234" w:lineRule="exact" w:before="66" w:after="0"/>
        <w:ind w:left="2160" w:right="308" w:hanging="360"/>
        <w:jc w:val="both"/>
      </w:pPr>
      <w:r>
        <w:rPr>
          <w:rFonts w:ascii="Times New Roman,Bold" w:hAnsi="Times New Roman,Bold" w:eastAsia="Times New Roman,Bold"/>
          <w:b/>
          <w:i w:val="0"/>
          <w:color w:val="000000"/>
          <w:sz w:val="20"/>
        </w:rPr>
        <w:t xml:space="preserve">History: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Amended 1992 Ky. Acts ch. 211, sec. 76, effective July 14, 1992. -- Amended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1982 Ky. Acts ch. 385, sec. 31, effective January 1, 1983. -- Created 1974 Ky. Acts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ch. 361, sec. 4. </w:t>
      </w:r>
    </w:p>
    <w:sectPr w:rsidR="00FC693F" w:rsidRPr="0006063C" w:rsidSect="00034616">
      <w:pgSz w:w="12240" w:h="15840"/>
      <w:pgMar w:top="71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