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24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2.00000000000003" w:type="dxa"/>
      </w:tblPr>
      <w:tblGrid>
        <w:gridCol w:w="3437"/>
        <w:gridCol w:w="3437"/>
        <w:gridCol w:w="3437"/>
      </w:tblGrid>
      <w:tr>
        <w:trPr>
          <w:trHeight w:hRule="exact" w:val="368"/>
        </w:trPr>
        <w:tc>
          <w:tcPr>
            <w:tcW w:type="dxa" w:w="48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46" w:lineRule="exact" w:before="50" w:after="0"/>
              <w:ind w:left="36" w:right="288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333399"/>
                <w:sz w:val="36"/>
              </w:rPr>
              <w:t xml:space="preserve">Northeast Skate Complex </w:t>
            </w:r>
            <w:r>
              <w:rPr>
                <w:rFonts w:ascii="Arial" w:hAnsi="Arial" w:eastAsia="Arial"/>
                <w:b/>
                <w:i w:val="0"/>
                <w:color w:val="333399"/>
                <w:sz w:val="36"/>
              </w:rPr>
              <w:t xml:space="preserve">Wing Fishery </w:t>
            </w:r>
          </w:p>
        </w:tc>
        <w:tc>
          <w:tcPr>
            <w:tcW w:type="dxa" w:w="2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96" w:after="0"/>
              <w:ind w:left="3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>For week ending:</w:t>
            </w:r>
          </w:p>
        </w:tc>
        <w:tc>
          <w:tcPr>
            <w:tcW w:type="dxa" w:w="2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96" w:after="0"/>
              <w:ind w:left="114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>April 27, 2013</w:t>
            </w:r>
          </w:p>
        </w:tc>
      </w:tr>
      <w:tr>
        <w:trPr>
          <w:trHeight w:hRule="exact" w:val="248"/>
        </w:trPr>
        <w:tc>
          <w:tcPr>
            <w:tcW w:type="dxa" w:w="3437"/>
            <w:vMerge/>
            <w:tcBorders/>
          </w:tcPr>
          <w:p/>
        </w:tc>
        <w:tc>
          <w:tcPr>
            <w:tcW w:type="dxa" w:w="2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4" w:lineRule="exact" w:before="0" w:after="0"/>
              <w:ind w:left="3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For data reported through: </w:t>
            </w:r>
          </w:p>
        </w:tc>
        <w:tc>
          <w:tcPr>
            <w:tcW w:type="dxa" w:w="2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4" w:lineRule="exact" w:before="0" w:after="0"/>
              <w:ind w:left="114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>May 1, 2013</w:t>
            </w:r>
          </w:p>
        </w:tc>
      </w:tr>
      <w:tr>
        <w:trPr>
          <w:trHeight w:hRule="exact" w:val="248"/>
        </w:trPr>
        <w:tc>
          <w:tcPr>
            <w:tcW w:type="dxa" w:w="3437"/>
            <w:vMerge/>
            <w:tcBorders/>
          </w:tcPr>
          <w:p/>
        </w:tc>
        <w:tc>
          <w:tcPr>
            <w:tcW w:type="dxa" w:w="2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4" w:lineRule="exact" w:before="0" w:after="0"/>
              <w:ind w:left="362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>Quota Period:</w:t>
            </w:r>
          </w:p>
        </w:tc>
        <w:tc>
          <w:tcPr>
            <w:tcW w:type="dxa" w:w="22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28" w:after="0"/>
              <w:ind w:left="114" w:right="288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FY 2012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>05/01/12 to 04/30/13</w:t>
            </w:r>
          </w:p>
        </w:tc>
      </w:tr>
      <w:tr>
        <w:trPr>
          <w:trHeight w:hRule="exact" w:val="54"/>
        </w:trPr>
        <w:tc>
          <w:tcPr>
            <w:tcW w:type="dxa" w:w="3437"/>
            <w:vMerge/>
            <w:tcBorders/>
          </w:tcPr>
          <w:p/>
        </w:tc>
        <w:tc>
          <w:tcPr>
            <w:tcW w:type="dxa" w:w="28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4" w:lineRule="exact" w:before="0" w:after="0"/>
              <w:ind w:left="362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 xml:space="preserve">Quota Period Dates: </w:t>
            </w:r>
          </w:p>
        </w:tc>
        <w:tc>
          <w:tcPr>
            <w:tcW w:type="dxa" w:w="3437"/>
            <w:vMerge/>
            <w:tcBorders/>
          </w:tcPr>
          <w:p/>
        </w:tc>
      </w:tr>
      <w:tr>
        <w:trPr>
          <w:trHeight w:hRule="exact" w:val="530"/>
        </w:trPr>
        <w:tc>
          <w:tcPr>
            <w:tcW w:type="dxa" w:w="4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94" w:lineRule="exact" w:before="0" w:after="0"/>
              <w:ind w:left="36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333399"/>
                <w:sz w:val="36"/>
              </w:rPr>
              <w:t>Weekly Report</w:t>
            </w:r>
          </w:p>
        </w:tc>
        <w:tc>
          <w:tcPr>
            <w:tcW w:type="dxa" w:w="3437"/>
            <w:vMerge/>
            <w:tcBorders/>
          </w:tcPr>
          <w:p/>
        </w:tc>
        <w:tc>
          <w:tcPr>
            <w:tcW w:type="dxa" w:w="3437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6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0.0" w:type="dxa"/>
      </w:tblPr>
      <w:tblGrid>
        <w:gridCol w:w="1719"/>
        <w:gridCol w:w="1719"/>
        <w:gridCol w:w="1719"/>
        <w:gridCol w:w="1719"/>
        <w:gridCol w:w="1719"/>
        <w:gridCol w:w="1719"/>
      </w:tblGrid>
      <w:tr>
        <w:trPr>
          <w:trHeight w:hRule="exact" w:val="1292"/>
        </w:trPr>
        <w:tc>
          <w:tcPr>
            <w:tcW w:type="dxa" w:w="1418"/>
            <w:tcBorders>
              <w:start w:sz="7.200000000000017" w:val="single" w:color="#FFFFFF"/>
              <w:top w:sz="7.2000000000000455" w:val="single" w:color="#FFFFFF"/>
              <w:end w:sz="7.2000000000000455" w:val="single" w:color="#FFFFFF"/>
              <w:bottom w:sz="8.0" w:val="single" w:color="#FFFFFF"/>
            </w:tcBorders>
            <w:shd w:fill="3365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6" w:lineRule="exact" w:before="18" w:after="0"/>
              <w:ind w:left="144" w:right="144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0"/>
              </w:rPr>
              <w:t xml:space="preserve">Previously </w:t>
            </w:r>
            <w:r>
              <w:rPr>
                <w:rFonts w:ascii="Arial" w:hAnsi="Arial" w:eastAsia="Arial"/>
                <w:b/>
                <w:i w:val="0"/>
                <w:color w:val="FFFFFF"/>
                <w:sz w:val="20"/>
              </w:rPr>
              <w:t xml:space="preserve">Reported </w:t>
            </w:r>
            <w:r>
              <w:br/>
            </w:r>
            <w:r>
              <w:rPr>
                <w:rFonts w:ascii="Arial" w:hAnsi="Arial" w:eastAsia="Arial"/>
                <w:b/>
                <w:i w:val="0"/>
                <w:color w:val="FFFFFF"/>
                <w:sz w:val="20"/>
              </w:rPr>
              <w:t xml:space="preserve">Landings </w:t>
            </w:r>
            <w:r>
              <w:br/>
            </w:r>
            <w:r>
              <w:rPr>
                <w:rFonts w:ascii="Arial" w:hAnsi="Arial" w:eastAsia="Arial"/>
                <w:b/>
                <w:i w:val="0"/>
                <w:color w:val="FFFFFF"/>
                <w:sz w:val="20"/>
              </w:rPr>
              <w:t xml:space="preserve">(Whole </w:t>
            </w:r>
            <w:r>
              <w:br/>
            </w:r>
            <w:r>
              <w:rPr>
                <w:rFonts w:ascii="Arial" w:hAnsi="Arial" w:eastAsia="Arial"/>
                <w:b/>
                <w:i w:val="0"/>
                <w:color w:val="FFFFFF"/>
                <w:sz w:val="20"/>
              </w:rPr>
              <w:t>Pounds)</w:t>
            </w:r>
          </w:p>
        </w:tc>
        <w:tc>
          <w:tcPr>
            <w:tcW w:type="dxa" w:w="1134"/>
            <w:tcBorders>
              <w:start w:sz="7.2000000000000455" w:val="single" w:color="#FFFFFF"/>
              <w:top w:sz="7.2000000000000455" w:val="single" w:color="#FFFFFF"/>
              <w:end w:sz="8.0" w:val="single" w:color="#FFFFFF"/>
              <w:bottom w:sz="8.0" w:val="single" w:color="#FFFFFF"/>
            </w:tcBorders>
            <w:shd w:fill="3365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6" w:lineRule="exact" w:before="18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0"/>
              </w:rPr>
              <w:t xml:space="preserve">Previous </w:t>
            </w:r>
            <w:r>
              <w:rPr>
                <w:rFonts w:ascii="Arial" w:hAnsi="Arial" w:eastAsia="Arial"/>
                <w:b/>
                <w:i w:val="0"/>
                <w:color w:val="FFFFFF"/>
                <w:sz w:val="20"/>
              </w:rPr>
              <w:t xml:space="preserve">Weeks' </w:t>
            </w:r>
            <w:r>
              <w:br/>
            </w:r>
            <w:r>
              <w:rPr>
                <w:rFonts w:ascii="Arial" w:hAnsi="Arial" w:eastAsia="Arial"/>
                <w:b/>
                <w:i w:val="0"/>
                <w:color w:val="FFFFFF"/>
                <w:sz w:val="20"/>
              </w:rPr>
              <w:t xml:space="preserve">Updates </w:t>
            </w:r>
            <w:r>
              <w:rPr>
                <w:rFonts w:ascii="Arial" w:hAnsi="Arial" w:eastAsia="Arial"/>
                <w:b/>
                <w:i w:val="0"/>
                <w:color w:val="FFFFFF"/>
                <w:sz w:val="20"/>
              </w:rPr>
              <w:t xml:space="preserve">(Whole </w:t>
            </w:r>
            <w:r>
              <w:rPr>
                <w:rFonts w:ascii="Arial" w:hAnsi="Arial" w:eastAsia="Arial"/>
                <w:b/>
                <w:i w:val="0"/>
                <w:color w:val="FFFFFF"/>
                <w:sz w:val="20"/>
              </w:rPr>
              <w:t>Pounds)</w:t>
            </w:r>
          </w:p>
        </w:tc>
        <w:tc>
          <w:tcPr>
            <w:tcW w:type="dxa" w:w="1308"/>
            <w:tcBorders>
              <w:start w:sz="8.0" w:val="single" w:color="#FFFFFF"/>
              <w:top w:sz="7.2000000000000455" w:val="single" w:color="#FFFFFF"/>
              <w:end w:sz="8.0" w:val="single" w:color="#FFFFFF"/>
              <w:bottom w:sz="8.0" w:val="single" w:color="#FFFFFF"/>
            </w:tcBorders>
            <w:shd w:fill="3365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6" w:lineRule="exact" w:before="18" w:after="0"/>
              <w:ind w:left="144" w:right="144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0"/>
              </w:rPr>
              <w:t xml:space="preserve">Current </w:t>
            </w:r>
            <w:r>
              <w:br/>
            </w:r>
            <w:r>
              <w:rPr>
                <w:rFonts w:ascii="Arial" w:hAnsi="Arial" w:eastAsia="Arial"/>
                <w:b/>
                <w:i w:val="0"/>
                <w:color w:val="FFFFFF"/>
                <w:sz w:val="20"/>
              </w:rPr>
              <w:t xml:space="preserve">Week's </w:t>
            </w:r>
            <w:r>
              <w:br/>
            </w:r>
            <w:r>
              <w:rPr>
                <w:rFonts w:ascii="Arial" w:hAnsi="Arial" w:eastAsia="Arial"/>
                <w:b/>
                <w:i w:val="0"/>
                <w:color w:val="FFFFFF"/>
                <w:sz w:val="20"/>
              </w:rPr>
              <w:t xml:space="preserve">Landings </w:t>
            </w:r>
            <w:r>
              <w:rPr>
                <w:rFonts w:ascii="Arial" w:hAnsi="Arial" w:eastAsia="Arial"/>
                <w:b/>
                <w:i w:val="0"/>
                <w:color w:val="FFFFFF"/>
                <w:sz w:val="20"/>
              </w:rPr>
              <w:t xml:space="preserve">(Whole </w:t>
            </w:r>
            <w:r>
              <w:br/>
            </w:r>
            <w:r>
              <w:rPr>
                <w:rFonts w:ascii="Arial" w:hAnsi="Arial" w:eastAsia="Arial"/>
                <w:b/>
                <w:i w:val="0"/>
                <w:color w:val="FFFFFF"/>
                <w:sz w:val="20"/>
              </w:rPr>
              <w:t>Pounds)</w:t>
            </w:r>
          </w:p>
        </w:tc>
        <w:tc>
          <w:tcPr>
            <w:tcW w:type="dxa" w:w="1324"/>
            <w:tcBorders>
              <w:start w:sz="8.0" w:val="single" w:color="#FFFFFF"/>
              <w:top w:sz="7.2000000000000455" w:val="single" w:color="#FFFFFF"/>
              <w:end w:sz="7.200000000000273" w:val="single" w:color="#FFFFFF"/>
              <w:bottom w:sz="8.0" w:val="single" w:color="#FFFFFF"/>
            </w:tcBorders>
            <w:shd w:fill="3365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6" w:lineRule="exact" w:before="18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0"/>
              </w:rPr>
              <w:t xml:space="preserve">Cumulative </w:t>
            </w:r>
            <w:r>
              <w:rPr>
                <w:rFonts w:ascii="Arial" w:hAnsi="Arial" w:eastAsia="Arial"/>
                <w:b/>
                <w:i w:val="0"/>
                <w:color w:val="FFFFFF"/>
                <w:sz w:val="20"/>
              </w:rPr>
              <w:t xml:space="preserve">Landings </w:t>
            </w:r>
            <w:r>
              <w:br/>
            </w:r>
            <w:r>
              <w:rPr>
                <w:rFonts w:ascii="Arial" w:hAnsi="Arial" w:eastAsia="Arial"/>
                <w:b/>
                <w:i w:val="0"/>
                <w:color w:val="FFFFFF"/>
                <w:sz w:val="20"/>
              </w:rPr>
              <w:t xml:space="preserve">(Whole </w:t>
            </w:r>
            <w:r>
              <w:br/>
            </w:r>
            <w:r>
              <w:rPr>
                <w:rFonts w:ascii="Arial" w:hAnsi="Arial" w:eastAsia="Arial"/>
                <w:b/>
                <w:i w:val="0"/>
                <w:color w:val="FFFFFF"/>
                <w:sz w:val="20"/>
              </w:rPr>
              <w:t>Pounds)</w:t>
            </w:r>
          </w:p>
        </w:tc>
        <w:tc>
          <w:tcPr>
            <w:tcW w:type="dxa" w:w="1564"/>
            <w:tcBorders>
              <w:start w:sz="7.200000000000273" w:val="single" w:color="#FFFFFF"/>
              <w:top w:sz="7.2000000000000455" w:val="single" w:color="#FFFFFF"/>
              <w:end w:sz="8.0" w:val="single" w:color="#FFFFFF"/>
              <w:bottom w:sz="8.0" w:val="single" w:color="#FFFFFF"/>
            </w:tcBorders>
            <w:shd w:fill="3365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8" w:lineRule="exact" w:before="16" w:after="0"/>
              <w:ind w:left="288" w:right="288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0"/>
              </w:rPr>
              <w:t xml:space="preserve">Quota </w:t>
            </w:r>
            <w:r>
              <w:br/>
            </w:r>
            <w:r>
              <w:rPr>
                <w:rFonts w:ascii="Arial" w:hAnsi="Arial" w:eastAsia="Arial"/>
                <w:b/>
                <w:i w:val="0"/>
                <w:color w:val="FFFFFF"/>
                <w:sz w:val="20"/>
              </w:rPr>
              <w:t xml:space="preserve">(Whole </w:t>
            </w:r>
            <w:r>
              <w:rPr>
                <w:rFonts w:ascii="Arial" w:hAnsi="Arial" w:eastAsia="Arial"/>
                <w:b/>
                <w:i w:val="0"/>
                <w:color w:val="FFFFFF"/>
                <w:sz w:val="20"/>
              </w:rPr>
              <w:t>Pounds)</w:t>
            </w:r>
          </w:p>
        </w:tc>
        <w:tc>
          <w:tcPr>
            <w:tcW w:type="dxa" w:w="1010"/>
            <w:tcBorders>
              <w:start w:sz="8.0" w:val="single" w:color="#FFFFFF"/>
              <w:bottom w:sz="8.0" w:val="single" w:color="#FFFFFF"/>
            </w:tcBorders>
            <w:shd w:fill="3365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6" w:lineRule="exact" w:before="18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0"/>
              </w:rPr>
              <w:t xml:space="preserve">Percent </w:t>
            </w:r>
            <w:r>
              <w:rPr>
                <w:rFonts w:ascii="Arial" w:hAnsi="Arial" w:eastAsia="Arial"/>
                <w:b/>
                <w:i w:val="0"/>
                <w:color w:val="FFFFFF"/>
                <w:sz w:val="20"/>
              </w:rPr>
              <w:t xml:space="preserve">of </w:t>
            </w:r>
            <w:r>
              <w:br/>
            </w:r>
            <w:r>
              <w:rPr>
                <w:rFonts w:ascii="Arial" w:hAnsi="Arial" w:eastAsia="Arial"/>
                <w:b/>
                <w:i w:val="0"/>
                <w:color w:val="FFFFFF"/>
                <w:sz w:val="20"/>
              </w:rPr>
              <w:t xml:space="preserve">Quota </w:t>
            </w:r>
            <w:r>
              <w:br/>
            </w:r>
            <w:r>
              <w:rPr>
                <w:rFonts w:ascii="Arial" w:hAnsi="Arial" w:eastAsia="Arial"/>
                <w:b/>
                <w:i w:val="0"/>
                <w:color w:val="FFFFFF"/>
                <w:sz w:val="20"/>
              </w:rPr>
              <w:t>(%)</w:t>
            </w:r>
          </w:p>
        </w:tc>
      </w:tr>
      <w:tr>
        <w:trPr>
          <w:trHeight w:hRule="exact" w:val="580"/>
        </w:trPr>
        <w:tc>
          <w:tcPr>
            <w:tcW w:type="dxa" w:w="1418"/>
            <w:tcBorders>
              <w:start w:sz="7.200000000000017" w:val="single" w:color="#FFFFFF"/>
              <w:top w:sz="8.0" w:val="single" w:color="#FFFFFF"/>
              <w:end w:sz="7.2000000000000455" w:val="single" w:color="#FFFFFF"/>
              <w:bottom w:sz="7.2000000000000455" w:val="single" w:color="#FFFFFF"/>
            </w:tcBorders>
            <w:shd w:fill="e0e0e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/>
                <w:color w:val="1F487B"/>
                <w:sz w:val="22"/>
              </w:rPr>
              <w:t>18,711,284</w:t>
            </w:r>
          </w:p>
        </w:tc>
        <w:tc>
          <w:tcPr>
            <w:tcW w:type="dxa" w:w="1134"/>
            <w:tcBorders>
              <w:start w:sz="7.2000000000000455" w:val="single" w:color="#FFFFFF"/>
              <w:top w:sz="8.0" w:val="single" w:color="#FFFFFF"/>
              <w:end w:sz="8.0" w:val="single" w:color="#FFFFFF"/>
              <w:bottom w:sz="7.2000000000000455" w:val="single" w:color="#FFFFFF"/>
            </w:tcBorders>
            <w:shd w:fill="e0e0e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/>
                <w:color w:val="1F487B"/>
                <w:sz w:val="22"/>
              </w:rPr>
              <w:t>23,920</w:t>
            </w:r>
          </w:p>
        </w:tc>
        <w:tc>
          <w:tcPr>
            <w:tcW w:type="dxa" w:w="1308"/>
            <w:tcBorders>
              <w:start w:sz="8.0" w:val="single" w:color="#FFFFFF"/>
              <w:top w:sz="8.0" w:val="single" w:color="#FFFFFF"/>
              <w:end w:sz="8.0" w:val="single" w:color="#FFFFFF"/>
              <w:bottom w:sz="7.2000000000000455" w:val="single" w:color="#FFFFFF"/>
            </w:tcBorders>
            <w:shd w:fill="e0e0e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/>
                <w:color w:val="1F487B"/>
                <w:sz w:val="22"/>
              </w:rPr>
              <w:t>325,710</w:t>
            </w:r>
          </w:p>
        </w:tc>
        <w:tc>
          <w:tcPr>
            <w:tcW w:type="dxa" w:w="1324"/>
            <w:tcBorders>
              <w:start w:sz="8.0" w:val="single" w:color="#FFFFFF"/>
              <w:top w:sz="8.0" w:val="single" w:color="#FFFFFF"/>
              <w:end w:sz="7.200000000000273" w:val="single" w:color="#FFFFFF"/>
              <w:bottom w:sz="7.2000000000000455" w:val="single" w:color="#FFFFFF"/>
            </w:tcBorders>
            <w:shd w:fill="e0e0e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/>
                <w:color w:val="355F92"/>
                <w:sz w:val="22"/>
              </w:rPr>
              <w:t>19,060,914</w:t>
            </w:r>
          </w:p>
        </w:tc>
        <w:tc>
          <w:tcPr>
            <w:tcW w:type="dxa" w:w="1564"/>
            <w:tcBorders>
              <w:start w:sz="7.200000000000273" w:val="single" w:color="#FFFFFF"/>
              <w:top w:sz="8.0" w:val="single" w:color="#FFFFFF"/>
              <w:end w:sz="8.0" w:val="single" w:color="#FFFFFF"/>
              <w:bottom w:sz="7.2000000000000455" w:val="single" w:color="#FFFFFF"/>
            </w:tcBorders>
            <w:shd w:fill="e0e0e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/>
                <w:color w:val="355F92"/>
                <w:sz w:val="22"/>
              </w:rPr>
              <w:t>31,609,884</w:t>
            </w:r>
          </w:p>
        </w:tc>
        <w:tc>
          <w:tcPr>
            <w:tcW w:type="dxa" w:w="1010"/>
            <w:tcBorders>
              <w:start w:sz="8.0" w:val="single" w:color="#FFFFFF"/>
              <w:top w:sz="8.0" w:val="single" w:color="#FFFFFF"/>
              <w:end w:sz="8.0" w:val="single" w:color="#FFFFFF"/>
              <w:bottom w:sz="7.2000000000000455" w:val="single" w:color="#FFFFFF"/>
            </w:tcBorders>
            <w:shd w:fill="e0e0e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/>
                <w:color w:val="355F92"/>
                <w:sz w:val="22"/>
              </w:rPr>
              <w:t>60</w:t>
            </w:r>
          </w:p>
        </w:tc>
      </w:tr>
      <w:tr>
        <w:trPr>
          <w:trHeight w:hRule="exact" w:val="60"/>
        </w:trPr>
        <w:tc>
          <w:tcPr>
            <w:tcW w:type="dxa" w:w="7758"/>
            <w:gridSpan w:val="6"/>
            <w:tcBorders>
              <w:top w:sz="7.2000000000000455" w:val="single" w:color="#FFFFFF"/>
              <w:bottom w:sz="46.40000000000009" w:val="single" w:color="#FFFFF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558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2.000000000000028" w:type="dxa"/>
      </w:tblPr>
      <w:tblGrid>
        <w:gridCol w:w="3437"/>
        <w:gridCol w:w="3437"/>
        <w:gridCol w:w="3437"/>
      </w:tblGrid>
      <w:tr>
        <w:trPr>
          <w:trHeight w:hRule="exact" w:val="1330"/>
        </w:trPr>
        <w:tc>
          <w:tcPr>
            <w:tcW w:type="dxa" w:w="1008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2" w:lineRule="exact" w:before="70" w:after="0"/>
              <w:ind w:left="32" w:right="144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0"/>
              </w:rPr>
              <w:t xml:space="preserve">Notice: Effective September 1, 2012 the skate wing possession limit has increased to 4,100 lb of skate wings (9,307 </w:t>
            </w: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0"/>
              </w:rPr>
              <w:t xml:space="preserve">lb whole weight).  This possession limit increase is only applicable for those fishing on a NE multispecies, scallop, or </w:t>
            </w: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0"/>
              </w:rPr>
              <w:t xml:space="preserve">monkfish Day-At-Sea (DAS).  This possession limit will remain in effect until April 30, 2013 or until 85% of the </w:t>
            </w: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0"/>
              </w:rPr>
              <w:t xml:space="preserve">skate wing quota is harvested.  Vessels fishing on a NE multispecies category B DAS may only possess 220 lb of </w:t>
            </w: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0"/>
              </w:rPr>
              <w:t xml:space="preserve">skate wings (500 lb whole weight) and non-DAS vessels may possess the incidental trip limit of 500 lb of skate </w:t>
            </w:r>
          </w:p>
        </w:tc>
      </w:tr>
      <w:tr>
        <w:trPr>
          <w:trHeight w:hRule="exact" w:val="320"/>
        </w:trPr>
        <w:tc>
          <w:tcPr>
            <w:tcW w:type="dxa" w:w="34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0" w:after="0"/>
              <w:ind w:left="32" w:right="0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0"/>
              </w:rPr>
              <w:t>wings (1,135 lb whole weight).</w:t>
            </w:r>
          </w:p>
        </w:tc>
        <w:tc>
          <w:tcPr>
            <w:tcW w:type="dxa" w:w="66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exact" w:before="220" w:after="0"/>
              <w:ind w:left="472" w:right="144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7F"/>
                <w:sz w:val="18"/>
              </w:rPr>
              <w:t xml:space="preserve">These data are the best available to NOAA Fisheries Service when this report was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7F"/>
                <w:sz w:val="18"/>
              </w:rPr>
              <w:t xml:space="preserve">compiled. Data are supplied to NOAA Fisheries Service by dealers via Dealer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7F"/>
                <w:sz w:val="18"/>
              </w:rPr>
              <w:t xml:space="preserve">Electronic Reporting to the Standard Atlantic Fisheries Information System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7F"/>
                <w:sz w:val="18"/>
              </w:rPr>
              <w:t xml:space="preserve">(SAFIS) and/or by state agencies and may be preliminary. Discrepancies with data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7F"/>
                <w:sz w:val="18"/>
              </w:rPr>
              <w:t xml:space="preserve">from previous Weekly Landings Reports are due to corrections made to the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7F"/>
                <w:sz w:val="18"/>
              </w:rPr>
              <w:t>database.</w:t>
            </w:r>
          </w:p>
        </w:tc>
      </w:tr>
      <w:tr>
        <w:trPr>
          <w:trHeight w:hRule="exact" w:val="1330"/>
        </w:trPr>
        <w:tc>
          <w:tcPr>
            <w:tcW w:type="dxa" w:w="1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82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833119" cy="767079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33119" cy="76707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154" w:after="0"/>
              <w:ind w:left="132" w:right="432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18"/>
              </w:rPr>
              <w:t xml:space="preserve"> National </w:t>
            </w:r>
            <w:r>
              <w:br/>
            </w:r>
            <w:r>
              <w:rPr>
                <w:rFonts w:ascii="Arial" w:hAnsi="Arial" w:eastAsia="Arial"/>
                <w:b/>
                <w:i w:val="0"/>
                <w:color w:val="000000"/>
                <w:sz w:val="18"/>
              </w:rPr>
              <w:t xml:space="preserve"> Oceanic and </w:t>
            </w:r>
            <w:r>
              <w:br/>
            </w:r>
            <w:r>
              <w:rPr>
                <w:rFonts w:ascii="Arial" w:hAnsi="Arial" w:eastAsia="Arial"/>
                <w:b/>
                <w:i w:val="0"/>
                <w:color w:val="000000"/>
                <w:sz w:val="18"/>
              </w:rPr>
              <w:t xml:space="preserve"> Atmospheric</w:t>
            </w:r>
            <w:r>
              <w:br/>
            </w:r>
            <w:r>
              <w:rPr>
                <w:rFonts w:ascii="Arial" w:hAnsi="Arial" w:eastAsia="Arial"/>
                <w:b/>
                <w:i w:val="0"/>
                <w:color w:val="000000"/>
                <w:sz w:val="18"/>
              </w:rPr>
              <w:t xml:space="preserve"> Administration</w:t>
            </w:r>
          </w:p>
        </w:tc>
        <w:tc>
          <w:tcPr>
            <w:tcW w:type="dxa" w:w="3437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274" w:lineRule="exact" w:before="40" w:after="256"/>
        <w:ind w:left="48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</w:rPr>
        <w:t xml:space="preserve"> __________________________________________________________________________________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12.0" w:type="dxa"/>
      </w:tblPr>
      <w:tblGrid>
        <w:gridCol w:w="5156"/>
        <w:gridCol w:w="5156"/>
      </w:tblGrid>
      <w:tr>
        <w:trPr>
          <w:trHeight w:hRule="exact" w:val="2674"/>
        </w:trPr>
        <w:tc>
          <w:tcPr>
            <w:tcW w:type="dxa" w:w="940"/>
            <w:tcBorders/>
            <w:tcMar>
              <w:start w:w="0" w:type="dxa"/>
              <w:end w:w="0" w:type="dxa"/>
            </w:tcMar>
            <w:textDirection w:val="btLr"/>
          </w:tcPr>
          <w:p>
            <w:pPr>
              <w:autoSpaceDN w:val="0"/>
              <w:autoSpaceDE w:val="0"/>
              <w:widowControl/>
              <w:spacing w:line="220" w:lineRule="exact" w:before="542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>Cumulative Landings (Pounds)</w:t>
            </w:r>
          </w:p>
        </w:tc>
        <w:tc>
          <w:tcPr>
            <w:tcW w:type="dxa" w:w="7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150" w:after="0"/>
              <w:ind w:left="200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>15,000,000</w:t>
            </w:r>
          </w:p>
          <w:p>
            <w:pPr>
              <w:autoSpaceDN w:val="0"/>
              <w:autoSpaceDE w:val="0"/>
              <w:widowControl/>
              <w:spacing w:line="222" w:lineRule="exact" w:before="130" w:after="0"/>
              <w:ind w:left="200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>10,000,000</w:t>
            </w:r>
          </w:p>
          <w:p>
            <w:pPr>
              <w:autoSpaceDN w:val="0"/>
              <w:autoSpaceDE w:val="0"/>
              <w:widowControl/>
              <w:spacing w:line="222" w:lineRule="exact" w:before="128" w:after="0"/>
              <w:ind w:left="290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>5,000,000</w:t>
            </w:r>
          </w:p>
          <w:p>
            <w:pPr>
              <w:autoSpaceDN w:val="0"/>
              <w:autoSpaceDE w:val="0"/>
              <w:widowControl/>
              <w:spacing w:line="240" w:lineRule="auto" w:before="0" w:after="0"/>
              <w:ind w:left="912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>0</w:t>
            </w:r>
            <w:r>
              <w:drawing>
                <wp:inline xmlns:a="http://schemas.openxmlformats.org/drawingml/2006/main" xmlns:pic="http://schemas.openxmlformats.org/drawingml/2006/picture">
                  <wp:extent cx="3530600" cy="147320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30600" cy="14732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autoSpaceDN w:val="0"/>
              <w:autoSpaceDE w:val="0"/>
              <w:widowControl/>
              <w:spacing w:line="222" w:lineRule="exact" w:before="0" w:after="0"/>
              <w:ind w:left="200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>30,000,000</w:t>
            </w:r>
          </w:p>
          <w:p>
            <w:pPr>
              <w:autoSpaceDN w:val="0"/>
              <w:autoSpaceDE w:val="0"/>
              <w:widowControl/>
              <w:spacing w:line="222" w:lineRule="exact" w:before="128" w:after="0"/>
              <w:ind w:left="200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>25,000,000</w:t>
            </w:r>
          </w:p>
          <w:p>
            <w:pPr>
              <w:autoSpaceDN w:val="0"/>
              <w:autoSpaceDE w:val="0"/>
              <w:widowControl/>
              <w:spacing w:line="222" w:lineRule="exact" w:before="128" w:after="0"/>
              <w:ind w:left="200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>20,000,000</w:t>
            </w:r>
          </w:p>
          <w:p>
            <w:pPr>
              <w:autoSpaceDN w:val="0"/>
              <w:tabs>
                <w:tab w:pos="1752" w:val="left"/>
                <w:tab w:pos="2682" w:val="left"/>
                <w:tab w:pos="3556" w:val="left"/>
                <w:tab w:pos="4516" w:val="left"/>
                <w:tab w:pos="5404" w:val="left"/>
              </w:tabs>
              <w:autoSpaceDE w:val="0"/>
              <w:widowControl/>
              <w:spacing w:line="222" w:lineRule="exact" w:before="1374" w:after="0"/>
              <w:ind w:left="834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5/1/2012 </w:t>
            </w:r>
            <w:r>
              <w:tab/>
            </w: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7/1/2012 </w:t>
            </w:r>
            <w:r>
              <w:tab/>
            </w: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9/1/2012 </w:t>
            </w:r>
            <w:r>
              <w:tab/>
            </w: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11/1/2012 </w:t>
            </w:r>
            <w:r>
              <w:tab/>
            </w: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1/1/2013 </w:t>
            </w:r>
            <w:r>
              <w:tab/>
            </w: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>3/1/2013</w:t>
            </w:r>
          </w:p>
        </w:tc>
      </w:tr>
    </w:tbl>
    <w:p>
      <w:pPr>
        <w:autoSpaceDN w:val="0"/>
        <w:autoSpaceDE w:val="0"/>
        <w:widowControl/>
        <w:spacing w:line="288" w:lineRule="exact" w:before="84" w:after="0"/>
        <w:ind w:left="3616" w:right="3600" w:firstLine="1564"/>
        <w:jc w:val="left"/>
      </w:pPr>
      <w:r>
        <w:rPr>
          <w:rFonts w:ascii="Arial" w:hAnsi="Arial" w:eastAsia="Arial"/>
          <w:b/>
          <w:i w:val="0"/>
          <w:color w:val="000000"/>
          <w:sz w:val="16"/>
        </w:rPr>
        <w:t xml:space="preserve">Date </w:t>
      </w:r>
      <w:r>
        <w:br/>
      </w:r>
      <w:r>
        <w:rPr>
          <w:rFonts w:ascii="Arial" w:hAnsi="Arial" w:eastAsia="Arial"/>
          <w:b/>
          <w:i w:val="0"/>
          <w:color w:val="000000"/>
          <w:sz w:val="14"/>
        </w:rPr>
        <w:t xml:space="preserve">85% Quota </w:t>
      </w:r>
      <w:r>
        <w:br/>
      </w:r>
      <w:r>
        <w:rPr>
          <w:rFonts w:ascii="Arial" w:hAnsi="Arial" w:eastAsia="Arial"/>
          <w:b/>
          <w:i w:val="0"/>
          <w:color w:val="000000"/>
          <w:sz w:val="14"/>
        </w:rPr>
        <w:t xml:space="preserve">Quota </w:t>
      </w:r>
      <w:r>
        <w:br/>
      </w:r>
      <w:r>
        <w:rPr>
          <w:rFonts w:ascii="Arial" w:hAnsi="Arial" w:eastAsia="Arial"/>
          <w:b/>
          <w:i w:val="0"/>
          <w:color w:val="000000"/>
          <w:sz w:val="14"/>
        </w:rPr>
        <w:t xml:space="preserve">Prior Year's Landings (whole wt. in pounds) </w:t>
      </w:r>
      <w:r>
        <w:br/>
      </w:r>
      <w:r>
        <w:rPr>
          <w:rFonts w:ascii="Arial" w:hAnsi="Arial" w:eastAsia="Arial"/>
          <w:b/>
          <w:i w:val="0"/>
          <w:color w:val="000000"/>
          <w:sz w:val="14"/>
        </w:rPr>
        <w:t xml:space="preserve">Quota Rationing Trajectory </w:t>
      </w:r>
      <w:r>
        <w:br/>
      </w:r>
      <w:r>
        <w:rPr>
          <w:rFonts w:ascii="Arial" w:hAnsi="Arial" w:eastAsia="Arial"/>
          <w:b/>
          <w:i w:val="0"/>
          <w:color w:val="000000"/>
          <w:sz w:val="14"/>
        </w:rPr>
        <w:t>Current Year's Landings (whole wt. in pounds)</w:t>
      </w:r>
    </w:p>
    <w:sectPr w:rsidR="00FC693F" w:rsidRPr="0006063C" w:rsidSect="00034616">
      <w:pgSz w:w="12240" w:h="15840"/>
      <w:pgMar w:top="466" w:right="1440" w:bottom="1344" w:left="488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