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-13970</wp:posOffset>
            </wp:positionV>
            <wp:extent cx="4359909" cy="222769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909" cy="22276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0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6" w:after="0"/>
        <w:ind w:left="14" w:right="0" w:firstLine="0"/>
        <w:jc w:val="left"/>
      </w:pPr>
      <w:r>
        <w:rPr>
          <w:rFonts w:ascii="BrandonGrotesque" w:hAnsi="BrandonGrotesque" w:eastAsia="BrandonGrotesque"/>
          <w:b/>
          <w:i w:val="0"/>
          <w:color w:val="4EB085"/>
          <w:sz w:val="28"/>
        </w:rPr>
        <w:t>CENTRO PARA LOS DATOS HUMANITARIOS</w:t>
      </w:r>
    </w:p>
    <w:p>
      <w:pPr>
        <w:autoSpaceDN w:val="0"/>
        <w:autoSpaceDE w:val="0"/>
        <w:widowControl/>
        <w:spacing w:line="240" w:lineRule="auto" w:before="458" w:after="0"/>
        <w:ind w:left="0" w:right="0" w:firstLine="0"/>
        <w:jc w:val="left"/>
      </w:pPr>
      <w:r>
        <w:rPr>
          <w:rFonts w:ascii="OpenSans" w:hAnsi="OpenSans" w:eastAsia="OpenSans"/>
          <w:b/>
          <w:i w:val="0"/>
          <w:color w:val="4EB085"/>
          <w:sz w:val="24"/>
        </w:rPr>
        <w:t xml:space="preserve">SERIE DE NOTAS DE ORIENTACIÓN 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left"/>
      </w:pPr>
      <w:r>
        <w:rPr>
          <w:rFonts w:ascii="OpenSans" w:hAnsi="OpenSans" w:eastAsia="OpenSans"/>
          <w:b/>
          <w:i w:val="0"/>
          <w:color w:val="4EB085"/>
          <w:sz w:val="24"/>
        </w:rPr>
        <w:t>RESPONSABILIDAD DE LOS DATOS EN LA ACCIÓN HUMANITARIA</w:t>
      </w:r>
    </w:p>
    <w:p>
      <w:pPr>
        <w:autoSpaceDN w:val="0"/>
        <w:autoSpaceDE w:val="0"/>
        <w:widowControl/>
        <w:spacing w:line="245" w:lineRule="auto" w:before="124" w:after="330"/>
        <w:ind w:left="0" w:right="432" w:firstLine="0"/>
        <w:jc w:val="left"/>
      </w:pPr>
      <w:r>
        <w:rPr>
          <w:rFonts w:ascii="OpenSans" w:hAnsi="OpenSans" w:eastAsia="OpenSans"/>
          <w:b/>
          <w:i w:val="0"/>
          <w:color w:val="4EB085"/>
          <w:sz w:val="38"/>
        </w:rPr>
        <w:t xml:space="preserve">INTERCAMBIO RESPONSABLE DE DATOS CON </w:t>
      </w:r>
      <w:r>
        <w:rPr>
          <w:rFonts w:ascii="OpenSans" w:hAnsi="OpenSans" w:eastAsia="OpenSans"/>
          <w:b/>
          <w:i w:val="0"/>
          <w:color w:val="4EB085"/>
          <w:sz w:val="38"/>
        </w:rPr>
        <w:t>LOS DONANTES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940"/>
      </w:tblGrid>
      <w:tr>
        <w:trPr>
          <w:trHeight w:hRule="exact" w:val="558"/>
        </w:trPr>
        <w:tc>
          <w:tcPr>
            <w:tcW w:type="dxa" w:w="9746"/>
            <w:tcBorders/>
            <w:shd w:fill="e0f1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8" w:right="0" w:firstLine="0"/>
              <w:jc w:val="left"/>
            </w:pPr>
            <w:r>
              <w:rPr>
                <w:rFonts w:ascii="OpenSans" w:hAnsi="OpenSans" w:eastAsia="OpenSans"/>
                <w:b/>
                <w:i w:val="0"/>
                <w:color w:val="4DB184"/>
                <w:sz w:val="22"/>
              </w:rPr>
              <w:t>CONCLUSIONES FUNDAMENTALES: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9940"/>
      </w:tblGrid>
      <w:tr>
        <w:trPr>
          <w:trHeight w:hRule="exact" w:val="926"/>
        </w:trPr>
        <w:tc>
          <w:tcPr>
            <w:tcW w:type="dxa" w:w="9480"/>
            <w:tcBorders/>
            <w:shd w:fill="e0f1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446" w:right="144" w:hanging="226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• Compartir datos confidenciales personales y no personales sin las garantías adecuadas puede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exacerbar los riesgos para las personas afectadas por la crisis, las organizaciones humanitarias y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>los donantes.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9940"/>
      </w:tblGrid>
      <w:tr>
        <w:trPr>
          <w:trHeight w:hRule="exact" w:val="882"/>
        </w:trPr>
        <w:tc>
          <w:tcPr>
            <w:tcW w:type="dxa" w:w="9540"/>
            <w:tcBorders/>
            <w:shd w:fill="e0f1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8" w:after="0"/>
              <w:ind w:left="144" w:right="144" w:firstLine="0"/>
              <w:jc w:val="center"/>
            </w:pP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• Los donantes solicitan periódicamente datos a las organizaciones que financian para cumplir con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sus obligaciones y objetivos. Algunas de estas solicitudes se relacionan con información y datos </w:t>
            </w:r>
          </w:p>
          <w:p>
            <w:pPr>
              <w:autoSpaceDN w:val="0"/>
              <w:autoSpaceDE w:val="0"/>
              <w:widowControl/>
              <w:spacing w:line="278" w:lineRule="exact" w:before="0" w:after="0"/>
              <w:ind w:left="446" w:right="0" w:firstLine="0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>sensibles que deben protegerse para mitigar el riesgo.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9940"/>
      </w:tblGrid>
      <w:tr>
        <w:trPr>
          <w:trHeight w:hRule="exact" w:val="926"/>
        </w:trPr>
        <w:tc>
          <w:tcPr>
            <w:tcW w:type="dxa" w:w="9480"/>
            <w:tcBorders/>
            <w:shd w:fill="e0f1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446" w:right="144" w:hanging="226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• Los objetivos comunes para el intercambio de datos con los donantes incluyen: (i) conocimiento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de la situación y diseño de programas; (ii) rendición de cuentas y transparencia; y (iii) requisitos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>legales, regulatorios y de políticas.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9940"/>
      </w:tblGrid>
      <w:tr>
        <w:trPr>
          <w:trHeight w:hRule="exact" w:val="926"/>
        </w:trPr>
        <w:tc>
          <w:tcPr>
            <w:tcW w:type="dxa" w:w="9480"/>
            <w:tcBorders/>
            <w:shd w:fill="e0f1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446" w:right="144" w:hanging="226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• Las limitaciones comunes relacionadas con el intercambio de datos con los donantes incluyen: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(i) la falta de un marco regulatorio para la gestión responsable de datos sensibles no personales;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>(ii) brechas de capacidad; y (iii) limitación del propósito.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9940"/>
      </w:tblGrid>
      <w:tr>
        <w:trPr>
          <w:trHeight w:hRule="exact" w:val="1718"/>
        </w:trPr>
        <w:tc>
          <w:tcPr>
            <w:tcW w:type="dxa" w:w="9580"/>
            <w:tcBorders/>
            <w:shd w:fill="e0f1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446" w:right="0" w:hanging="226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• Los donantes y las organizaciones humanitarias pueden tomar las siguientes medidas para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minimizar los riesgos mientras maximizan los beneficios al compartir datos sensibles: (i) revisar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y aclarar los marcos formales o informales que rigen la recopilación y el intercambio de datos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desglosados; (ii) formalizar y estandarizar las solicitudes de datos sensibles; (iii) invertir en la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 xml:space="preserve">capacidad de gestión de datos del personal y las organizaciones; y (iv) adoptar principios comunes </w:t>
            </w:r>
            <w:r>
              <w:rPr>
                <w:rFonts w:ascii="SourceSansPro" w:hAnsi="SourceSansPro" w:eastAsia="SourceSansPro"/>
                <w:b w:val="0"/>
                <w:i w:val="0"/>
                <w:color w:val="000000"/>
                <w:sz w:val="22"/>
              </w:rPr>
              <w:t>para la gestión de datos de donantes.</w:t>
            </w:r>
          </w:p>
        </w:tc>
      </w:tr>
    </w:tbl>
    <w:p>
      <w:pPr>
        <w:autoSpaceDN w:val="0"/>
        <w:autoSpaceDE w:val="0"/>
        <w:widowControl/>
        <w:spacing w:line="240" w:lineRule="auto" w:before="474" w:after="0"/>
        <w:ind w:left="6" w:right="0" w:firstLine="0"/>
        <w:jc w:val="left"/>
      </w:pPr>
      <w:r>
        <w:rPr>
          <w:rFonts w:ascii="OpenSans" w:hAnsi="OpenSans" w:eastAsia="OpenSans"/>
          <w:b/>
          <w:i w:val="0"/>
          <w:color w:val="4DB184"/>
          <w:sz w:val="22"/>
        </w:rPr>
        <w:t>INTRODUCCIÓN</w:t>
      </w:r>
    </w:p>
    <w:p>
      <w:pPr>
        <w:autoSpaceDN w:val="0"/>
        <w:autoSpaceDE w:val="0"/>
        <w:widowControl/>
        <w:spacing w:line="264" w:lineRule="exact" w:before="208" w:after="0"/>
        <w:ind w:left="4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donantes tienen un papel importante en el ecosistema de datos humanitarios, como impulsores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una mayor recopilación y análisis de datos, y como usuarios directos de los datos. Esto no es un fenómeno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nuevo, la necesaria rendición de cuentas y transparencia en el uso de la financiación de los donantes es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ampliamente comprendida y respetada. Sin embargo, en los últimos años, los donantes han comenzado 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solicitar datos que pueden ser sensibles. Esto incluye datos personales sobre beneficiarios y diversas formas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datos desglosados, como los resultados de encuestas a nivel de hogares y datos sobre la prestación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asistencia desglosados por dimensiones demográficas y/o dimensiones de grupo (por ejemplo, etnia, grupo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de protección, etc.).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1</w:t>
      </w:r>
    </w:p>
    <w:p>
      <w:pPr>
        <w:autoSpaceDN w:val="0"/>
        <w:autoSpaceDE w:val="0"/>
        <w:widowControl/>
        <w:spacing w:line="264" w:lineRule="exact" w:before="264" w:after="0"/>
        <w:ind w:left="2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Las preocupaciones en torno a las solicitudes de dichos datos han llevado a los donantes y las </w:t>
      </w:r>
      <w:r>
        <w:br/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organizaciones humanitarias a poner más énfasis en identificar estrategias para la responsabilidad de la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gestión de datos: la gestión segura, ética y efectiva de los datos. La responsabilidad de la gestión de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datos requiere que los donantes y las organizaciones humanitarias tomen acciones que ayuden a minimizar</w:t>
      </w:r>
    </w:p>
    <w:p>
      <w:pPr>
        <w:autoSpaceDN w:val="0"/>
        <w:autoSpaceDE w:val="0"/>
        <w:widowControl/>
        <w:spacing w:line="235" w:lineRule="auto" w:before="364" w:after="0"/>
        <w:ind w:left="12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 xml:space="preserve">1     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Because there are well-established and accepted standards and mechanisms for sharing financial information with donors, including a role for external </w:t>
      </w:r>
    </w:p>
    <w:p>
      <w:pPr>
        <w:autoSpaceDN w:val="0"/>
        <w:autoSpaceDE w:val="0"/>
        <w:widowControl/>
        <w:spacing w:line="228" w:lineRule="auto" w:before="30" w:after="220"/>
        <w:ind w:left="9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t xml:space="preserve"> audits, requests for financial data are not included in this guidance note. This guidance note deals with sensitive personal and non-personal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313"/>
        <w:gridCol w:w="3313"/>
        <w:gridCol w:w="3313"/>
      </w:tblGrid>
      <w:tr>
        <w:trPr>
          <w:trHeight w:hRule="exact" w:val="288"/>
        </w:trPr>
        <w:tc>
          <w:tcPr>
            <w:tcW w:type="dxa" w:w="3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878787"/>
                <w:sz w:val="16"/>
              </w:rPr>
              <w:t xml:space="preserve">CENTRO PARA LOS DATOS HUMANITARIOS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752" w:right="0" w:firstLine="0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878787"/>
                <w:sz w:val="16"/>
              </w:rPr>
              <w:t>DICIEMBRE 2020</w:t>
            </w:r>
          </w:p>
        </w:tc>
        <w:tc>
          <w:tcPr>
            <w:tcW w:type="dxa" w:w="2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right"/>
            </w:pPr>
            <w:r>
              <w:rPr>
                <w:rFonts w:ascii="OpenSans" w:hAnsi="OpenSans" w:eastAsia="OpenSans"/>
                <w:b w:val="0"/>
                <w:i w:val="0"/>
                <w:color w:val="878787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00" w:right="900" w:bottom="396" w:left="10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64" w:lineRule="exact" w:before="14" w:after="0"/>
        <w:ind w:left="0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riesgos mientras maximizan los beneficios que se pueden obtener de los datos. Esto es particularmente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desafiante en los casos en que los donantes solicitan datos sensibles. Por ejemplo, la proyección de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beneficiarios de la ayuda, que a menudo se utiliza para justificar las solicitudes de datos personales, no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solo es difícil de implementar en la práctica, sino que también es muy problemático en términos de ayuda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basada en principios.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2</w:t>
      </w:r>
    </w:p>
    <w:p>
      <w:pPr>
        <w:autoSpaceDN w:val="0"/>
        <w:autoSpaceDE w:val="0"/>
        <w:widowControl/>
        <w:spacing w:line="256" w:lineRule="exact" w:before="228" w:after="0"/>
        <w:ind w:left="0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Adicionalmente, compartir datos aparentemente inofensivos, como los resultados de encuestas conjuntas,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puede poner en mayor riesgo a personas y comunidades que ya son vulnerables. Lo que inicialmente se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puede considerar datos no personales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3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puede permitir la reidentificación de personas, comunidades y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grupos demográficos. La reidentificación se produce cuando los datos se pueden rastrear o vincular a una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persona o grupos de personas porque no están adecuadamente anonimizados. Esto puede resultar en una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violación de la protección de datos, la privacidad y otros derechos humanos y puede dar lugar a ataques 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individuos o grupos con violencia u otras formas de daño.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Muchos donantes y actores humanitarios reconocen los riesgos y beneficios asociados con el intercambio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datos muy sensibles, pero el sector aún tiene que establecer un entendimiento común sobre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cómo equilibrar estos riesgos y beneficios de manera efectiva. Esfuerzos recientes para abordar este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problema han llevado a una mayor claridad sobre estas prácticas actuales, así como sobre los objetivos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y las limitaciones del intercambio de datos. En septiembre de 2020, el Gobierno de Suiza, el Comité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Internacional de la Cruz Roja (CICR) y el Centro de Datos Humanitarios de la Oficina de Coordinación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Asuntos Humanitarios de las Naciones Unidas (UNOCHA) (el Centro) organizaron un diálogo virtual en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Wilton Park para ayudar a construir entendimiento común sobre este tema.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Esta nota de orientación sintetiza los resultados de este diálogo y una investigación documental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relacionada. Describe los desafíos en torno al intercambio de datos confidenciales con los donantes y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ofrece recomendaciones iniciales sobre cómo los donantes y las organizaciones humanitarias pueden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navegar de manera más efectiva en esta área.</w:t>
      </w:r>
    </w:p>
    <w:p>
      <w:pPr>
        <w:autoSpaceDN w:val="0"/>
        <w:autoSpaceDE w:val="0"/>
        <w:widowControl/>
        <w:spacing w:line="238" w:lineRule="auto" w:before="370" w:after="0"/>
        <w:ind w:left="0" w:right="0" w:firstLine="0"/>
        <w:jc w:val="left"/>
      </w:pPr>
      <w:r>
        <w:rPr>
          <w:rFonts w:ascii="OpenSans" w:hAnsi="OpenSans" w:eastAsia="OpenSans"/>
          <w:b/>
          <w:i w:val="0"/>
          <w:color w:val="4DB184"/>
          <w:sz w:val="22"/>
        </w:rPr>
        <w:t>SOLICITUDES DE DATOS POR DONANTES</w:t>
      </w:r>
    </w:p>
    <w:p>
      <w:pPr>
        <w:autoSpaceDN w:val="0"/>
        <w:autoSpaceDE w:val="0"/>
        <w:widowControl/>
        <w:spacing w:line="264" w:lineRule="exact" w:before="208" w:after="0"/>
        <w:ind w:left="0" w:right="576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donantes solicitan periódicamente datos a sus socios para cumplir con diferentes obligaciones y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objetivos. Estas solicitudes pueden ser formales o informales. </w:t>
      </w:r>
    </w:p>
    <w:p>
      <w:pPr>
        <w:autoSpaceDN w:val="0"/>
        <w:autoSpaceDE w:val="0"/>
        <w:widowControl/>
        <w:spacing w:line="262" w:lineRule="exact" w:before="228" w:after="0"/>
        <w:ind w:left="452" w:right="288" w:hanging="226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• Las </w:t>
      </w:r>
      <w:r>
        <w:rPr>
          <w:rFonts w:ascii="SourceSansPro" w:hAnsi="SourceSansPro" w:eastAsia="SourceSansPro"/>
          <w:b/>
          <w:i w:val="0"/>
          <w:color w:val="000000"/>
          <w:sz w:val="22"/>
        </w:rPr>
        <w:t xml:space="preserve">solicitudes formales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tienden a incluirse en los acuerdos de subvención en relación con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criterios de presentación de informes y, por lo general, se basan en requisitos legales como el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cumplimiento de las leyes antiterroristas. Tales solicitudes tienden a negociarse al comienzo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una asociación o acuerdo de subvención, y generalmente se hacen por escrito y se programan con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anticipación.</w:t>
      </w:r>
    </w:p>
    <w:p>
      <w:pPr>
        <w:autoSpaceDN w:val="0"/>
        <w:autoSpaceDE w:val="0"/>
        <w:widowControl/>
        <w:spacing w:line="262" w:lineRule="exact" w:before="228" w:after="0"/>
        <w:ind w:left="454" w:right="288" w:hanging="228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• Las </w:t>
      </w:r>
      <w:r>
        <w:rPr>
          <w:rFonts w:ascii="SourceSansPro" w:hAnsi="SourceSansPro" w:eastAsia="SourceSansPro"/>
          <w:b/>
          <w:i w:val="0"/>
          <w:color w:val="000000"/>
          <w:sz w:val="22"/>
        </w:rPr>
        <w:t>solicitudes informales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se refieren a información o datos que normalmente quedan fuera del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alcance normal de los informes. Estas solicitudes ad-hoc a menudo tienen un valor implícito, lo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que significa que, si bien no se requieren formalmente, la entrega de estos datos complementarios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se considera beneficiosa para el compromiso continuo de una organización y su asociación con un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donante. Estas solicitudes representan un dilema mayor para los actores humanitarios. </w:t>
      </w:r>
    </w:p>
    <w:p>
      <w:pPr>
        <w:autoSpaceDN w:val="0"/>
        <w:autoSpaceDE w:val="0"/>
        <w:widowControl/>
        <w:spacing w:line="235" w:lineRule="auto" w:before="936" w:after="0"/>
        <w:ind w:left="0" w:right="0" w:firstLine="0"/>
        <w:jc w:val="center"/>
      </w:pPr>
      <w:r>
        <w:rPr>
          <w:rFonts w:ascii="Stag" w:hAnsi="Stag" w:eastAsia="Stag"/>
          <w:b w:val="0"/>
          <w:i w:val="0"/>
          <w:color w:val="1BB580"/>
          <w:sz w:val="9"/>
        </w:rPr>
        <w:t xml:space="preserve">2    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Roepstorff, K., Faltas, C. y Hövelmann, S., 2020.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1" w:history="1">
          <w:r>
            <w:rPr>
              <w:rStyle w:val="Hyperlink"/>
            </w:rPr>
            <w:t xml:space="preserve">Medidas antiterroristas y regímenes de sanciones: reducción del espacio para las organizaciones de </w:t>
          </w:r>
        </w:hyperlink>
      </w:r>
    </w:p>
    <w:p>
      <w:pPr>
        <w:autoSpaceDN w:val="0"/>
        <w:autoSpaceDE w:val="0"/>
        <w:widowControl/>
        <w:spacing w:line="228" w:lineRule="auto" w:before="36" w:after="0"/>
        <w:ind w:left="96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11" w:history="1">
          <w:r>
            <w:rPr>
              <w:rStyle w:val="Hyperlink"/>
            </w:rPr>
            <w:t xml:space="preserve"> ayuda humanitaria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.</w:t>
      </w:r>
    </w:p>
    <w:p>
      <w:pPr>
        <w:autoSpaceDN w:val="0"/>
        <w:autoSpaceDE w:val="0"/>
        <w:widowControl/>
        <w:spacing w:line="235" w:lineRule="auto" w:before="86" w:after="0"/>
        <w:ind w:left="0" w:right="0" w:firstLine="0"/>
        <w:jc w:val="center"/>
      </w:pPr>
      <w:r>
        <w:rPr>
          <w:rFonts w:ascii="Stag" w:hAnsi="Stag" w:eastAsia="Stag"/>
          <w:b w:val="0"/>
          <w:i w:val="0"/>
          <w:color w:val="1BB580"/>
          <w:sz w:val="9"/>
        </w:rPr>
        <w:t>3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 Los datos no personales se definen como datos que inicialmente eran datos personales, pero luego se volvieron anónimos, como los datos sobre </w:t>
      </w:r>
    </w:p>
    <w:p>
      <w:pPr>
        <w:autoSpaceDN w:val="0"/>
        <w:autoSpaceDE w:val="0"/>
        <w:widowControl/>
        <w:spacing w:line="228" w:lineRule="auto" w:before="30" w:after="0"/>
        <w:ind w:left="9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t xml:space="preserve"> las personas afectadas por la situación humanitaria y sus necesidades, las amenazas y vulnerabilidades a las que se enfrentan y sus </w:t>
      </w:r>
    </w:p>
    <w:p>
      <w:pPr>
        <w:autoSpaceDN w:val="0"/>
        <w:autoSpaceDE w:val="0"/>
        <w:widowControl/>
        <w:spacing w:line="228" w:lineRule="auto" w:before="30" w:after="0"/>
        <w:ind w:left="9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t xml:space="preserve"> capacidades (adaptado del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2" w:history="1">
          <w:r>
            <w:rPr>
              <w:rStyle w:val="Hyperlink"/>
            </w:rPr>
            <w:t>Reglamento (UE) 2018/1807 del Parlamento Europeo y del Consejo de 14 de noviembre de 2018 sobre un marco para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</w:t>
      </w:r>
    </w:p>
    <w:p>
      <w:pPr>
        <w:autoSpaceDN w:val="0"/>
        <w:autoSpaceDE w:val="0"/>
        <w:widowControl/>
        <w:spacing w:line="228" w:lineRule="auto" w:before="30" w:after="0"/>
        <w:ind w:left="100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12" w:history="1">
          <w:r>
            <w:rPr>
              <w:rStyle w:val="Hyperlink"/>
            </w:rPr>
            <w:t xml:space="preserve"> el libre flujo de datos no personales en la Unión Europea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).</w:t>
      </w:r>
    </w:p>
    <w:p>
      <w:pPr>
        <w:autoSpaceDN w:val="0"/>
        <w:autoSpaceDE w:val="0"/>
        <w:widowControl/>
        <w:spacing w:line="235" w:lineRule="auto" w:before="86" w:after="0"/>
        <w:ind w:left="20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4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 Consulte el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3" w:history="1">
          <w:r>
            <w:rPr>
              <w:rStyle w:val="Hyperlink"/>
            </w:rPr>
            <w:t>Borrador de trabajo de las Directrices de OCHA sobre responsabilidad de datos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y el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4" w:history="1">
          <w:r>
            <w:rPr>
              <w:rStyle w:val="Hyperlink"/>
            </w:rPr>
            <w:t xml:space="preserve">Manual del CICR sobre protección de datos en </w:t>
          </w:r>
        </w:hyperlink>
      </w:r>
    </w:p>
    <w:p>
      <w:pPr>
        <w:autoSpaceDN w:val="0"/>
        <w:autoSpaceDE w:val="0"/>
        <w:widowControl/>
        <w:spacing w:line="228" w:lineRule="auto" w:before="30" w:after="0"/>
        <w:ind w:left="100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14" w:history="1">
          <w:r>
            <w:rPr>
              <w:rStyle w:val="Hyperlink"/>
            </w:rPr>
            <w:t xml:space="preserve"> la acción humanitaria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.</w:t>
      </w:r>
    </w:p>
    <w:p>
      <w:pPr>
        <w:autoSpaceDN w:val="0"/>
        <w:autoSpaceDE w:val="0"/>
        <w:widowControl/>
        <w:spacing w:line="235" w:lineRule="auto" w:before="86" w:after="0"/>
        <w:ind w:left="20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5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 Lea más sobre el diálogo virtual en este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5" w:history="1">
          <w:r>
            <w:rPr>
              <w:rStyle w:val="Hyperlink"/>
            </w:rPr>
            <w:t>Informe de Wilton Park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.</w:t>
      </w:r>
    </w:p>
    <w:p>
      <w:pPr>
        <w:autoSpaceDN w:val="0"/>
        <w:autoSpaceDE w:val="0"/>
        <w:widowControl/>
        <w:spacing w:line="235" w:lineRule="auto" w:before="86" w:after="0"/>
        <w:ind w:left="20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6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Willits-King, B. and Spencer, A., 2020.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6" w:history="1">
          <w:r>
            <w:rPr>
              <w:rStyle w:val="Hyperlink"/>
            </w:rPr>
            <w:t xml:space="preserve">Intercambio responsable de datos con donantes: responsabilidad, transparencia y protección de datos en la </w:t>
          </w:r>
        </w:hyperlink>
      </w:r>
    </w:p>
    <w:p>
      <w:pPr>
        <w:autoSpaceDN w:val="0"/>
        <w:autoSpaceDE w:val="0"/>
        <w:widowControl/>
        <w:spacing w:line="228" w:lineRule="auto" w:before="30" w:after="0"/>
        <w:ind w:left="120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16" w:history="1">
          <w:r>
            <w:rPr>
              <w:rStyle w:val="Hyperlink"/>
            </w:rPr>
            <w:t xml:space="preserve"> acción humanitaria basada en principios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.</w:t>
      </w:r>
    </w:p>
    <w:p>
      <w:pPr>
        <w:sectPr>
          <w:pgSz w:w="11906" w:h="16838"/>
          <w:pgMar w:top="452" w:right="1034" w:bottom="552" w:left="10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64" w:lineRule="exact" w:before="12" w:after="0"/>
        <w:ind w:left="8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>Pocos donantes cuentan con políticas o directrices formales para compartir datos.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7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También hay una falta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comprensión compartida de la terminología y de los objetivos y riesgos relacionados con el intercambio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datos. Existen diferentes definiciones y comprensión de los riesgos relacionados con los datos, lo que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lleva a prácticas inconsistentes y, a veces, contradictorias sobre el intercambio de datos potencialmente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sensibles con los donantes en un contexto particular.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8</w:t>
      </w:r>
    </w:p>
    <w:p>
      <w:pPr>
        <w:autoSpaceDN w:val="0"/>
        <w:autoSpaceDE w:val="0"/>
        <w:widowControl/>
        <w:spacing w:line="240" w:lineRule="auto" w:before="344" w:after="0"/>
        <w:ind w:left="10" w:right="0" w:firstLine="0"/>
        <w:jc w:val="left"/>
      </w:pPr>
      <w:r>
        <w:rPr>
          <w:rFonts w:ascii="OpenSans" w:hAnsi="OpenSans" w:eastAsia="OpenSans"/>
          <w:b/>
          <w:i w:val="0"/>
          <w:color w:val="4DB184"/>
          <w:sz w:val="22"/>
        </w:rPr>
        <w:t>OBJETIVOS PARA EL INTERCAMBIO DE DATOS CON DONANTES</w:t>
      </w:r>
    </w:p>
    <w:p>
      <w:pPr>
        <w:autoSpaceDN w:val="0"/>
        <w:autoSpaceDE w:val="0"/>
        <w:widowControl/>
        <w:spacing w:line="264" w:lineRule="exact" w:before="210" w:after="0"/>
        <w:ind w:left="8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objetivos comúnmente identificados para los donantes que solicitan datos sensibles de los socios son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el conocimiento de la situación y el diseño de programas; responsabilidad y transparencia; y requisitos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legales, regulatorios y de políticas. </w:t>
      </w:r>
    </w:p>
    <w:p>
      <w:pPr>
        <w:autoSpaceDN w:val="0"/>
        <w:autoSpaceDE w:val="0"/>
        <w:widowControl/>
        <w:spacing w:line="262" w:lineRule="exact" w:before="250" w:after="0"/>
        <w:ind w:left="8" w:right="144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Conciencia situacional y diseño de programas </w:t>
      </w:r>
      <w:r>
        <w:br/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donantes buscan información y datos de las organizaciones humanitarias para comprender y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reaccionar ante los cambios en los contextos humanitarios. Esto permite a los donantes mejorar el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diseño de su propio programa y evaluación, evitar la duplicación de asistencia, identificar las lagunas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información y garantizar la orientación adecuada de la asistencia.</w:t>
      </w:r>
    </w:p>
    <w:p>
      <w:pPr>
        <w:autoSpaceDN w:val="0"/>
        <w:autoSpaceDE w:val="0"/>
        <w:widowControl/>
        <w:spacing w:line="258" w:lineRule="exact" w:before="252" w:after="0"/>
        <w:ind w:left="8" w:right="0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 xml:space="preserve">Responsabilidad y transparencia </w:t>
      </w:r>
      <w:r>
        <w:br/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donantes y las organizaciones humanitarias tienen la obligación de rendir cuentas de sus actividades. </w:t>
      </w:r>
    </w:p>
    <w:p>
      <w:pPr>
        <w:autoSpaceDN w:val="0"/>
        <w:autoSpaceDE w:val="0"/>
        <w:widowControl/>
        <w:spacing w:line="264" w:lineRule="exact" w:before="12" w:after="0"/>
        <w:ind w:left="8" w:right="432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datos pueden permitir a los donantes explicar y defender la financiación de la ayuda exterior a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contribuyentes. </w:t>
      </w:r>
    </w:p>
    <w:p>
      <w:pPr>
        <w:autoSpaceDN w:val="0"/>
        <w:autoSpaceDE w:val="0"/>
        <w:widowControl/>
        <w:spacing w:line="264" w:lineRule="exact" w:before="246" w:after="0"/>
        <w:ind w:left="8" w:right="144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 xml:space="preserve">Requisitos legales, reglamentarios y de políticas </w:t>
      </w:r>
      <w:r>
        <w:br/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donantes están sujetos a ciertos requisitos legales nacionales e internacionales, incluidos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requisitos políticos, legales y estatutarios relacionados con la lucha contra el terrorismo, la migración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y la aplicación de la ley. En muchos casos, los donantes pueden querer usar datos para verificar su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cumplimiento con estos diferentes requisitos. Algunos donantes incluyen cláusulas de lucha contra el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terrorismo en sus acuerdos de subvención, cuyo objetivo es garantizar que sus fondos no se utilicen para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beneficiar a determinados grupos terroristas.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9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De manera similar, los donantes pueden incluir cláusulas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para cubrir medidas contra el soborno, el fraude y la corrupción.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10</w:t>
      </w:r>
    </w:p>
    <w:p>
      <w:pPr>
        <w:autoSpaceDN w:val="0"/>
        <w:autoSpaceDE w:val="0"/>
        <w:widowControl/>
        <w:spacing w:line="240" w:lineRule="auto" w:before="368" w:after="0"/>
        <w:ind w:left="10" w:right="0" w:firstLine="0"/>
        <w:jc w:val="left"/>
      </w:pPr>
      <w:r>
        <w:rPr>
          <w:rFonts w:ascii="OpenSans" w:hAnsi="OpenSans" w:eastAsia="OpenSans"/>
          <w:b/>
          <w:i w:val="0"/>
          <w:color w:val="4DB184"/>
          <w:sz w:val="22"/>
        </w:rPr>
        <w:t>RESTRICCIONES PARA EL INTERCAMBIO DE DATOS CON DONANTES</w:t>
      </w:r>
    </w:p>
    <w:p>
      <w:pPr>
        <w:autoSpaceDN w:val="0"/>
        <w:autoSpaceDE w:val="0"/>
        <w:widowControl/>
        <w:spacing w:line="264" w:lineRule="exact" w:before="208" w:after="0"/>
        <w:ind w:left="8" w:right="144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 pesar de estos objetivos, el intercambio de datos con los donantes no está exento de limitaciones, que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incluyen la falta de marcos regulatorios para la gestión responsable de los datos sensibles no personales,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las lagunas de capacidad y la falta de limitación del propósito. </w:t>
      </w:r>
    </w:p>
    <w:p>
      <w:pPr>
        <w:autoSpaceDN w:val="0"/>
        <w:autoSpaceDE w:val="0"/>
        <w:widowControl/>
        <w:spacing w:line="264" w:lineRule="exact" w:before="246" w:after="0"/>
        <w:ind w:left="8" w:right="288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Falta de marcos regulatorios para la gestión responsable de datos sensibles no personales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La sensibilidad de los datos personales es generalmente bien conocida y se aborda en una variedad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marcos normativos y de políticas, pero no se puede decir lo mismo de los datos confidenciales no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personales. Proteger a los grupos y sus datos sigue siendo un desafío debido a las brechas actuales en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la regulación y orientación y la falta general de comprensión con respecto a la sensibilidad de los datos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no personales. Estas brechas en la política de datos aumentan el riesgo de que los datos sensibles no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se almacenen o protejan de manera adecuada o que los socios los compartan inadvertidamente para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satisfacer las solicitudes de los donantes.</w:t>
      </w:r>
    </w:p>
    <w:p>
      <w:pPr>
        <w:autoSpaceDN w:val="0"/>
        <w:autoSpaceDE w:val="0"/>
        <w:widowControl/>
        <w:spacing w:line="235" w:lineRule="auto" w:before="272" w:after="0"/>
        <w:ind w:left="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7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 En el momento de redactar este documento, solo USAID y GIZ tenían pautas disponibles públicamente sobre el intercambio responsable de datos. Ver </w:t>
      </w:r>
    </w:p>
    <w:p>
      <w:pPr>
        <w:autoSpaceDN w:val="0"/>
        <w:autoSpaceDE w:val="0"/>
        <w:widowControl/>
        <w:spacing w:line="228" w:lineRule="auto" w:before="30" w:after="0"/>
        <w:ind w:left="100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t xml:space="preserve"> USAID,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7" w:history="1">
          <w:r>
            <w:rPr>
              <w:rStyle w:val="Hyperlink"/>
            </w:rPr>
            <w:t>Consideraciones para el uso responsable de datos en USAID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,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2019 y GIZ, </w:t>
      </w:r>
      <w:r>
        <w:rPr>
          <w:rFonts w:ascii="Stag" w:hAnsi="Stag" w:eastAsia="Stag"/>
          <w:b w:val="0"/>
          <w:i w:val="0"/>
          <w:color w:val="1BB580"/>
          <w:sz w:val="15"/>
          <w:u w:val="single"/>
        </w:rPr>
        <w:hyperlink r:id="rId18" w:history="1">
          <w:r>
            <w:rPr>
              <w:rStyle w:val="Hyperlink"/>
            </w:rPr>
            <w:t>Principios de datos responsables de GIZ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, 2018.</w:t>
      </w:r>
    </w:p>
    <w:p>
      <w:pPr>
        <w:autoSpaceDN w:val="0"/>
        <w:autoSpaceDE w:val="0"/>
        <w:widowControl/>
        <w:spacing w:line="235" w:lineRule="auto" w:before="86" w:after="0"/>
        <w:ind w:left="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8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 Willits-King, B. and Spencer, A.,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6" w:history="1">
          <w:r>
            <w:rPr>
              <w:rStyle w:val="Hyperlink"/>
            </w:rPr>
            <w:t xml:space="preserve">Intercambio responsable de datos con donantes: responsabilidad, transparencia y protección de datos en </w:t>
          </w:r>
        </w:hyperlink>
      </w:r>
    </w:p>
    <w:p>
      <w:pPr>
        <w:autoSpaceDN w:val="0"/>
        <w:autoSpaceDE w:val="0"/>
        <w:widowControl/>
        <w:spacing w:line="228" w:lineRule="auto" w:before="36" w:after="0"/>
        <w:ind w:left="114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16" w:history="1">
          <w:r>
            <w:rPr>
              <w:rStyle w:val="Hyperlink"/>
            </w:rPr>
            <w:t xml:space="preserve"> la acción humanitaria basada en principios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, 2020.</w:t>
      </w:r>
    </w:p>
    <w:p>
      <w:pPr>
        <w:autoSpaceDN w:val="0"/>
        <w:autoSpaceDE w:val="0"/>
        <w:widowControl/>
        <w:spacing w:line="235" w:lineRule="auto" w:before="86" w:after="0"/>
        <w:ind w:left="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9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 Consulte la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9" w:history="1">
          <w:r>
            <w:rPr>
              <w:rStyle w:val="Hyperlink"/>
            </w:rPr>
            <w:t>Caja de herramientas de la NRC para una acción humanitaria basada en principios; Gestión de riesgos de CT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.</w:t>
      </w:r>
    </w:p>
    <w:p>
      <w:pPr>
        <w:autoSpaceDN w:val="0"/>
        <w:autoSpaceDE w:val="0"/>
        <w:widowControl/>
        <w:spacing w:line="235" w:lineRule="auto" w:before="86" w:after="0"/>
        <w:ind w:left="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10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Para garantizar el cumplimiento, los donantes pueden solicitar datos muy desglosados para corroborar sus procesos de diligencia debida, asegurando </w:t>
      </w:r>
    </w:p>
    <w:p>
      <w:pPr>
        <w:autoSpaceDN w:val="0"/>
        <w:autoSpaceDE w:val="0"/>
        <w:widowControl/>
        <w:spacing w:line="228" w:lineRule="auto" w:before="30" w:after="0"/>
        <w:ind w:left="7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t xml:space="preserve"> que sus socios no se relacionen con ninguna persona o entidad "sancionada". Véase Walker, J.,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20" w:history="1">
          <w:r>
            <w:rPr>
              <w:rStyle w:val="Hyperlink"/>
            </w:rPr>
            <w:t xml:space="preserve">Diálogo de cumplimiento sobre pagos humanitarios </w:t>
          </w:r>
        </w:hyperlink>
      </w:r>
    </w:p>
    <w:p>
      <w:pPr>
        <w:autoSpaceDN w:val="0"/>
        <w:autoSpaceDE w:val="0"/>
        <w:widowControl/>
        <w:spacing w:line="228" w:lineRule="auto" w:before="30" w:after="0"/>
        <w:ind w:left="0" w:right="0" w:firstLine="0"/>
        <w:jc w:val="center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20" w:history="1">
          <w:r>
            <w:rPr>
              <w:rStyle w:val="Hyperlink"/>
            </w:rPr>
            <w:t xml:space="preserve"> relacionados con Siria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, 2020. "Personas sancionadas" es un término general que puede incluir a personas, grupos terroristas, gobiernos, empresas y otras </w:t>
      </w:r>
    </w:p>
    <w:p>
      <w:pPr>
        <w:autoSpaceDN w:val="0"/>
        <w:autoSpaceDE w:val="0"/>
        <w:widowControl/>
        <w:spacing w:line="228" w:lineRule="auto" w:before="30" w:after="0"/>
        <w:ind w:left="0" w:right="0" w:firstLine="0"/>
        <w:jc w:val="center"/>
      </w:pPr>
      <w:r>
        <w:rPr>
          <w:rFonts w:ascii="Stag" w:hAnsi="Stag" w:eastAsia="Stag"/>
          <w:b w:val="0"/>
          <w:i w:val="0"/>
          <w:color w:val="1BB580"/>
          <w:sz w:val="15"/>
        </w:rPr>
        <w:t xml:space="preserve"> entidades con personalidad jurídica. La UE, por ejemplo, ha reforzado considerablemente a lo largo de los años su marco jurídico para prevenir el blanqueo </w:t>
      </w:r>
    </w:p>
    <w:p>
      <w:pPr>
        <w:autoSpaceDN w:val="0"/>
        <w:autoSpaceDE w:val="0"/>
        <w:widowControl/>
        <w:spacing w:line="228" w:lineRule="auto" w:before="30" w:after="0"/>
        <w:ind w:left="72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t xml:space="preserve"> de capitales y la financiación del terrorismo en los últimos años y lo aplica constantemente. Véase NGO Voice,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21" w:history="1">
          <w:r>
            <w:rPr>
              <w:rStyle w:val="Hyperlink"/>
            </w:rPr>
            <w:t xml:space="preserve">El impacto de las sanciones y medidas </w:t>
          </w:r>
        </w:hyperlink>
      </w:r>
    </w:p>
    <w:p>
      <w:pPr>
        <w:autoSpaceDN w:val="0"/>
        <w:autoSpaceDE w:val="0"/>
        <w:widowControl/>
        <w:spacing w:line="228" w:lineRule="auto" w:before="30" w:after="0"/>
        <w:ind w:left="84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21" w:history="1">
          <w:r>
            <w:rPr>
              <w:rStyle w:val="Hyperlink"/>
            </w:rPr>
            <w:t xml:space="preserve"> restrictivas de la UE en la acción humanitaria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, 2020.</w:t>
      </w:r>
    </w:p>
    <w:p>
      <w:pPr>
        <w:sectPr>
          <w:pgSz w:w="11906" w:h="16838"/>
          <w:pgMar w:top="454" w:right="1014" w:bottom="55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64" w:lineRule="exact" w:before="28" w:after="0"/>
        <w:ind w:left="0" w:right="0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 xml:space="preserve">Brechas de capacidad </w:t>
      </w:r>
      <w:r>
        <w:br/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Responder a las solicitudes de intercambio de datos ad-hoc de los donantes puede verse como una carga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adicional para los socorristas humanitarios, ya que ocupa tiempo, los recursos y distrae  del enfoque crítico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de otras actividades de implementación.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11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La financiación insuficiente para el desarrollo de la capacidad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relacionada con los datos ha limitado la capacidad de muchas organizaciones para proporcionar a su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personal las habilidades y los recursos necesarios para gestionar los datos de forma responsable.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12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Las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brechas en la capacidad para cumplir con los requisitos de los donantes también podrían disuadir a las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ONG más pequeñas y/o locales de buscar financiamiento, socavando los esfuerzos de localización.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13</w:t>
      </w:r>
    </w:p>
    <w:p>
      <w:pPr>
        <w:autoSpaceDN w:val="0"/>
        <w:autoSpaceDE w:val="0"/>
        <w:widowControl/>
        <w:spacing w:line="264" w:lineRule="exact" w:before="268" w:after="0"/>
        <w:ind w:left="0" w:right="144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 xml:space="preserve">Limitación de propósito </w:t>
      </w:r>
      <w:r>
        <w:br/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El principio de limitación de propósito requiere que los datos solo se recopilen para fines específicos,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explícitos y legítimos, y que no se procesen de una manera que sea incompatible con esos fines.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14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Incluso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cuando los donantes especifiquen razones legítimas para solicitar datos que estén en línea con los fines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originales para los que se recopilaron los datos (por ejemplo, la prestación de asistencia humanitaria),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puede resultar difícil garantizar que los datos no se utilizarán para otros fines una vez compartidos.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datos utilizados fuera de contexto y para fines que no se conocen en el momento de compartirlos, 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retenidos más allá de la retención prevista para un propósito definido, representan una violación, incluso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si no es intencional, de los derechos sobre los datos de los interesados.</w:t>
      </w:r>
    </w:p>
    <w:p>
      <w:pPr>
        <w:autoSpaceDN w:val="0"/>
        <w:autoSpaceDE w:val="0"/>
        <w:widowControl/>
        <w:spacing w:line="240" w:lineRule="auto" w:before="376" w:after="0"/>
        <w:ind w:left="18" w:right="0" w:firstLine="0"/>
        <w:jc w:val="left"/>
      </w:pPr>
      <w:r>
        <w:rPr>
          <w:rFonts w:ascii="OpenSans" w:hAnsi="OpenSans" w:eastAsia="OpenSans"/>
          <w:b/>
          <w:i w:val="0"/>
          <w:color w:val="4DB184"/>
          <w:sz w:val="22"/>
        </w:rPr>
        <w:t>RECOMENDACIONES</w:t>
      </w:r>
    </w:p>
    <w:p>
      <w:pPr>
        <w:autoSpaceDN w:val="0"/>
        <w:autoSpaceDE w:val="0"/>
        <w:widowControl/>
        <w:spacing w:line="264" w:lineRule="exact" w:before="208" w:after="0"/>
        <w:ind w:left="18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En vista de los objetivos y limitaciones detallados anteriormente, el Centro, el Grupo de Política </w:t>
      </w:r>
      <w:r>
        <w:br/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Humanitaria (HPG) de la ODI, el CICR y la División de Seguridad Humana del Departamento Federal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Relaciones Exteriores de Suiza recomiendan que los donantes y las organizaciones humanitarias tomen las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siguientes medidas para minimizar los riesgos y maximizar los beneficios al compartir datos confidenciales: </w:t>
      </w:r>
    </w:p>
    <w:p>
      <w:pPr>
        <w:autoSpaceDN w:val="0"/>
        <w:tabs>
          <w:tab w:pos="470" w:val="left"/>
        </w:tabs>
        <w:autoSpaceDE w:val="0"/>
        <w:widowControl/>
        <w:spacing w:line="264" w:lineRule="exact" w:before="268" w:after="0"/>
        <w:ind w:left="244" w:right="144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 xml:space="preserve">• Revisar y aclarar los marcos formales o informales que rigen la recopilación y el intercambio de </w:t>
      </w:r>
      <w:r>
        <w:rPr>
          <w:rFonts w:ascii="SourceSansPro" w:hAnsi="SourceSansPro" w:eastAsia="SourceSansPro"/>
          <w:b/>
          <w:i w:val="0"/>
          <w:color w:val="000000"/>
          <w:sz w:val="22"/>
        </w:rPr>
        <w:t>datos desglosados.</w:t>
      </w:r>
    </w:p>
    <w:p>
      <w:pPr>
        <w:autoSpaceDN w:val="0"/>
        <w:autoSpaceDE w:val="0"/>
        <w:widowControl/>
        <w:spacing w:line="264" w:lineRule="exact" w:before="14" w:after="0"/>
        <w:ind w:left="470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donantes y socios deben examinar los requisitos oficiales, formales y los requisitos informales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ad-hoc del intercambio de datos y analizar al socio y al personal de los donantes para que interpreten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requisitos de manera correcta y coherente. Deben evaluar si existen condiciones implícitas entre la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voluntad de compartir datos desglosados y la capacidad de diferentes organizaciones para acceder y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mantener la financiación de los donantes. </w:t>
      </w:r>
    </w:p>
    <w:p>
      <w:pPr>
        <w:autoSpaceDN w:val="0"/>
        <w:autoSpaceDE w:val="0"/>
        <w:widowControl/>
        <w:spacing w:line="292" w:lineRule="exact" w:before="240" w:after="0"/>
        <w:ind w:left="244" w:right="0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>• Formalizar y estandarizar las solicitudes de datos sensibles.</w:t>
      </w:r>
    </w:p>
    <w:p>
      <w:pPr>
        <w:autoSpaceDN w:val="0"/>
        <w:autoSpaceDE w:val="0"/>
        <w:widowControl/>
        <w:spacing w:line="264" w:lineRule="exact" w:before="14" w:after="0"/>
        <w:ind w:left="470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Cuando se requieren datos sensibles para cumplir con un objetivo mutuamente acordado,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donantes deben formalizar y estandarizar sus solicitudes de dichos datos. Las solicitudes deben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hacerse por escrito y deben especificar qué datos se solicitan, el formato deseado y el uso previsto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datos. Los donantes solo deben solicitar la información requerida para cumplir con el propósito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especificado para el cual se solicita y deben indicar un cronograma para la destrucción de los datos. </w:t>
      </w:r>
    </w:p>
    <w:p>
      <w:pPr>
        <w:autoSpaceDN w:val="0"/>
        <w:autoSpaceDE w:val="0"/>
        <w:widowControl/>
        <w:spacing w:line="264" w:lineRule="exact" w:before="14" w:after="0"/>
        <w:ind w:left="470" w:right="432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Las organizaciones humanitarias deben documentar todas las solicitudes de datos y garantizar la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coherencia en la respuesta a estas solicitudes a lo largo del tiempo. </w:t>
      </w:r>
    </w:p>
    <w:p>
      <w:pPr>
        <w:autoSpaceDN w:val="0"/>
        <w:autoSpaceDE w:val="0"/>
        <w:widowControl/>
        <w:spacing w:line="292" w:lineRule="exact" w:before="240" w:after="0"/>
        <w:ind w:left="244" w:right="0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>• Invertir en la capacidad de gestión de datos del personal y las organizaciones.</w:t>
      </w:r>
    </w:p>
    <w:p>
      <w:pPr>
        <w:autoSpaceDN w:val="0"/>
        <w:autoSpaceDE w:val="0"/>
        <w:widowControl/>
        <w:spacing w:line="264" w:lineRule="exact" w:before="14" w:after="0"/>
        <w:ind w:left="470" w:right="432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Los donantes y las organizaciones humanitarias deben identificar oportunidades para invertir en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las habilidades en gestión de datos, especialmente para el personal no técnico. La comunidad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donantes se encuentra en una posición única para fomentar la responsabilidad de los datos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proporcionando recursos adicionales para la formación y el desarrollo de capacidades. </w:t>
      </w:r>
    </w:p>
    <w:p>
      <w:pPr>
        <w:autoSpaceDN w:val="0"/>
        <w:autoSpaceDE w:val="0"/>
        <w:widowControl/>
        <w:spacing w:line="235" w:lineRule="auto" w:before="788" w:after="0"/>
        <w:ind w:left="1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11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 Equipo de Tareas sobre Financiamiento Humanitario (HFTT) del Comité Permanente entre Organismos (IASC),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22" w:history="1">
          <w:r>
            <w:rPr>
              <w:rStyle w:val="Hyperlink"/>
            </w:rPr>
            <w:t xml:space="preserve">Condiciones de los donantes y sus </w:t>
          </w:r>
        </w:hyperlink>
      </w:r>
    </w:p>
    <w:p>
      <w:pPr>
        <w:autoSpaceDN w:val="0"/>
        <w:autoSpaceDE w:val="0"/>
        <w:widowControl/>
        <w:spacing w:line="228" w:lineRule="auto" w:before="30" w:after="0"/>
        <w:ind w:left="94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15"/>
        </w:rPr>
        <w:hyperlink r:id="rId22" w:history="1">
          <w:r>
            <w:rPr>
              <w:rStyle w:val="Hyperlink"/>
            </w:rPr>
            <w:t xml:space="preserve"> implicaciones para la respuesta humanitaria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, 2016.</w:t>
      </w:r>
    </w:p>
    <w:p>
      <w:pPr>
        <w:autoSpaceDN w:val="0"/>
        <w:autoSpaceDE w:val="0"/>
        <w:widowControl/>
        <w:spacing w:line="235" w:lineRule="auto" w:before="86" w:after="0"/>
        <w:ind w:left="1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12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Publique lo que financia,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23" w:history="1">
          <w:r>
            <w:rPr>
              <w:rStyle w:val="Hyperlink"/>
            </w:rPr>
            <w:t>Capacidad de uso de datos en crisis humanitarias prolongadas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, 2020.</w:t>
      </w:r>
    </w:p>
    <w:p>
      <w:pPr>
        <w:autoSpaceDN w:val="0"/>
        <w:autoSpaceDE w:val="0"/>
        <w:widowControl/>
        <w:spacing w:line="235" w:lineRule="auto" w:before="86" w:after="0"/>
        <w:ind w:left="1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>13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Ibid.</w:t>
      </w:r>
    </w:p>
    <w:p>
      <w:pPr>
        <w:autoSpaceDN w:val="0"/>
        <w:autoSpaceDE w:val="0"/>
        <w:widowControl/>
        <w:spacing w:line="235" w:lineRule="auto" w:before="86" w:after="0"/>
        <w:ind w:left="18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 xml:space="preserve">14 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CICR,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14" w:history="1">
          <w:r>
            <w:rPr>
              <w:rStyle w:val="Hyperlink"/>
            </w:rPr>
            <w:t>Manual sobre protección de datos en la acción humanitaria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, 2020.</w:t>
      </w:r>
    </w:p>
    <w:p>
      <w:pPr>
        <w:sectPr>
          <w:pgSz w:w="11906" w:h="16838"/>
          <w:pgMar w:top="452" w:right="970" w:bottom="552" w:left="10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232" w:right="0" w:firstLine="0"/>
        <w:jc w:val="left"/>
      </w:pPr>
      <w:r>
        <w:rPr>
          <w:rFonts w:ascii="SourceSansPro" w:hAnsi="SourceSansPro" w:eastAsia="SourceSansPro"/>
          <w:b/>
          <w:i w:val="0"/>
          <w:color w:val="000000"/>
          <w:sz w:val="22"/>
        </w:rPr>
        <w:t>• Adopción de principios comunes para la gestión de datos de donantes.</w:t>
      </w:r>
    </w:p>
    <w:p>
      <w:pPr>
        <w:autoSpaceDN w:val="0"/>
        <w:autoSpaceDE w:val="0"/>
        <w:widowControl/>
        <w:spacing w:line="264" w:lineRule="exact" w:before="12" w:after="0"/>
        <w:ind w:left="460" w:right="0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El sector ya tiene una serie de principios y compromisos para informar los diferentes aspectos 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la donación humanitaria.</w:t>
      </w:r>
      <w:r>
        <w:rPr>
          <w:w w:val="98.66154010479266"/>
          <w:rFonts w:ascii="SourceSansPro" w:hAnsi="SourceSansPro" w:eastAsia="SourceSansPro"/>
          <w:b w:val="0"/>
          <w:i w:val="0"/>
          <w:color w:val="000000"/>
          <w:sz w:val="13"/>
        </w:rPr>
        <w:t>15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 Sin embargo, estos no abordan suficientemente las preocupaciones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relacionadas con la responsabilidad de los datos. Los donantes y los socios deben participar en el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desarrollo de principios y directr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 xml:space="preserve">ices comunes para el intercambio de datos de los donantes a fin </w:t>
          </w:r>
        </w:hyperlink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>llenar este vacío. La Inicia</w:t>
          </w:r>
        </w:hyperlink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tiva de </w:t>
      </w:r>
      <w:r>
        <w:rPr>
          <w:rFonts w:ascii="SourceSansPro" w:hAnsi="SourceSansPro" w:eastAsia="SourceSansPro"/>
          <w:b/>
          <w:i w:val="0"/>
          <w:color w:val="1BB580"/>
          <w:sz w:val="22"/>
        </w:rPr>
        <w:hyperlink r:id="rId24" w:history="1">
          <w:r>
            <w:rPr>
              <w:rStyle w:val="Hyperlink"/>
            </w:rPr>
            <w:t xml:space="preserve">Confianza y Datos Humanitarios, codirigida por el Gobierno de </w:t>
          </w:r>
        </w:hyperlink>
      </w:r>
      <w:r>
        <w:rPr>
          <w:rFonts w:ascii="SourceSansPro" w:hAnsi="SourceSansPro" w:eastAsia="SourceSansPro"/>
          <w:b/>
          <w:i w:val="0"/>
          <w:color w:val="1BB580"/>
          <w:sz w:val="22"/>
        </w:rPr>
        <w:hyperlink r:id="rId24" w:history="1">
          <w:r>
            <w:rPr>
              <w:rStyle w:val="Hyperlink"/>
            </w:rPr>
            <w:t>Suiza, el CICR y el Centro</w:t>
          </w:r>
        </w:hyperlink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, ofrece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 xml:space="preserve"> una plataforma para facilitar este proceso como parte de su trab</w:t>
          </w:r>
        </w:hyperlink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ajo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>continuo para generar co</w:t>
          </w:r>
        </w:hyperlink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nfianza a través del diálogo.</w:t>
      </w:r>
    </w:p>
    <w:p>
      <w:pPr>
        <w:autoSpaceDN w:val="0"/>
        <w:autoSpaceDE w:val="0"/>
        <w:widowControl/>
        <w:spacing w:line="268" w:lineRule="exact" w:before="260" w:after="0"/>
        <w:ind w:left="6" w:right="144" w:firstLine="0"/>
        <w:jc w:val="left"/>
      </w:pPr>
      <w:r>
        <w:rPr>
          <w:rFonts w:ascii="SourceSansPro" w:hAnsi="SourceSansPro" w:eastAsia="SourceSansPro"/>
          <w:b w:val="0"/>
          <w:i w:val="0"/>
          <w:color w:val="000000"/>
          <w:sz w:val="22"/>
        </w:rPr>
        <w:t>Se alienta a las organizaciones a compartir su experiencia en el i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hyperlink r:id="rId25" w:history="1">
          <w:r>
            <w:rPr>
              <w:rStyle w:val="Hyperlink"/>
            </w:rPr>
            <w:t xml:space="preserve">ntercambio responsable </w:t>
          </w:r>
        </w:hyperlink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de datos con los </w:t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 xml:space="preserve">donantes con el Centro para los Datos Humanitarios a través de </w:t>
      </w:r>
      <w:r>
        <w:rPr>
          <w:rFonts w:ascii="SourceSansPro" w:hAnsi="SourceSansPro" w:eastAsia="SourceSansPro"/>
          <w:b/>
          <w:i w:val="0"/>
          <w:color w:val="1BB580"/>
          <w:sz w:val="22"/>
        </w:rPr>
        <w:hyperlink r:id="rId25" w:history="1">
          <w:r>
            <w:rPr>
              <w:rStyle w:val="Hyperlink"/>
            </w:rPr>
            <w:t>centrehumdata@un.org</w:t>
          </w:r>
        </w:hyperlink>
      </w:r>
      <w:r>
        <w:rPr>
          <w:rFonts w:ascii="SourceSansPro" w:hAnsi="SourceSansPro" w:eastAsia="SourceSansPro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6544" w:after="110"/>
        <w:ind w:left="0" w:right="144" w:firstLine="0"/>
        <w:jc w:val="left"/>
      </w:pPr>
      <w:r>
        <w:rPr>
          <w:rFonts w:ascii="SourceSansPro" w:hAnsi="SourceSansPro" w:eastAsia="SourceSansPro"/>
          <w:b w:val="0"/>
          <w:i w:val="0"/>
          <w:color w:val="5D5D5D"/>
          <w:sz w:val="20"/>
        </w:rPr>
        <w:hyperlink r:id="rId26" w:history="1">
          <w:r>
            <w:rPr>
              <w:rStyle w:val="Hyperlink"/>
            </w:rPr>
            <w:t xml:space="preserve">COLABORADORES: 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6" w:history="1">
          <w:r>
            <w:rPr>
              <w:rStyle w:val="Hyperlink"/>
            </w:rPr>
            <w:t>EL GRUPO DE POLÍTICAS HUMANITARIAS DE ODI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6" w:history="1">
          <w:r>
            <w:rPr>
              <w:rStyle w:val="Hyperlink"/>
            </w:rPr>
            <w:t xml:space="preserve">; 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6" w:history="1">
          <w:r>
            <w:rPr>
              <w:rStyle w:val="Hyperlink"/>
            </w:rPr>
            <w:t>COMITÉ INTERNACIONAL DE LA C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7" w:history="1">
          <w:r>
            <w:rPr>
              <w:rStyle w:val="Hyperlink"/>
            </w:rPr>
            <w:t>RUZ ROJA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t xml:space="preserve">; </w:t>
      </w:r>
      <w:r>
        <w:rPr>
          <w:rFonts w:ascii="SourceSansPro" w:hAnsi="SourceSansPro" w:eastAsia="SourceSansPro"/>
          <w:b w:val="0"/>
          <w:i w:val="0"/>
          <w:color w:val="5D5D5D"/>
          <w:sz w:val="20"/>
        </w:rPr>
        <w:t xml:space="preserve">Y </w:t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6" w:history="1">
          <w:r>
            <w:rPr>
              <w:rStyle w:val="Hyperlink"/>
            </w:rPr>
            <w:t>LA DIVISIÓN DE SE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6" w:history="1">
          <w:r>
            <w:rPr>
              <w:rStyle w:val="Hyperlink"/>
            </w:rPr>
            <w:t>GURIDAD HUMANA, DEPARTAMENTO FEDERAL D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6" w:history="1">
          <w:r>
            <w:rPr>
              <w:rStyle w:val="Hyperlink"/>
            </w:rPr>
            <w:t xml:space="preserve">E 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6" w:history="1">
          <w:r>
            <w:rPr>
              <w:rStyle w:val="Hyperlink"/>
            </w:rPr>
            <w:t>ASUNTOS EXTERIORES DE SUIZA</w:t>
          </w:r>
        </w:hyperlink>
      </w:r>
      <w:r>
        <w:rPr>
          <w:rFonts w:ascii="SourceSansPro" w:hAnsi="SourceSansPro" w:eastAsia="SourceSansPro"/>
          <w:b/>
          <w:i w:val="0"/>
          <w:color w:val="5D5D5D"/>
          <w:sz w:val="20"/>
        </w:rPr>
        <w:hyperlink r:id="rId27" w:history="1">
          <w:r>
            <w:rPr>
              <w:rStyle w:val="Hyperlink"/>
            </w:rPr>
            <w:t>.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9796"/>
      </w:tblGrid>
      <w:tr>
        <w:trPr>
          <w:trHeight w:hRule="exact" w:val="2018"/>
        </w:trPr>
        <w:tc>
          <w:tcPr>
            <w:tcW w:type="dxa" w:w="9756"/>
            <w:tcBorders>
              <w:start w:sz="6.800000190734863" w:val="single" w:color="#C5C5C5"/>
              <w:top w:sz="6.800000190734863" w:val="single" w:color="#C5C5C5"/>
              <w:end w:sz="6.800000190734863" w:val="single" w:color="#C5C5C5"/>
              <w:bottom w:sz="6.800000190734863" w:val="single" w:color="#C5C5C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216" w:right="576" w:firstLine="0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>El</w:t>
            </w:r>
            <w:r>
              <w:rPr>
                <w:rFonts w:ascii="SourceSansPro" w:hAnsi="SourceSansPro" w:eastAsia="SourceSansPro"/>
                <w:b/>
                <w:i w:val="0"/>
                <w:color w:val="1BB580"/>
                <w:sz w:val="20"/>
              </w:rPr>
              <w:hyperlink r:id="rId28" w:history="1">
                <w:r>
                  <w:rPr>
                    <w:rStyle w:val="Hyperlink"/>
                  </w:rPr>
                  <w:t>Centro Para Los Datos Humanitarios</w:t>
                </w:r>
              </w:hyperlink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 xml:space="preserve">('El Centro'), junto con socios clave, está publicando una serie de 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>oc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hyperlink r:id="rId28" w:history="1">
                <w:r>
                  <w:rPr>
                    <w:rStyle w:val="Hyperlink"/>
                  </w:rPr>
                  <w:t>ho notas de orientación sobre la resp</w:t>
                </w:r>
              </w:hyperlink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>onsabilidad de los datos en la acción humanitaria en e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hyperlink r:id="rId13" w:history="1">
                <w:r>
                  <w:rPr>
                    <w:rStyle w:val="Hyperlink"/>
                  </w:rPr>
                  <w:t>l transcurso</w:t>
                </w:r>
              </w:hyperlink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 xml:space="preserve"> 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hyperlink r:id="rId13" w:history="1">
                <w:r>
                  <w:rPr>
                    <w:rStyle w:val="Hyperlink"/>
                  </w:rPr>
                  <w:t>de 2019 y 2020. La serie de notas de ori</w:t>
                </w:r>
              </w:hyperlink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 xml:space="preserve">entación sigue a la publicación del borrador de trabajo </w:t>
            </w:r>
            <w:r>
              <w:rPr>
                <w:rFonts w:ascii="SourceSansPro" w:hAnsi="SourceSansPro" w:eastAsia="SourceSansPro"/>
                <w:b/>
                <w:i w:val="0"/>
                <w:color w:val="1BB580"/>
                <w:sz w:val="20"/>
              </w:rPr>
              <w:hyperlink r:id="rId13" w:history="1">
                <w:r>
                  <w:rPr>
                    <w:rStyle w:val="Hyperlink"/>
                  </w:rPr>
                  <w:t xml:space="preserve">Directrices </w:t>
                </w:r>
              </w:hyperlink>
            </w:r>
            <w:r>
              <w:rPr>
                <w:rFonts w:ascii="SourceSansPro" w:hAnsi="SourceSansPro" w:eastAsia="SourceSansPro"/>
                <w:b/>
                <w:i w:val="0"/>
                <w:color w:val="1BB580"/>
                <w:sz w:val="20"/>
              </w:rPr>
              <w:hyperlink r:id="rId13" w:history="1">
                <w:r>
                  <w:rPr>
                    <w:rStyle w:val="Hyperlink"/>
                  </w:rPr>
                  <w:t>de responsabilidad de datos de OCHA</w:t>
                </w:r>
              </w:hyperlink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 xml:space="preserve"> en marzo de 2019. A través de la serie, el Centro tiene c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hyperlink r:id="rId13" w:history="1">
                <w:r>
                  <w:rPr>
                    <w:rStyle w:val="Hyperlink"/>
                  </w:rPr>
                  <w:t xml:space="preserve">omo </w:t>
                </w:r>
              </w:hyperlink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hyperlink r:id="rId13" w:history="1">
                <w:r>
                  <w:rPr>
                    <w:rStyle w:val="Hyperlink"/>
                  </w:rPr>
                  <w:t>objetivo proporcionar orientación adic</w:t>
                </w:r>
              </w:hyperlink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 xml:space="preserve">ional sobre problemas, procesos y herramientas específicas para la 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 xml:space="preserve">responsabilidad de los datos en la práctica. Esta serie es posible gracias al generoso apoyo de la Dirección 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20"/>
              </w:rPr>
              <w:t>General de Protección Civil y Ayuda Humanitaria de la Unión Europea (DG ECHO).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4898"/>
        <w:gridCol w:w="4898"/>
      </w:tblGrid>
      <w:tr>
        <w:trPr>
          <w:trHeight w:hRule="exact" w:val="121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3619" cy="6832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19" cy="683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2" w:after="0"/>
              <w:ind w:left="110" w:right="0" w:firstLine="0"/>
              <w:jc w:val="left"/>
            </w:pP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18"/>
              </w:rPr>
              <w:t xml:space="preserve">Este documento cubre actividades de ayuda humanitaria implementadas con la ayuda financiera de la 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18"/>
              </w:rPr>
              <w:t xml:space="preserve">Unión Europea. Las opiniones expresadas en este documento no deben tomarse, de ninguna manera, 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18"/>
              </w:rPr>
              <w:t xml:space="preserve">para reflejar la opinión oficial de la Unión Europea, y la Comisión Europea no es responsable del uso que </w:t>
            </w:r>
            <w:r>
              <w:rPr>
                <w:rFonts w:ascii="SourceSansPro" w:hAnsi="SourceSansPro" w:eastAsia="SourceSansPro"/>
                <w:b w:val="0"/>
                <w:i w:val="0"/>
                <w:color w:val="5D5D5D"/>
                <w:sz w:val="18"/>
              </w:rPr>
              <w:t>pueda hacerse de la información que contiene.</w:t>
            </w:r>
          </w:p>
        </w:tc>
      </w:tr>
    </w:tbl>
    <w:p>
      <w:pPr>
        <w:autoSpaceDN w:val="0"/>
        <w:autoSpaceDE w:val="0"/>
        <w:widowControl/>
        <w:spacing w:line="184" w:lineRule="exact" w:before="50" w:after="0"/>
        <w:ind w:left="12" w:right="8064" w:firstLine="0"/>
        <w:jc w:val="left"/>
      </w:pPr>
      <w:r>
        <w:rPr>
          <w:w w:val="102.00000127156576"/>
          <w:rFonts w:ascii="SourceSansPro" w:hAnsi="SourceSansPro" w:eastAsia="SourceSansPro"/>
          <w:b w:val="0"/>
          <w:i w:val="0"/>
          <w:color w:val="5D5D5D"/>
          <w:sz w:val="15"/>
        </w:rPr>
        <w:t xml:space="preserve">Este proyecto es </w:t>
      </w:r>
      <w:r>
        <w:br/>
      </w:r>
      <w:r>
        <w:rPr>
          <w:w w:val="102.00000127156576"/>
          <w:rFonts w:ascii="SourceSansPro" w:hAnsi="SourceSansPro" w:eastAsia="SourceSansPro"/>
          <w:b w:val="0"/>
          <w:i w:val="0"/>
          <w:color w:val="5D5D5D"/>
          <w:sz w:val="15"/>
        </w:rPr>
        <w:t xml:space="preserve">cofinanciado por la Unión </w:t>
      </w:r>
      <w:r>
        <w:br/>
      </w:r>
      <w:r>
        <w:rPr>
          <w:w w:val="102.00000127156576"/>
          <w:rFonts w:ascii="SourceSansPro" w:hAnsi="SourceSansPro" w:eastAsia="SourceSansPro"/>
          <w:b w:val="0"/>
          <w:i w:val="0"/>
          <w:color w:val="5D5D5D"/>
          <w:sz w:val="15"/>
        </w:rPr>
        <w:t>Europea</w:t>
      </w:r>
    </w:p>
    <w:p>
      <w:pPr>
        <w:autoSpaceDN w:val="0"/>
        <w:autoSpaceDE w:val="0"/>
        <w:widowControl/>
        <w:spacing w:line="235" w:lineRule="auto" w:before="432" w:after="0"/>
        <w:ind w:left="6" w:right="0" w:firstLine="0"/>
        <w:jc w:val="left"/>
      </w:pPr>
      <w:r>
        <w:rPr>
          <w:rFonts w:ascii="Stag" w:hAnsi="Stag" w:eastAsia="Stag"/>
          <w:b w:val="0"/>
          <w:i w:val="0"/>
          <w:color w:val="1BB580"/>
          <w:sz w:val="9"/>
        </w:rPr>
        <w:t xml:space="preserve">15  </w:t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Ejemplos incluyen 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30" w:history="1">
          <w:r>
            <w:rPr>
              <w:rStyle w:val="Hyperlink"/>
            </w:rPr>
            <w:t>la Iniciativa de buena donación humanitaria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 xml:space="preserve"> y el </w:t>
      </w:r>
      <w:r>
        <w:rPr>
          <w:rFonts w:ascii="Stag" w:hAnsi="Stag" w:eastAsia="Stag"/>
          <w:b w:val="0"/>
          <w:i w:val="0"/>
          <w:color w:val="1BB580"/>
          <w:sz w:val="15"/>
        </w:rPr>
        <w:hyperlink r:id="rId31" w:history="1">
          <w:r>
            <w:rPr>
              <w:rStyle w:val="Hyperlink"/>
            </w:rPr>
            <w:t>la Iniciativa de buena donación humanitaria</w:t>
          </w:r>
        </w:hyperlink>
      </w:r>
      <w:r>
        <w:rPr>
          <w:rFonts w:ascii="Stag" w:hAnsi="Stag" w:eastAsia="Stag"/>
          <w:b w:val="0"/>
          <w:i w:val="0"/>
          <w:color w:val="1BB580"/>
          <w:sz w:val="15"/>
        </w:rPr>
        <w:t>.</w:t>
      </w:r>
    </w:p>
    <w:sectPr w:rsidR="00FC693F" w:rsidRPr="0006063C" w:rsidSect="00034616">
      <w:pgSz w:w="11906" w:h="16838"/>
      <w:pgMar w:top="454" w:right="1042" w:bottom="552" w:left="10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chaberlin.org/en/publications/counterterrorism-measures-and-sanction-regimes-shrinking-space-for-humanitarian-aid-organisations/" TargetMode="External"/><Relationship Id="rId12" Type="http://schemas.openxmlformats.org/officeDocument/2006/relationships/hyperlink" Target="https://eur-lex.europa.eu/eli/reg/2018/1807/oj" TargetMode="External"/><Relationship Id="rId13" Type="http://schemas.openxmlformats.org/officeDocument/2006/relationships/hyperlink" Target="https://data.humdata.org/dataset/2048a947-5714-4220-905b-e662cbcd14c8/resource/60050608-0095-4c11-86cd-0a1fc5c29fd9/download/ocha-data-responsibility-guidelines_2021.pdf" TargetMode="External"/><Relationship Id="rId14" Type="http://schemas.openxmlformats.org/officeDocument/2006/relationships/hyperlink" Target="https://www.icrc.org/en/data-protection-humanitarian-action-handbook" TargetMode="External"/><Relationship Id="rId15" Type="http://schemas.openxmlformats.org/officeDocument/2006/relationships/hyperlink" Target="https://centre.humdata.org/outcomes-from-wilton-park-dialogue-on-responsible-data-sharing-with-donors/" TargetMode="External"/><Relationship Id="rId16" Type="http://schemas.openxmlformats.org/officeDocument/2006/relationships/hyperlink" Target="https://www.odi.org/publications/17751-responsible-data-sharing-donors-accountability-transparency-and-data-protection-principled" TargetMode="External"/><Relationship Id="rId17" Type="http://schemas.openxmlformats.org/officeDocument/2006/relationships/hyperlink" Target="https://www.usaid.gov/responsibledata?hootPostID=f24e1cf9e44c21e5761c8f0b%2067566620" TargetMode="External"/><Relationship Id="rId18" Type="http://schemas.openxmlformats.org/officeDocument/2006/relationships/hyperlink" Target="https://nethope.app.box.com/s/53gzmk43vx0ppftvrc9d7nq5slwvp96c" TargetMode="External"/><Relationship Id="rId19" Type="http://schemas.openxmlformats.org/officeDocument/2006/relationships/hyperlink" Target="https://www.nrc.no/shorthand/stories/toolkit-for-principled-humanitarian-action/index.html" TargetMode="External"/><Relationship Id="rId20" Type="http://schemas.openxmlformats.org/officeDocument/2006/relationships/hyperlink" Target="https://www.graduateinstitute.ch/sites/internet/files/2020-05/26-MAY-SYRIA-Risk%20Management%20GuideFINAL.pdf" TargetMode="External"/><Relationship Id="rId21" Type="http://schemas.openxmlformats.org/officeDocument/2006/relationships/hyperlink" Target="https://voiceeu.org/publications?string=VOICE+workshop+Report%3A+The+impact+of+EU+sanctions+and+restrictive+measures+on+humanitarian+action" TargetMode="External"/><Relationship Id="rId22" Type="http://schemas.openxmlformats.org/officeDocument/2006/relationships/hyperlink" Target="https://interagencystandingcommittee.org/system/files/20160416_donor_conditions_study_final.pdf" TargetMode="External"/><Relationship Id="rId23" Type="http://schemas.openxmlformats.org/officeDocument/2006/relationships/hyperlink" Target="https://www.publishwhatyoufund.org/wp-content/uploads/dlm_uploads/2020/06/Humanitarian-Research-Brief-4.pdf." TargetMode="External"/><Relationship Id="rId24" Type="http://schemas.openxmlformats.org/officeDocument/2006/relationships/hyperlink" Target="https://centre.humdata.org/introducing-the-humanitarian-data-and-trust-initiative/" TargetMode="External"/><Relationship Id="rId25" Type="http://schemas.openxmlformats.org/officeDocument/2006/relationships/hyperlink" Target="mailto:centrehumdata%40un.org?subject=" TargetMode="External"/><Relationship Id="rId26" Type="http://schemas.openxmlformats.org/officeDocument/2006/relationships/hyperlink" Target="https://www.fdfa.admin.ch/eda/en/fdfa/fdfa/organisation-fdfa/directorates-divisions/directorate-political-affairs/hsd.html" TargetMode="External"/><Relationship Id="rId27" Type="http://schemas.openxmlformats.org/officeDocument/2006/relationships/hyperlink" Target="https://www.icrc.org/en" TargetMode="External"/><Relationship Id="rId28" Type="http://schemas.openxmlformats.org/officeDocument/2006/relationships/hyperlink" Target="https://centre.humdata.org" TargetMode="External"/><Relationship Id="rId29" Type="http://schemas.openxmlformats.org/officeDocument/2006/relationships/image" Target="media/image3.png"/><Relationship Id="rId30" Type="http://schemas.openxmlformats.org/officeDocument/2006/relationships/hyperlink" Target="https://www.ghdinitiative.org/ghd/gns/home-page.html" TargetMode="External"/><Relationship Id="rId31" Type="http://schemas.openxmlformats.org/officeDocument/2006/relationships/hyperlink" Target="https://interagencystandingcommittee.org/about-the-grand-barg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