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62" w:lineRule="auto" w:before="3874" w:after="0"/>
        <w:ind w:left="1412" w:right="3312" w:firstLine="0"/>
        <w:jc w:val="left"/>
      </w:pPr>
      <w:r>
        <w:rPr>
          <w:rFonts w:ascii="Roboto" w:hAnsi="Roboto" w:eastAsia="Roboto"/>
          <w:b w:val="0"/>
          <w:i/>
          <w:color w:val="FFFFFF"/>
          <w:sz w:val="36"/>
        </w:rPr>
        <w:t xml:space="preserve">Peer Review Framework for Predictive Analytics </w:t>
      </w:r>
      <w:r>
        <w:rPr>
          <w:rFonts w:ascii="Roboto" w:hAnsi="Roboto" w:eastAsia="Roboto"/>
          <w:b w:val="0"/>
          <w:i/>
          <w:color w:val="FFFFFF"/>
          <w:sz w:val="36"/>
        </w:rPr>
        <w:t>in Humanitarian Response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0</wp:posOffset>
            </wp:positionV>
            <wp:extent cx="7774940" cy="1006515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4940" cy="100651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34" w:after="0"/>
        <w:ind w:left="1440" w:right="0" w:firstLine="0"/>
        <w:jc w:val="left"/>
      </w:pPr>
      <w:r>
        <w:rPr>
          <w:rFonts w:ascii="Roboto" w:hAnsi="Roboto" w:eastAsia="Roboto"/>
          <w:b/>
          <w:i w:val="0"/>
          <w:color w:val="FFFFFF"/>
          <w:sz w:val="52"/>
        </w:rPr>
        <w:t>MODEL REPORT:</w:t>
      </w:r>
    </w:p>
    <w:p>
      <w:pPr>
        <w:autoSpaceDN w:val="0"/>
        <w:autoSpaceDE w:val="0"/>
        <w:widowControl/>
        <w:spacing w:line="240" w:lineRule="auto" w:before="126" w:after="0"/>
        <w:ind w:left="1440" w:right="0" w:firstLine="0"/>
        <w:jc w:val="left"/>
      </w:pPr>
      <w:r>
        <w:rPr>
          <w:rFonts w:ascii="Roboto" w:hAnsi="Roboto" w:eastAsia="Roboto"/>
          <w:b/>
          <w:i w:val="0"/>
          <w:color w:val="FFFFFF"/>
          <w:sz w:val="56"/>
        </w:rPr>
        <w:t>Flood Anticipatory Action</w:t>
      </w:r>
    </w:p>
    <w:p>
      <w:pPr>
        <w:autoSpaceDN w:val="0"/>
        <w:autoSpaceDE w:val="0"/>
        <w:widowControl/>
        <w:spacing w:line="240" w:lineRule="auto" w:before="116" w:after="0"/>
        <w:ind w:left="1440" w:right="0" w:firstLine="0"/>
        <w:jc w:val="left"/>
      </w:pPr>
      <w:r>
        <w:rPr>
          <w:rFonts w:ascii="Roboto" w:hAnsi="Roboto" w:eastAsia="Roboto"/>
          <w:b/>
          <w:i w:val="0"/>
          <w:color w:val="FFFFFF"/>
          <w:sz w:val="56"/>
        </w:rPr>
        <w:t>Trigger in Nepal</w:t>
      </w:r>
    </w:p>
    <w:p>
      <w:pPr>
        <w:autoSpaceDN w:val="0"/>
        <w:autoSpaceDE w:val="0"/>
        <w:widowControl/>
        <w:spacing w:line="240" w:lineRule="auto" w:before="112" w:after="0"/>
        <w:ind w:left="1440" w:right="0" w:firstLine="0"/>
        <w:jc w:val="left"/>
      </w:pPr>
      <w:r>
        <w:rPr>
          <w:rFonts w:ascii="Roboto" w:hAnsi="Roboto" w:eastAsia="Roboto"/>
          <w:b/>
          <w:i/>
          <w:color w:val="FFFFFF"/>
          <w:sz w:val="32"/>
        </w:rPr>
        <w:t>UN OCHA Centre for Humanitarian Data</w:t>
      </w:r>
    </w:p>
    <w:p>
      <w:pPr>
        <w:autoSpaceDN w:val="0"/>
        <w:autoSpaceDE w:val="0"/>
        <w:widowControl/>
        <w:spacing w:line="240" w:lineRule="auto" w:before="370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FFFFFF"/>
          <w:sz w:val="36"/>
        </w:rPr>
        <w:t>June 2023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6120"/>
        <w:gridCol w:w="6120"/>
      </w:tblGrid>
      <w:tr>
        <w:trPr>
          <w:trHeight w:hRule="exact" w:val="854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49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51280" cy="389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389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52550" cy="4660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466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90" w:lineRule="auto" w:before="618" w:after="0"/>
        <w:ind w:left="1440" w:right="4320" w:firstLine="0"/>
        <w:jc w:val="left"/>
      </w:pPr>
      <w:r>
        <w:rPr>
          <w:rFonts w:ascii="Roboto" w:hAnsi="Roboto" w:eastAsia="Roboto"/>
          <w:b/>
          <w:i w:val="0"/>
          <w:color w:val="1BB480"/>
          <w:sz w:val="32"/>
        </w:rPr>
        <w:t xml:space="preserve">Model Report: </w:t>
      </w:r>
      <w:r>
        <w:br/>
      </w:r>
      <w:r>
        <w:rPr>
          <w:rFonts w:ascii="Roboto" w:hAnsi="Roboto" w:eastAsia="Roboto"/>
          <w:b w:val="0"/>
          <w:i w:val="0"/>
          <w:color w:val="1BB480"/>
          <w:sz w:val="32"/>
        </w:rPr>
        <w:t>Flood Anticipatory Action Trigger in Nepal</w:t>
      </w:r>
    </w:p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404" w:after="0"/>
        <w:ind w:left="1440" w:right="144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 xml:space="preserve">1. Background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This report summarizes the documentation and findings of the peer review of the trigger used in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UN OCHA’s Nepal Anticipatory Action framework for floods. The impact prediction model used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as a basis for this trigger was developed by the OCHA Centre for Humanitarian Data Predictive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Analytics team. The go-no-go trigger mechanism is based on the GloFAS river discharge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forecast, combined with water level monitoring and impact forecasts by the Nepal Department </w:t>
      </w:r>
      <w:r>
        <w:rPr>
          <w:rFonts w:ascii="Roboto" w:hAnsi="Roboto" w:eastAsia="Roboto"/>
          <w:b w:val="0"/>
          <w:i w:val="0"/>
          <w:color w:val="000000"/>
          <w:sz w:val="22"/>
        </w:rPr>
        <w:t>of Hydrology and Meteorology (DHM). To find out more, please see 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3" w:history="1">
          <w:r>
            <w:rPr>
              <w:rStyle w:val="Hyperlink"/>
            </w:rPr>
            <w:t xml:space="preserve">Anticipatory Action </w:t>
          </w:r>
        </w:hyperlink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3" w:history="1">
          <w:r>
            <w:rPr>
              <w:rStyle w:val="Hyperlink"/>
            </w:rPr>
            <w:t>Framework for Nepal Floods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0" w:lineRule="auto" w:before="350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>The review has been conducted between January and June 2023.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1" w:lineRule="auto" w:before="350" w:after="0"/>
        <w:ind w:left="1440" w:right="144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 xml:space="preserve">2. Main Findings and Recommendations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You can find all the documentation regarding the model, its application and the review process </w:t>
      </w:r>
      <w:r>
        <w:rPr>
          <w:rFonts w:ascii="Roboto" w:hAnsi="Roboto" w:eastAsia="Roboto"/>
          <w:b w:val="0"/>
          <w:i w:val="0"/>
          <w:color w:val="000000"/>
          <w:sz w:val="22"/>
        </w:rPr>
        <w:t>at the following links: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4" w:history="1">
          <w:r>
            <w:rPr>
              <w:rStyle w:val="Hyperlink"/>
            </w:rPr>
            <w:t>Model Card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describes version 1.0 of the mode and was completed in January 2023.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5" w:history="1">
          <w:r>
            <w:rPr>
              <w:rStyle w:val="Hyperlink"/>
            </w:rPr>
            <w:t>Model Evaluation Matrix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was completed in March 2023 by Amy Kim, Data Scientist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at Betterview, a property intelligence and risk management solution company.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6" w:history="1">
          <w:r>
            <w:rPr>
              <w:rStyle w:val="Hyperlink"/>
            </w:rPr>
            <w:t>Implementation Plan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was completed in March 2023. It summarizes the concrete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actions that the model will trigger or inform.</w:t>
      </w:r>
    </w:p>
    <w:p>
      <w:pPr>
        <w:autoSpaceDN w:val="0"/>
        <w:tabs>
          <w:tab w:pos="2160" w:val="left"/>
        </w:tabs>
        <w:autoSpaceDE w:val="0"/>
        <w:widowControl/>
        <w:spacing w:line="269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7" w:history="1">
          <w:r>
            <w:rPr>
              <w:rStyle w:val="Hyperlink"/>
            </w:rPr>
            <w:t>Ethical Matrix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aims to identify all stakeholders and potential issues regarding the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intended use of the model. The Ethical Matrix was completed in June 2023 by Aarathi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Krishnan, Senior Advisor on Strategic Foresight at the UN Development Programme.</w:t>
      </w:r>
    </w:p>
    <w:p>
      <w:pPr>
        <w:autoSpaceDN w:val="0"/>
        <w:autoSpaceDE w:val="0"/>
        <w:widowControl/>
        <w:spacing w:line="238" w:lineRule="auto" w:before="350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>A summary of the main findings and recommendations is provided below.</w:t>
      </w:r>
    </w:p>
    <w:p>
      <w:pPr>
        <w:autoSpaceDN w:val="0"/>
        <w:autoSpaceDE w:val="0"/>
        <w:widowControl/>
        <w:spacing w:line="240" w:lineRule="auto" w:before="378" w:after="0"/>
        <w:ind w:left="1440" w:right="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>2.1 Technical Review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69" w:lineRule="auto" w:before="38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Intended Use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definition of in-scope and out-of-scope use cases is clear, and the output of 1-in-2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year return period riverine flooding is easily interpretable.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6120"/>
        <w:gridCol w:w="6120"/>
      </w:tblGrid>
      <w:tr>
        <w:trPr>
          <w:trHeight w:hRule="exact" w:val="340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●</w:t>
            </w:r>
          </w:p>
        </w:tc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The constraint that flooding will occur only during the monsoon season (June -</w:t>
            </w:r>
          </w:p>
        </w:tc>
      </w:tr>
    </w:tbl>
    <w:p>
      <w:pPr>
        <w:autoSpaceDN w:val="0"/>
        <w:autoSpaceDE w:val="0"/>
        <w:widowControl/>
        <w:spacing w:line="240" w:lineRule="auto" w:before="24" w:after="0"/>
        <w:ind w:left="216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>September) should be reviewed.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4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 framework should make clear that the two river basins are hydrologically distinct.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1" w:lineRule="auto" w:before="378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Model Development and Documentation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GloFAS is a widely used, trusted and up-to-date source. In-depth research and skill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analysis was performed, and justification was provided for the selection of monitoring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stations.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DHM model methodology should be obtained and described, to gain a better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understanding of forecast accuracy and error.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suitability of using historical water level as a trigger performance baseline needs to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be re-examined.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1" w:lineRule="auto" w:before="378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Model Evaluation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 benchmarking process should be incorporated to evaluate model performance.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peer review process should be completed before model deployment, rather than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after.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Actions to address the current model weaknesses outlined in the model card should be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specified.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62" w:lineRule="auto" w:before="378" w:after="0"/>
        <w:ind w:left="1440" w:right="2592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Operational Readiness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Readiness has been demonstrated as the model has already been deployed.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4" w:after="0"/>
        <w:ind w:left="1800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 model and data should be monitored in order to maintain readiness.</w:t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It would be nice for others to be able to run the GitHub repository analysis code.</w:t>
      </w:r>
    </w:p>
    <w:p>
      <w:pPr>
        <w:autoSpaceDN w:val="0"/>
        <w:autoSpaceDE w:val="0"/>
        <w:widowControl/>
        <w:spacing w:line="240" w:lineRule="auto" w:before="350" w:after="0"/>
        <w:ind w:left="1440" w:right="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>2.2 Ethical Review</w:t>
      </w:r>
    </w:p>
    <w:p>
      <w:pPr>
        <w:autoSpaceDN w:val="0"/>
        <w:autoSpaceDE w:val="0"/>
        <w:widowControl/>
        <w:spacing w:line="276" w:lineRule="auto" w:before="354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 xml:space="preserve">Inaccuracy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assumption that historical water level is an indicator of impact and river discharge is a good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predictor of water level is based on how these metrics have been used historically. It does not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take into account how these two assumptions might shift or change based on emerging climate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risks that might shift water levels and/or river discharge. If the model cannot account for future </w:t>
      </w:r>
      <w:r>
        <w:rPr>
          <w:rFonts w:ascii="Roboto" w:hAnsi="Roboto" w:eastAsia="Roboto"/>
          <w:b w:val="0"/>
          <w:i w:val="0"/>
          <w:color w:val="000000"/>
          <w:sz w:val="22"/>
        </w:rPr>
        <w:t>risks that might shock linear projections, populations bear the brunt of inaccurate data.</w:t>
      </w:r>
    </w:p>
    <w:p>
      <w:pPr>
        <w:autoSpaceDN w:val="0"/>
        <w:autoSpaceDE w:val="0"/>
        <w:widowControl/>
        <w:spacing w:line="274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 xml:space="preserve">Statistical Bias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While the model draws from global models, it is hard to see how this is validated/contextualized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to the specific areas. The implementing agencies are all multilateral and therefore there might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be a bias in how data is interpreted. Without validation or accuracy of targeted populations, </w:t>
      </w:r>
      <w:r>
        <w:rPr>
          <w:rFonts w:ascii="Roboto" w:hAnsi="Roboto" w:eastAsia="Roboto"/>
          <w:b w:val="0"/>
          <w:i w:val="0"/>
          <w:color w:val="000000"/>
          <w:sz w:val="22"/>
        </w:rPr>
        <w:t>there might be groups that are excluded.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1446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 xml:space="preserve">Systemic Bias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Targeted population identification is based on governmental datasets, but no information has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been included about how that dataset is designed. There might be a risk of groups being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deliberately excluded or specifically privileged. Without validation of potential systemic bias, </w:t>
      </w:r>
      <w:r>
        <w:rPr>
          <w:rFonts w:ascii="Roboto" w:hAnsi="Roboto" w:eastAsia="Roboto"/>
          <w:b w:val="0"/>
          <w:i w:val="0"/>
          <w:color w:val="000000"/>
          <w:sz w:val="22"/>
        </w:rPr>
        <w:t>political bias it is likely that there might be groups deliberately excluded or harmed.</w:t>
      </w:r>
    </w:p>
    <w:p>
      <w:pPr>
        <w:autoSpaceDN w:val="0"/>
        <w:autoSpaceDE w:val="0"/>
        <w:widowControl/>
        <w:spacing w:line="274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 xml:space="preserve">Insufficient Data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As noted above, if there is no data about how future risks might shift, the baseline data set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might not represent the current risk levels. This missing data/analysis could lead to incorrect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allocations. It is recommended to consider long term impacts or risks in the next version of the </w:t>
      </w:r>
      <w:r>
        <w:rPr>
          <w:rFonts w:ascii="Roboto" w:hAnsi="Roboto" w:eastAsia="Roboto"/>
          <w:b w:val="0"/>
          <w:i w:val="0"/>
          <w:color w:val="000000"/>
          <w:sz w:val="22"/>
        </w:rPr>
        <w:t>trigger.</w:t>
      </w:r>
    </w:p>
    <w:p>
      <w:pPr>
        <w:autoSpaceDN w:val="0"/>
        <w:autoSpaceDE w:val="0"/>
        <w:widowControl/>
        <w:spacing w:line="271" w:lineRule="auto" w:before="350" w:after="0"/>
        <w:ind w:left="1440" w:right="144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 xml:space="preserve">Feedback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Centre invites individuals and organizations working in the humanitarian, academic,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research and private sector to engage with us on the peer review process. Please send feedback </w:t>
      </w:r>
      <w:r>
        <w:rPr>
          <w:rFonts w:ascii="Roboto" w:hAnsi="Roboto" w:eastAsia="Roboto"/>
          <w:b w:val="0"/>
          <w:i w:val="0"/>
          <w:color w:val="000000"/>
          <w:sz w:val="22"/>
        </w:rPr>
        <w:t>on the Framework to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8" w:history="1">
          <w:r>
            <w:rPr>
              <w:rStyle w:val="Hyperlink"/>
            </w:rPr>
            <w:t>centrehumdata@un.org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>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reliefweb.int/report/nepal/anticipatory-action-framework-nepal-pilot" TargetMode="External"/><Relationship Id="rId14" Type="http://schemas.openxmlformats.org/officeDocument/2006/relationships/hyperlink" Target="https://docs.google.com/document/d/1kpDpqXsZd-VU_5CaZZ6sOsbE6ix2LXEB/edit?usp=sharing&amp;ouid=108991763197247983088&amp;rtpof=true&amp;sd=true" TargetMode="External"/><Relationship Id="rId15" Type="http://schemas.openxmlformats.org/officeDocument/2006/relationships/hyperlink" Target="https://docs.google.com/spreadsheets/d/1ZrGYipuTLz6dt1_h77C8EqhQv5raVLQq/edit?usp=sharing&amp;ouid=108991763197247983088&amp;rtpof=true&amp;sd=true" TargetMode="External"/><Relationship Id="rId16" Type="http://schemas.openxmlformats.org/officeDocument/2006/relationships/hyperlink" Target="https://docs.google.com/document/d/1pWOMgwq3IroJxJIonGQ18Icd3YJE3fOU/edit?usp=sharing&amp;ouid=108991763197247983088&amp;rtpof=true&amp;sd=true" TargetMode="External"/><Relationship Id="rId17" Type="http://schemas.openxmlformats.org/officeDocument/2006/relationships/hyperlink" Target="https://docs.google.com/spreadsheets/d/1cTJj2iiErEB5YUr5jyiRvtd_DWqHTUT7Bng08BKXiuI/edit?usp=sharing" TargetMode="External"/><Relationship Id="rId18" Type="http://schemas.openxmlformats.org/officeDocument/2006/relationships/hyperlink" Target="mailto:centrehumdata@u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