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9CEE8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>Supermarket Sales Analytics Dashboard</w:t>
      </w:r>
    </w:p>
    <w:p w14:paraId="10E6FC4F">
      <w:pPr>
        <w:spacing w:after="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Power BI Project Documentation</w:t>
      </w:r>
    </w:p>
    <w:p w14:paraId="6B6FDD4D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Buram</w:t>
      </w:r>
      <w:r>
        <w:rPr>
          <w:rFonts w:hint="default" w:cs="Arial"/>
          <w:color w:val="555555"/>
          <w:sz w:val="22"/>
          <w:szCs w:val="22"/>
          <w:lang w:val="en-US"/>
        </w:rPr>
        <w:t xml:space="preserve"> Madhu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Sanjay  |  B.Tech ECE, RGMCET (Autonomous), Nandyal</w:t>
      </w:r>
    </w:p>
    <w:p w14:paraId="63F7A325">
      <w:pPr>
        <w:spacing w:after="80"/>
        <w:jc w:val="center"/>
      </w:pPr>
      <w:r>
        <w:rPr>
          <w:rFonts w:ascii="Arial" w:hAnsi="Arial" w:eastAsia="Arial" w:cs="Arial"/>
          <w:i/>
          <w:iCs/>
          <w:color w:val="2E75B6"/>
          <w:sz w:val="20"/>
          <w:szCs w:val="20"/>
        </w:rPr>
        <w:t>PL-300 Certified Power BI Data Analyst Associate</w:t>
      </w:r>
    </w:p>
    <w:p w14:paraId="5E5C3F8E">
      <w:pPr>
        <w:spacing w:after="4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GitHub: github.com/buramsanjay004  |  Email: buramsanjay59@gmail.com</w:t>
      </w:r>
    </w:p>
    <w:p w14:paraId="68AB0F4F">
      <w:pPr>
        <w:pBdr>
          <w:bottom w:val="single" w:color="2E75B6" w:sz="8" w:space="1"/>
        </w:pBdr>
        <w:spacing w:after="320"/>
      </w:pPr>
    </w:p>
    <w:p w14:paraId="271762EC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Project Overview</w:t>
      </w:r>
    </w:p>
    <w:p w14:paraId="46349A3F">
      <w:pPr>
        <w:spacing w:after="120"/>
      </w:pPr>
      <w:r>
        <w:rPr>
          <w:rFonts w:ascii="Arial" w:hAnsi="Arial" w:eastAsia="Arial" w:cs="Arial"/>
          <w:sz w:val="22"/>
          <w:szCs w:val="22"/>
        </w:rPr>
        <w:t>This project presents an end-to-end Power BI dashboard built on a supermarket sales dataset comprising 1,000 transactions across three cities in Myanmar (Yangon, Mandalay, and Naypyitaw). The objective is to derive actionable business insights from raw retail data — covering product performance, customer behavior, payment trends, and revenue distribution.</w:t>
      </w:r>
    </w:p>
    <w:p w14:paraId="1668F6C4">
      <w:pPr>
        <w:spacing w:after="120"/>
      </w:pPr>
      <w:r>
        <w:rPr>
          <w:rFonts w:ascii="Arial" w:hAnsi="Arial" w:eastAsia="Arial" w:cs="Arial"/>
          <w:sz w:val="22"/>
          <w:szCs w:val="22"/>
        </w:rPr>
        <w:t>The dashboard was designed and published via Microsoft Fabric (Power BI Service) and demonstrates practical proficiency in data modeling, DAX measures, and interactive visualization design.</w:t>
      </w:r>
    </w:p>
    <w:p w14:paraId="14ED31D0">
      <w:pPr>
        <w:spacing w:after="160"/>
      </w:pPr>
    </w:p>
    <w:p w14:paraId="5639FBDF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Objectives</w:t>
      </w:r>
    </w:p>
    <w:p w14:paraId="4DA0EBD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Analyze sales performance across product lines and cities</w:t>
      </w:r>
    </w:p>
    <w:p w14:paraId="231696C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Identify customer payment preferences (Ewallet, Cash, Credit Card)</w:t>
      </w:r>
    </w:p>
    <w:p w14:paraId="6181228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Track revenue, unit price, and tax trends over time</w:t>
      </w:r>
    </w:p>
    <w:p w14:paraId="1CD1BC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Evaluate customer satisfaction ratings by product category</w:t>
      </w:r>
    </w:p>
    <w:p w14:paraId="3C263A9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Build a portfolio-ready, interactive Power BI report for GitHub and job applications</w:t>
      </w:r>
    </w:p>
    <w:p w14:paraId="7C71B37F">
      <w:pPr>
        <w:spacing w:after="160"/>
      </w:pPr>
    </w:p>
    <w:p w14:paraId="620612E5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Dataset Details</w:t>
      </w:r>
    </w:p>
    <w:p w14:paraId="3A2FDB0D">
      <w:pPr>
        <w:spacing w:after="120"/>
      </w:pPr>
      <w:r>
        <w:rPr>
          <w:rFonts w:ascii="Arial" w:hAnsi="Arial" w:eastAsia="Arial" w:cs="Arial"/>
          <w:sz w:val="22"/>
          <w:szCs w:val="22"/>
        </w:rPr>
        <w:t>The dataset (supermarket_sales_Sheet1_sanjay.xlsx) contains 1,000 rows of transactional retail data recorded from January to March 2019.</w:t>
      </w:r>
    </w:p>
    <w:p w14:paraId="4C545732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160"/>
        <w:gridCol w:w="2400"/>
      </w:tblGrid>
      <w:tr w14:paraId="500A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274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B68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C4D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</w:tr>
      <w:tr w14:paraId="72A2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1B68D">
            <w:r>
              <w:rPr>
                <w:rFonts w:ascii="Arial" w:hAnsi="Arial" w:eastAsia="Arial" w:cs="Arial"/>
                <w:sz w:val="20"/>
                <w:szCs w:val="20"/>
              </w:rPr>
              <w:t>Invoice ID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31D99">
            <w:r>
              <w:rPr>
                <w:rFonts w:ascii="Arial" w:hAnsi="Arial" w:eastAsia="Arial" w:cs="Arial"/>
                <w:sz w:val="20"/>
                <w:szCs w:val="20"/>
              </w:rPr>
              <w:t>Unique transaction identifier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8EECE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3BC5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A776F">
            <w:r>
              <w:rPr>
                <w:rFonts w:ascii="Arial" w:hAnsi="Arial" w:eastAsia="Arial" w:cs="Arial"/>
                <w:sz w:val="20"/>
                <w:szCs w:val="20"/>
              </w:rPr>
              <w:t>Branch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CC034">
            <w:r>
              <w:rPr>
                <w:rFonts w:ascii="Arial" w:hAnsi="Arial" w:eastAsia="Arial" w:cs="Arial"/>
                <w:sz w:val="20"/>
                <w:szCs w:val="20"/>
              </w:rPr>
              <w:t>Store branch (A, B, C)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81137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75E7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FA3C5">
            <w:r>
              <w:rPr>
                <w:rFonts w:ascii="Arial" w:hAnsi="Arial" w:eastAsia="Arial" w:cs="Arial"/>
                <w:sz w:val="20"/>
                <w:szCs w:val="20"/>
              </w:rPr>
              <w:t>City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7E5E9">
            <w:r>
              <w:rPr>
                <w:rFonts w:ascii="Arial" w:hAnsi="Arial" w:eastAsia="Arial" w:cs="Arial"/>
                <w:sz w:val="20"/>
                <w:szCs w:val="20"/>
              </w:rPr>
              <w:t>Yangon, Mandalay, Naypyitaw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EA405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7502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EAA73">
            <w:r>
              <w:rPr>
                <w:rFonts w:ascii="Arial" w:hAnsi="Arial" w:eastAsia="Arial" w:cs="Arial"/>
                <w:sz w:val="20"/>
                <w:szCs w:val="20"/>
              </w:rPr>
              <w:t>Customer type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6625B">
            <w:r>
              <w:rPr>
                <w:rFonts w:ascii="Arial" w:hAnsi="Arial" w:eastAsia="Arial" w:cs="Arial"/>
                <w:sz w:val="20"/>
                <w:szCs w:val="20"/>
              </w:rPr>
              <w:t>Member or Normal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AEB0E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04DF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AF62E">
            <w:r>
              <w:rPr>
                <w:rFonts w:ascii="Arial" w:hAnsi="Arial" w:eastAsia="Arial" w:cs="Arial"/>
                <w:sz w:val="20"/>
                <w:szCs w:val="20"/>
              </w:rPr>
              <w:t>Gender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9407C">
            <w:r>
              <w:rPr>
                <w:rFonts w:ascii="Arial" w:hAnsi="Arial" w:eastAsia="Arial" w:cs="Arial"/>
                <w:sz w:val="20"/>
                <w:szCs w:val="20"/>
              </w:rPr>
              <w:t>Male / Female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3D838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312A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FF483">
            <w:r>
              <w:rPr>
                <w:rFonts w:ascii="Arial" w:hAnsi="Arial" w:eastAsia="Arial" w:cs="Arial"/>
                <w:sz w:val="20"/>
                <w:szCs w:val="20"/>
              </w:rPr>
              <w:t>Product line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509AB">
            <w:r>
              <w:rPr>
                <w:rFonts w:ascii="Arial" w:hAnsi="Arial" w:eastAsia="Arial" w:cs="Arial"/>
                <w:sz w:val="20"/>
                <w:szCs w:val="20"/>
              </w:rPr>
              <w:t>6 product categories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319CB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3CAA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81AB4">
            <w:r>
              <w:rPr>
                <w:rFonts w:ascii="Arial" w:hAnsi="Arial" w:eastAsia="Arial" w:cs="Arial"/>
                <w:sz w:val="20"/>
                <w:szCs w:val="20"/>
              </w:rPr>
              <w:t>Unit price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C060C">
            <w:r>
              <w:rPr>
                <w:rFonts w:ascii="Arial" w:hAnsi="Arial" w:eastAsia="Arial" w:cs="Arial"/>
                <w:sz w:val="20"/>
                <w:szCs w:val="20"/>
              </w:rPr>
              <w:t>Price per unit (USD)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33C37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5E95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F661A">
            <w:r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0EE23">
            <w:r>
              <w:rPr>
                <w:rFonts w:ascii="Arial" w:hAnsi="Arial" w:eastAsia="Arial" w:cs="Arial"/>
                <w:sz w:val="20"/>
                <w:szCs w:val="20"/>
              </w:rPr>
              <w:t>Units purchased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E941E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</w:tr>
      <w:tr w14:paraId="2488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93651">
            <w:r>
              <w:rPr>
                <w:rFonts w:ascii="Arial" w:hAnsi="Arial" w:eastAsia="Arial" w:cs="Arial"/>
                <w:sz w:val="20"/>
                <w:szCs w:val="20"/>
              </w:rPr>
              <w:t>Tax 5%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D085C">
            <w:r>
              <w:rPr>
                <w:rFonts w:ascii="Arial" w:hAnsi="Arial" w:eastAsia="Arial" w:cs="Arial"/>
                <w:sz w:val="20"/>
                <w:szCs w:val="20"/>
              </w:rPr>
              <w:t>5% tax applied to total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ECDF0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364A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85A89">
            <w:r>
              <w:rPr>
                <w:rFonts w:ascii="Arial" w:hAnsi="Arial" w:eastAsia="Arial" w:cs="Arial"/>
                <w:sz w:val="20"/>
                <w:szCs w:val="20"/>
              </w:rPr>
              <w:t>Total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FBD41">
            <w:r>
              <w:rPr>
                <w:rFonts w:ascii="Arial" w:hAnsi="Arial" w:eastAsia="Arial" w:cs="Arial"/>
                <w:sz w:val="20"/>
                <w:szCs w:val="20"/>
              </w:rPr>
              <w:t>Final billing amount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409AD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0894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BCA5C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6B2AF">
            <w:r>
              <w:rPr>
                <w:rFonts w:ascii="Arial" w:hAnsi="Arial" w:eastAsia="Arial" w:cs="Arial"/>
                <w:sz w:val="20"/>
                <w:szCs w:val="20"/>
              </w:rPr>
              <w:t>Transaction date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546F8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</w:tr>
      <w:tr w14:paraId="0A1CE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637E1">
            <w:r>
              <w:rPr>
                <w:rFonts w:ascii="Arial" w:hAnsi="Arial" w:eastAsia="Arial" w:cs="Arial"/>
                <w:sz w:val="20"/>
                <w:szCs w:val="20"/>
              </w:rPr>
              <w:t>Time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187F7">
            <w:r>
              <w:rPr>
                <w:rFonts w:ascii="Arial" w:hAnsi="Arial" w:eastAsia="Arial" w:cs="Arial"/>
                <w:sz w:val="20"/>
                <w:szCs w:val="20"/>
              </w:rPr>
              <w:t>Transaction time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737E5">
            <w:r>
              <w:rPr>
                <w:rFonts w:ascii="Arial" w:hAnsi="Arial" w:eastAsia="Arial" w:cs="Arial"/>
                <w:sz w:val="20"/>
                <w:szCs w:val="20"/>
              </w:rPr>
              <w:t>Time</w:t>
            </w:r>
          </w:p>
        </w:tc>
      </w:tr>
      <w:tr w14:paraId="4543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3FD06">
            <w:r>
              <w:rPr>
                <w:rFonts w:ascii="Arial" w:hAnsi="Arial" w:eastAsia="Arial" w:cs="Arial"/>
                <w:sz w:val="20"/>
                <w:szCs w:val="20"/>
              </w:rPr>
              <w:t>Payment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2A3C1">
            <w:r>
              <w:rPr>
                <w:rFonts w:ascii="Arial" w:hAnsi="Arial" w:eastAsia="Arial" w:cs="Arial"/>
                <w:sz w:val="20"/>
                <w:szCs w:val="20"/>
              </w:rPr>
              <w:t>Ewallet / Cash / Credit Card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A0B8D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</w:tr>
      <w:tr w14:paraId="0D63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3EBE0">
            <w:r>
              <w:rPr>
                <w:rFonts w:ascii="Arial" w:hAnsi="Arial" w:eastAsia="Arial" w:cs="Arial"/>
                <w:sz w:val="20"/>
                <w:szCs w:val="20"/>
              </w:rPr>
              <w:t>COGS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12CE6">
            <w:r>
              <w:rPr>
                <w:rFonts w:ascii="Arial" w:hAnsi="Arial" w:eastAsia="Arial" w:cs="Arial"/>
                <w:sz w:val="20"/>
                <w:szCs w:val="20"/>
              </w:rPr>
              <w:t>Cost of goods sold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6ADFB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0FFB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64276">
            <w:r>
              <w:rPr>
                <w:rFonts w:ascii="Arial" w:hAnsi="Arial" w:eastAsia="Arial" w:cs="Arial"/>
                <w:sz w:val="20"/>
                <w:szCs w:val="20"/>
              </w:rPr>
              <w:t>Gross margin %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E3528">
            <w:r>
              <w:rPr>
                <w:rFonts w:ascii="Arial" w:hAnsi="Arial" w:eastAsia="Arial" w:cs="Arial"/>
                <w:sz w:val="20"/>
                <w:szCs w:val="20"/>
              </w:rPr>
              <w:t>Fixed at 4.76%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C4761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6F7E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A9CF3">
            <w:r>
              <w:rPr>
                <w:rFonts w:ascii="Arial" w:hAnsi="Arial" w:eastAsia="Arial" w:cs="Arial"/>
                <w:sz w:val="20"/>
                <w:szCs w:val="20"/>
              </w:rPr>
              <w:t>Gross income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37BBC">
            <w:r>
              <w:rPr>
                <w:rFonts w:ascii="Arial" w:hAnsi="Arial" w:eastAsia="Arial" w:cs="Arial"/>
                <w:sz w:val="20"/>
                <w:szCs w:val="20"/>
              </w:rPr>
              <w:t>Gross profit per transaction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17DDF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  <w:tr w14:paraId="0660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01BA7">
            <w:r>
              <w:rPr>
                <w:rFonts w:ascii="Arial" w:hAnsi="Arial" w:eastAsia="Arial" w:cs="Arial"/>
                <w:sz w:val="20"/>
                <w:szCs w:val="20"/>
              </w:rPr>
              <w:t>Rating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6537C">
            <w:r>
              <w:rPr>
                <w:rFonts w:ascii="Arial" w:hAnsi="Arial" w:eastAsia="Arial" w:cs="Arial"/>
                <w:sz w:val="20"/>
                <w:szCs w:val="20"/>
              </w:rPr>
              <w:t>Customer satisfaction (1–10)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01F7C"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</w:tr>
    </w:tbl>
    <w:p w14:paraId="42CA560C">
      <w:pPr>
        <w:spacing w:after="200"/>
      </w:pPr>
    </w:p>
    <w:p w14:paraId="18F1CF73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Dashboard Visuals &amp; Insights</w:t>
      </w:r>
    </w:p>
    <w:p w14:paraId="4C15626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Key KPI Cards</w:t>
      </w:r>
    </w:p>
    <w:p w14:paraId="36B2C98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Total Transactions: 1,000</w:t>
      </w:r>
    </w:p>
    <w:p w14:paraId="313B3BF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Sum of Unit Price: 55,672.13</w:t>
      </w:r>
    </w:p>
    <w:p w14:paraId="2F8CE3D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Sum of Rating: 6,972.70</w:t>
      </w:r>
    </w:p>
    <w:p w14:paraId="0AB496E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Count by Product Line (Waterfall Chart)</w:t>
      </w:r>
    </w:p>
    <w:p w14:paraId="2726DF84">
      <w:pPr>
        <w:spacing w:after="120"/>
      </w:pPr>
      <w:r>
        <w:rPr>
          <w:rFonts w:ascii="Arial" w:hAnsi="Arial" w:eastAsia="Arial" w:cs="Arial"/>
          <w:sz w:val="22"/>
          <w:szCs w:val="22"/>
        </w:rPr>
        <w:t>Fashion Accessories leads with 178 transactions, while Health &amp; Beauty is lowest at 152. The waterfall chart clearly visualizes incremental contribution of each product line to the total count.</w:t>
      </w:r>
    </w:p>
    <w:p w14:paraId="366E7C8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Tax 5% by Product Line (Horizontal Bar)</w:t>
      </w:r>
    </w:p>
    <w:p w14:paraId="6363418F">
      <w:pPr>
        <w:spacing w:after="120"/>
      </w:pPr>
      <w:r>
        <w:rPr>
          <w:rFonts w:ascii="Arial" w:hAnsi="Arial" w:eastAsia="Arial" w:cs="Arial"/>
          <w:sz w:val="22"/>
          <w:szCs w:val="22"/>
        </w:rPr>
        <w:t>Tax contribution is nearly uniform across all 6 product lines, ranging from 2.3K (Health &amp; Beauty) to 2.7K (Food &amp; Beverages), reflecting proportional revenue spread.</w:t>
      </w:r>
    </w:p>
    <w:p w14:paraId="4EAC83A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 Sales Count &amp; Quantity by City (Grouped Bar)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965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386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6D7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Transaction Count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962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Quantity</w:t>
            </w:r>
          </w:p>
        </w:tc>
      </w:tr>
      <w:tr w14:paraId="2044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E1D6D">
            <w:r>
              <w:rPr>
                <w:rFonts w:ascii="Arial" w:hAnsi="Arial" w:eastAsia="Arial" w:cs="Arial"/>
                <w:sz w:val="20"/>
                <w:szCs w:val="20"/>
              </w:rPr>
              <w:t>Yangon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81A37">
            <w:r>
              <w:rPr>
                <w:rFonts w:ascii="Arial" w:hAnsi="Arial" w:eastAsia="Arial" w:cs="Arial"/>
                <w:sz w:val="20"/>
                <w:szCs w:val="20"/>
              </w:rPr>
              <w:t>340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36BB8">
            <w:r>
              <w:rPr>
                <w:rFonts w:ascii="Arial" w:hAnsi="Arial" w:eastAsia="Arial" w:cs="Arial"/>
                <w:sz w:val="20"/>
                <w:szCs w:val="20"/>
              </w:rPr>
              <w:t>1,859</w:t>
            </w:r>
          </w:p>
        </w:tc>
      </w:tr>
      <w:tr w14:paraId="55E29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8FF9C">
            <w:r>
              <w:rPr>
                <w:rFonts w:ascii="Arial" w:hAnsi="Arial" w:eastAsia="Arial" w:cs="Arial"/>
                <w:sz w:val="20"/>
                <w:szCs w:val="20"/>
              </w:rPr>
              <w:t>Mandalay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8A603">
            <w:r>
              <w:rPr>
                <w:rFonts w:ascii="Arial" w:hAnsi="Arial" w:eastAsia="Arial" w:cs="Arial"/>
                <w:sz w:val="20"/>
                <w:szCs w:val="20"/>
              </w:rPr>
              <w:t>332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C2D93">
            <w:r>
              <w:rPr>
                <w:rFonts w:ascii="Arial" w:hAnsi="Arial" w:eastAsia="Arial" w:cs="Arial"/>
                <w:sz w:val="20"/>
                <w:szCs w:val="20"/>
              </w:rPr>
              <w:t>1,820</w:t>
            </w:r>
          </w:p>
        </w:tc>
      </w:tr>
      <w:tr w14:paraId="0AEA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C5840">
            <w:r>
              <w:rPr>
                <w:rFonts w:ascii="Arial" w:hAnsi="Arial" w:eastAsia="Arial" w:cs="Arial"/>
                <w:sz w:val="20"/>
                <w:szCs w:val="20"/>
              </w:rPr>
              <w:t>Naypyitaw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4A62E">
            <w:r>
              <w:rPr>
                <w:rFonts w:ascii="Arial" w:hAnsi="Arial" w:eastAsia="Arial" w:cs="Arial"/>
                <w:sz w:val="20"/>
                <w:szCs w:val="20"/>
              </w:rPr>
              <w:t>328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83572">
            <w:r>
              <w:rPr>
                <w:rFonts w:ascii="Arial" w:hAnsi="Arial" w:eastAsia="Arial" w:cs="Arial"/>
                <w:sz w:val="20"/>
                <w:szCs w:val="20"/>
              </w:rPr>
              <w:t>1,831</w:t>
            </w:r>
          </w:p>
        </w:tc>
      </w:tr>
    </w:tbl>
    <w:p w14:paraId="186A9B7F">
      <w:pPr>
        <w:spacing w:after="120"/>
      </w:pPr>
    </w:p>
    <w:p w14:paraId="1A984D5D">
      <w:pPr>
        <w:spacing w:after="120"/>
      </w:pPr>
      <w:r>
        <w:rPr>
          <w:rFonts w:ascii="Arial" w:hAnsi="Arial" w:eastAsia="Arial" w:cs="Arial"/>
          <w:sz w:val="22"/>
          <w:szCs w:val="22"/>
        </w:rPr>
        <w:t>Sales are well-distributed across all three cities, indicating consistent branch performance.</w:t>
      </w:r>
    </w:p>
    <w:p w14:paraId="11420F1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4.5  Payment Method Distribution (Donut Chart)</w:t>
      </w:r>
    </w:p>
    <w:p w14:paraId="392DE8E1">
      <w:pPr>
        <w:spacing w:after="120"/>
      </w:pPr>
      <w:r>
        <w:rPr>
          <w:rFonts w:ascii="Arial" w:hAnsi="Arial" w:eastAsia="Arial" w:cs="Arial"/>
          <w:sz w:val="22"/>
          <w:szCs w:val="22"/>
        </w:rPr>
        <w:t>Payment is split almost equally among three methods — Ewallet (34.5%), Cash (34.4%), and Credit Card (31.1%) — suggesting no single dominant payment preference among customers.</w:t>
      </w:r>
    </w:p>
    <w:p w14:paraId="594BC8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4.6  Unit Price by Date (Horizontal Bar)</w:t>
      </w:r>
    </w:p>
    <w:p w14:paraId="32042DE5">
      <w:pPr>
        <w:spacing w:after="120"/>
      </w:pPr>
      <w:r>
        <w:rPr>
          <w:rFonts w:ascii="Arial" w:hAnsi="Arial" w:eastAsia="Arial" w:cs="Arial"/>
          <w:sz w:val="22"/>
          <w:szCs w:val="22"/>
        </w:rPr>
        <w:t>Peak unit price sum was recorded on 15-Feb-2019 (1,174), followed by 25-Feb-2019 (1,122). This visual helps identify high-revenue dates for promotional planning.</w:t>
      </w:r>
    </w:p>
    <w:p w14:paraId="792BBD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4.7  Rating by Product Line (Donut Chart)</w:t>
      </w:r>
    </w:p>
    <w:p w14:paraId="3A7C2292">
      <w:pPr>
        <w:spacing w:after="120"/>
      </w:pPr>
      <w:r>
        <w:rPr>
          <w:rFonts w:ascii="Arial" w:hAnsi="Arial" w:eastAsia="Arial" w:cs="Arial"/>
          <w:sz w:val="22"/>
          <w:szCs w:val="22"/>
        </w:rPr>
        <w:t>Food &amp; Beverages received the highest cumulative rating (1.25K / 17.94%), while Health &amp; Beauty scored lowest (1.06K / 15.27%), indicating an opportunity for product quality improvement.</w:t>
      </w:r>
    </w:p>
    <w:p w14:paraId="2957FD75">
      <w:pPr>
        <w:spacing w:after="160"/>
      </w:pPr>
    </w:p>
    <w:p w14:paraId="428543B1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Tools &amp; Technologies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76B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DC7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D4F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499C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74E47">
            <w:r>
              <w:rPr>
                <w:rFonts w:ascii="Arial" w:hAnsi="Arial" w:eastAsia="Arial" w:cs="Arial"/>
                <w:sz w:val="20"/>
                <w:szCs w:val="20"/>
              </w:rPr>
              <w:t>Microsoft Power BI Desktop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CDEE1">
            <w:r>
              <w:rPr>
                <w:rFonts w:ascii="Arial" w:hAnsi="Arial" w:eastAsia="Arial" w:cs="Arial"/>
                <w:sz w:val="20"/>
                <w:szCs w:val="20"/>
              </w:rPr>
              <w:t>Dashboard design, DAX measures, data modeling</w:t>
            </w:r>
          </w:p>
        </w:tc>
      </w:tr>
      <w:tr w14:paraId="4121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F5E5E">
            <w:r>
              <w:rPr>
                <w:rFonts w:ascii="Arial" w:hAnsi="Arial" w:eastAsia="Arial" w:cs="Arial"/>
                <w:sz w:val="20"/>
                <w:szCs w:val="20"/>
              </w:rPr>
              <w:t>Microsoft Fabric (Power BI Service)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8FDEE">
            <w:r>
              <w:rPr>
                <w:rFonts w:ascii="Arial" w:hAnsi="Arial" w:eastAsia="Arial" w:cs="Arial"/>
                <w:sz w:val="20"/>
                <w:szCs w:val="20"/>
              </w:rPr>
              <w:t>Report publishing and sharing</w:t>
            </w:r>
          </w:p>
        </w:tc>
      </w:tr>
      <w:tr w14:paraId="7001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ABBDB">
            <w:r>
              <w:rPr>
                <w:rFonts w:ascii="Arial" w:hAnsi="Arial" w:eastAsia="Arial" w:cs="Arial"/>
                <w:sz w:val="20"/>
                <w:szCs w:val="20"/>
              </w:rPr>
              <w:t>Microsoft Excel (.xlsx)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F52F0">
            <w:r>
              <w:rPr>
                <w:rFonts w:ascii="Arial" w:hAnsi="Arial" w:eastAsia="Arial" w:cs="Arial"/>
                <w:sz w:val="20"/>
                <w:szCs w:val="20"/>
              </w:rPr>
              <w:t>Source dataset</w:t>
            </w:r>
          </w:p>
        </w:tc>
      </w:tr>
      <w:tr w14:paraId="58B6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91E59">
            <w:r>
              <w:rPr>
                <w:rFonts w:ascii="Arial" w:hAnsi="Arial" w:eastAsia="Arial" w:cs="Arial"/>
                <w:sz w:val="20"/>
                <w:szCs w:val="20"/>
              </w:rPr>
              <w:t>DAX (Data Analysis Expressions)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E459B">
            <w:r>
              <w:rPr>
                <w:rFonts w:ascii="Arial" w:hAnsi="Arial" w:eastAsia="Arial" w:cs="Arial"/>
                <w:sz w:val="20"/>
                <w:szCs w:val="20"/>
              </w:rPr>
              <w:t>KPI calculations and measures</w:t>
            </w:r>
          </w:p>
        </w:tc>
      </w:tr>
      <w:tr w14:paraId="176B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FFC2A">
            <w:r>
              <w:rPr>
                <w:rFonts w:ascii="Arial" w:hAnsi="Arial" w:eastAsia="Arial" w:cs="Arial"/>
                <w:sz w:val="20"/>
                <w:szCs w:val="20"/>
              </w:rPr>
              <w:t>GitHub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2721A">
            <w:r>
              <w:rPr>
                <w:rFonts w:ascii="Arial" w:hAnsi="Arial" w:eastAsia="Arial" w:cs="Arial"/>
                <w:sz w:val="20"/>
                <w:szCs w:val="20"/>
              </w:rPr>
              <w:t>Version control and portfolio hosting</w:t>
            </w:r>
          </w:p>
        </w:tc>
      </w:tr>
    </w:tbl>
    <w:p w14:paraId="4A2F7E21">
      <w:pPr>
        <w:spacing w:after="200"/>
      </w:pPr>
    </w:p>
    <w:p w14:paraId="3C8DAA45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Key Findings</w:t>
      </w:r>
    </w:p>
    <w:p w14:paraId="5464B8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Fashion Accessories is the top-performing product line by transaction volume.</w:t>
      </w:r>
    </w:p>
    <w:p w14:paraId="448EDF2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Revenue and quantity are evenly distributed across the three city branches.</w:t>
      </w:r>
    </w:p>
    <w:p w14:paraId="27F076C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Customers show no strong preference between digital and cash payment methods.</w:t>
      </w:r>
    </w:p>
    <w:p w14:paraId="4853D0C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Food &amp; Beverages consistently earns higher customer satisfaction ratings.</w:t>
      </w:r>
    </w:p>
    <w:p w14:paraId="4EEA3FD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Health &amp; Beauty has both the lowest transaction count and lowest rating — a key area for business improvement.</w:t>
      </w:r>
    </w:p>
    <w:p w14:paraId="05833B1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Mid-February recorded the highest unit price concentration, suggesting a seasonal or promotional spike.</w:t>
      </w:r>
    </w:p>
    <w:p w14:paraId="12F3D560">
      <w:pPr>
        <w:spacing w:after="160"/>
      </w:pPr>
    </w:p>
    <w:p w14:paraId="442422D9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Future Enhancements</w:t>
      </w:r>
    </w:p>
    <w:p w14:paraId="79E6B45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Add date slicer to enable dynamic filtering by month and week</w:t>
      </w:r>
    </w:p>
    <w:p w14:paraId="373297D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Include gross profit margin visual to surface profitability by product line</w:t>
      </w:r>
    </w:p>
    <w:p w14:paraId="02A1CA5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Add average rating (instead of sum) for a more accurate satisfaction metric</w:t>
      </w:r>
    </w:p>
    <w:p w14:paraId="636B08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Incorporate customer type (Member vs Normal) segmentation for deeper behavioral analysis</w:t>
      </w:r>
    </w:p>
    <w:p w14:paraId="138F286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Build a drill-through page for branch-level transaction detail</w:t>
      </w:r>
    </w:p>
    <w:p w14:paraId="00E835E5">
      <w:pPr>
        <w:spacing w:after="160"/>
      </w:pPr>
    </w:p>
    <w:p w14:paraId="50A460A2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8. Project Links &amp; Contact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9FB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D96F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D0A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Link / Detail</w:t>
            </w:r>
          </w:p>
        </w:tc>
      </w:tr>
      <w:tr w14:paraId="0644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A9CDB">
            <w:r>
              <w:rPr>
                <w:rFonts w:ascii="Arial" w:hAnsi="Arial" w:eastAsia="Arial" w:cs="Arial"/>
                <w:sz w:val="20"/>
                <w:szCs w:val="20"/>
              </w:rPr>
              <w:t>GitHub Profile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EF02D">
            <w:r>
              <w:rPr>
                <w:rFonts w:ascii="Arial" w:hAnsi="Arial" w:eastAsia="Arial" w:cs="Arial"/>
                <w:sz w:val="20"/>
                <w:szCs w:val="20"/>
              </w:rPr>
              <w:t>github.com/buramsanjay004</w:t>
            </w:r>
          </w:p>
        </w:tc>
      </w:tr>
      <w:tr w14:paraId="5CAAD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ACE36">
            <w:r>
              <w:rPr>
                <w:rFonts w:ascii="Arial" w:hAnsi="Arial" w:eastAsia="Arial" w:cs="Arial"/>
                <w:sz w:val="20"/>
                <w:szCs w:val="20"/>
              </w:rPr>
              <w:t>LinkedIn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EA143">
            <w:r>
              <w:rPr>
                <w:rFonts w:ascii="Arial" w:hAnsi="Arial" w:eastAsia="Arial" w:cs="Arial"/>
                <w:sz w:val="20"/>
                <w:szCs w:val="20"/>
              </w:rPr>
              <w:t>linkedin.com/in/buram-sanjay-308ba5370</w:t>
            </w:r>
          </w:p>
        </w:tc>
      </w:tr>
      <w:tr w14:paraId="233AB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6A20F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8C7C2">
            <w:r>
              <w:rPr>
                <w:rFonts w:ascii="Arial" w:hAnsi="Arial" w:eastAsia="Arial" w:cs="Arial"/>
                <w:sz w:val="20"/>
                <w:szCs w:val="20"/>
              </w:rPr>
              <w:t>buramsanjay59@gmail.com</w:t>
            </w:r>
          </w:p>
        </w:tc>
      </w:tr>
      <w:tr w14:paraId="04E2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D54BA">
            <w:r>
              <w:rPr>
                <w:rFonts w:ascii="Arial" w:hAnsi="Arial" w:eastAsia="Arial" w:cs="Arial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A8282">
            <w:r>
              <w:rPr>
                <w:rFonts w:ascii="Arial" w:hAnsi="Arial" w:eastAsia="Arial" w:cs="Arial"/>
                <w:sz w:val="20"/>
                <w:szCs w:val="20"/>
              </w:rPr>
              <w:t>+91 9705444542</w:t>
            </w:r>
          </w:p>
        </w:tc>
      </w:tr>
      <w:tr w14:paraId="30D5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8D276">
            <w:r>
              <w:rPr>
                <w:rFonts w:ascii="Arial" w:hAnsi="Arial" w:eastAsia="Arial" w:cs="Arial"/>
                <w:sz w:val="20"/>
                <w:szCs w:val="20"/>
              </w:rPr>
              <w:t>Power BI Certification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EF612">
            <w:r>
              <w:rPr>
                <w:rFonts w:ascii="Arial" w:hAnsi="Arial" w:eastAsia="Arial" w:cs="Arial"/>
                <w:sz w:val="20"/>
                <w:szCs w:val="20"/>
              </w:rPr>
              <w:t>PL-300 | Credential ID: FD1AF869E0E24D6A (Valid until April 2027)</w:t>
            </w:r>
          </w:p>
        </w:tc>
      </w:tr>
      <w:tr w14:paraId="788A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30E81">
            <w:r>
              <w:rPr>
                <w:rFonts w:ascii="Arial" w:hAnsi="Arial" w:eastAsia="Arial" w:cs="Arial"/>
                <w:sz w:val="20"/>
                <w:szCs w:val="20"/>
              </w:rPr>
              <w:t>Dataset Source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3452C">
            <w:r>
              <w:rPr>
                <w:rFonts w:ascii="Arial" w:hAnsi="Arial" w:eastAsia="Arial" w:cs="Arial"/>
                <w:sz w:val="20"/>
                <w:szCs w:val="20"/>
              </w:rPr>
              <w:t>supermarket_sales_Sheet1_sanjay.xlsx (1,000 rows, Jan–Mar 2019)</w:t>
            </w:r>
          </w:p>
        </w:tc>
      </w:tr>
    </w:tbl>
    <w:p w14:paraId="73952E35">
      <w:pPr>
        <w:spacing w:after="200"/>
      </w:pPr>
    </w:p>
    <w:p w14:paraId="789B8636">
      <w:pPr>
        <w:pStyle w:val="2"/>
        <w:pBdr>
          <w:bottom w:val="single" w:color="2E75B6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About the Author</w:t>
      </w:r>
    </w:p>
    <w:p w14:paraId="79E291BE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Buram </w:t>
      </w:r>
      <w:r>
        <w:rPr>
          <w:rFonts w:hint="default" w:cs="Arial"/>
          <w:sz w:val="22"/>
          <w:szCs w:val="22"/>
          <w:lang w:val="en-US"/>
        </w:rPr>
        <w:t xml:space="preserve">Madhu 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Sanjay is a final-year B.Tech Electronics and Communication Engineering student at RGMCET (Autonomous), Nandyal, Andhra Pradesh (Reg. No: 22091A0498), graduating in 2026. He holds the Microsoft Certified Power BI Data Analyst Associate (PL-300) certification and has completed a SmartBridge Data Analytics Virtual Internship with a focus on Tableau. He is actively seeking Data Analyst and Business Intelligence Analyst roles across Hyderabad, Pune, and Chennai.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C72C1">
    <w:pPr>
      <w:pBdr>
        <w:top w:val="single" w:color="CCCCCC" w:sz="4" w:space="1"/>
      </w:pBdr>
      <w:spacing w:before="120"/>
      <w:jc w:val="center"/>
    </w:pPr>
    <w:r>
      <w:rPr>
        <w:rFonts w:ascii="Arial" w:hAnsi="Arial" w:eastAsia="Arial" w:cs="Arial"/>
        <w:color w:val="888888"/>
        <w:sz w:val="18"/>
        <w:szCs w:val="18"/>
      </w:rPr>
      <w:t>Buram Sanjay  |  buramsanjay59@gmail.com  |  linkedin.com/in/buram-sanjay-308ba5370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71952">
    <w:pPr>
      <w:pBdr>
        <w:bottom w:val="single" w:color="2E75B6" w:sz="6" w:space="1"/>
      </w:pBdr>
      <w:spacing w:after="120"/>
    </w:pPr>
    <w:r>
      <w:rPr>
        <w:rFonts w:ascii="Arial" w:hAnsi="Arial" w:eastAsia="Arial" w:cs="Arial"/>
        <w:i/>
        <w:iCs/>
        <w:color w:val="2E75B6"/>
        <w:sz w:val="18"/>
        <w:szCs w:val="18"/>
      </w:rPr>
      <w:t>Supermarket Sales Analytics Dashboard  |  Power BI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5D1C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437</Words>
  <Characters>2597</Characters>
  <TotalTime>2</TotalTime>
  <ScaleCrop>false</ScaleCrop>
  <LinksUpToDate>false</LinksUpToDate>
  <CharactersWithSpaces>2948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2026-05-14T05:24:00Z</dcterms:created>
  <dc:creator>Un-named</dc:creator>
  <cp:lastModifiedBy>Sanjay Yadav</cp:lastModifiedBy>
  <dcterms:modified xsi:type="dcterms:W3CDTF">2026-05-14T05:28:53Z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eyJoZGlkIjoiNjEyOTRkZmExOWMyNmExOGQ1ZTg0ZGM1YTgyY2EzMmQiLCJ1c2VySWQiOiI1Njc2NjI2NzgwMTQifQ==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B6BDA4A6DFCD4385A66C96BCE15DAD31_12</vt:lpwstr>
  </property>
</Properties>
</file>