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7ED" w:rsidRDefault="00FD77ED" w:rsidP="00FD77ED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:rsidR="00FD77ED" w:rsidRPr="001C55F5" w:rsidRDefault="00FD77ED" w:rsidP="00FD77ED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:rsidR="00FD77ED" w:rsidRPr="00CB6627" w:rsidRDefault="00FD77ED" w:rsidP="00FD77ED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Grade: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</w:t>
      </w:r>
      <w:r>
        <w:rPr>
          <w:rFonts w:cstheme="minorHAnsi"/>
          <w:sz w:val="24"/>
          <w:szCs w:val="24"/>
        </w:rPr>
        <w:t>-g</w:t>
      </w:r>
      <w:r w:rsidRPr="00034003">
        <w:rPr>
          <w:rFonts w:cstheme="minorHAnsi"/>
          <w:sz w:val="24"/>
          <w:szCs w:val="24"/>
        </w:rPr>
        <w:t>rade refines the risk assessment within a grade, providing additional risk differentiation.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</w:t>
      </w:r>
      <w:r>
        <w:rPr>
          <w:rFonts w:cstheme="minorHAnsi"/>
          <w:sz w:val="24"/>
          <w:szCs w:val="24"/>
        </w:rPr>
        <w:t>g</w:t>
      </w:r>
      <w:r w:rsidRPr="00034003">
        <w:rPr>
          <w:rFonts w:cstheme="minorHAnsi"/>
          <w:sz w:val="24"/>
          <w:szCs w:val="24"/>
        </w:rPr>
        <w:t>rades offer a finer level of risk assessment, helping banks tailor interest rates and lending terms to match borrower risk profiles.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>
        <w:rPr>
          <w:rFonts w:cstheme="minorHAnsi"/>
          <w:sz w:val="24"/>
          <w:szCs w:val="24"/>
        </w:rPr>
        <w:t>The l</w:t>
      </w:r>
      <w:r w:rsidRPr="00034003">
        <w:rPr>
          <w:rFonts w:cstheme="minorHAnsi"/>
          <w:sz w:val="24"/>
          <w:szCs w:val="24"/>
        </w:rPr>
        <w:t>ast Payment Date marks the most recent loan payment received. It tracks the borrower's payment history.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034003">
        <w:rPr>
          <w:rFonts w:cstheme="minorHAnsi"/>
          <w:sz w:val="24"/>
          <w:szCs w:val="24"/>
        </w:rPr>
        <w:t>calculate delinquency, and project future payments.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</w:t>
      </w:r>
      <w:r>
        <w:rPr>
          <w:rFonts w:cstheme="minorHAnsi"/>
          <w:sz w:val="24"/>
          <w:szCs w:val="24"/>
        </w:rPr>
        <w:t>he t</w:t>
      </w:r>
      <w:r w:rsidRPr="00034003">
        <w:rPr>
          <w:rFonts w:cstheme="minorHAnsi"/>
          <w:sz w:val="24"/>
          <w:szCs w:val="24"/>
        </w:rPr>
        <w:t>erm defines the duration of the loan in months. It sets the repayment period.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Verification Status: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FD77ED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FD77ED" w:rsidRPr="00034003" w:rsidRDefault="00FD77ED" w:rsidP="00FD77E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</w:t>
      </w:r>
      <w:r>
        <w:rPr>
          <w:rFonts w:cstheme="minorHAnsi"/>
          <w:sz w:val="24"/>
          <w:szCs w:val="24"/>
        </w:rPr>
        <w:t>s</w:t>
      </w:r>
      <w:r w:rsidRPr="00034003">
        <w:rPr>
          <w:rFonts w:cstheme="minorHAnsi"/>
          <w:sz w:val="24"/>
          <w:szCs w:val="24"/>
        </w:rPr>
        <w:t xml:space="preserve"> to determine loan size</w:t>
      </w:r>
    </w:p>
    <w:p w:rsidR="00FD77ED" w:rsidRDefault="00FD77ED" w:rsidP="00FD77ED">
      <w:pPr>
        <w:jc w:val="both"/>
      </w:pPr>
    </w:p>
    <w:p w:rsidR="00FD77ED" w:rsidRDefault="00FD77ED"/>
    <w:sectPr w:rsidR="00FD7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ED"/>
    <w:rsid w:val="00F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4621F5"/>
  <w15:chartTrackingRefBased/>
  <w15:docId w15:val="{2F90A82B-4AB2-5644-B3EB-4D075006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7ED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2024-04-19T18:37:00Z</dcterms:created>
  <dcterms:modified xsi:type="dcterms:W3CDTF">2024-04-19T18:39:00Z</dcterms:modified>
</cp:coreProperties>
</file>