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MedSyn Interactive Dialogue Analysis (Session 2 &amp; Session 4)</w:t>
      </w:r>
    </w:p>
    <w:p/>
    <w:p>
      <w:r>
        <w:t>This report focuses on interaction dynamics in the MedSyn user experiments, emphasizing dialogue structure and turn-level quality signals rather than final-answer accuracy or completion time.</w:t>
      </w:r>
    </w:p>
    <w:p>
      <w:pPr>
        <w:pStyle w:val="Heading1"/>
      </w:pPr>
      <w:r>
        <w:t>1. Analysis goals</w:t>
      </w:r>
    </w:p>
    <w:p>
      <w:r>
        <w:t>We quantify how physicians interact with MedSyn during case solving, with a particular focus on:</w:t>
      </w:r>
    </w:p>
    <w:p>
      <w:pPr>
        <w:pStyle w:val="ListBullet"/>
      </w:pPr>
      <w:r>
        <w:t>Dialogue effort: number of turns per case and how it differs between residents and senior clinicians.</w:t>
      </w:r>
    </w:p>
    <w:p>
      <w:pPr>
        <w:pStyle w:val="ListBullet"/>
      </w:pPr>
      <w:r>
        <w:t>Dialogue style: what types of questions are asked (detail-seeking vs suggestion-seeking).</w:t>
      </w:r>
    </w:p>
    <w:p>
      <w:pPr>
        <w:pStyle w:val="ListBullet"/>
      </w:pPr>
      <w:r>
        <w:t>Turn-level quality: Faithfulness and Answer Relevancy per turn, using the clinical note as the 'retrieved context'.</w:t>
      </w:r>
    </w:p>
    <w:p>
      <w:pPr>
        <w:pStyle w:val="ListBullet"/>
      </w:pPr>
      <w:r>
        <w:t>Interaction utility: qualitative examples (especially hard/rare cases) where interaction appears to help—or fails due to misdirected questioning.</w:t>
      </w:r>
    </w:p>
    <w:p>
      <w:pPr>
        <w:pStyle w:val="Heading1"/>
      </w:pPr>
      <w:r>
        <w:t>2. Data sources and preprocessing</w:t>
      </w:r>
    </w:p>
    <w:p>
      <w:r>
        <w:t>Inputs:</w:t>
      </w:r>
    </w:p>
    <w:p>
      <w:pPr>
        <w:pStyle w:val="ListBullet"/>
      </w:pPr>
      <w:r>
        <w:t>Merged dialogue logs (one JSONL per user) for Session 2 and Session 4.</w:t>
      </w:r>
    </w:p>
    <w:p>
      <w:pPr>
        <w:pStyle w:val="ListBullet"/>
      </w:pPr>
      <w:r>
        <w:t>Case-level clinical notes and ground-truth discharge diagnoses (primary diagnosis used when available).</w:t>
      </w:r>
    </w:p>
    <w:p>
      <w:r>
        <w:t>Dialogue parsing rules:</w:t>
      </w:r>
    </w:p>
    <w:p>
      <w:pPr>
        <w:pStyle w:val="ListBullet"/>
      </w:pPr>
      <w:r>
        <w:t>Case boundaries are detected via system messages CASE_START and CASE_END.</w:t>
      </w:r>
    </w:p>
    <w:p>
      <w:pPr>
        <w:pStyle w:val="ListBullet"/>
      </w:pPr>
      <w:r>
        <w:t>A turn is a (user question → MedSyn response) pair. 'final answer:' user messages are excluded from turn counts and turn-level scoring.</w:t>
      </w:r>
    </w:p>
    <w:p>
      <w:pPr>
        <w:pStyle w:val="ListBullet"/>
      </w:pPr>
      <w:r>
        <w:t>Residents are inferred from user IDs starting with 'res'; senior clinicians from 'phy'.</w:t>
      </w:r>
    </w:p>
    <w:p>
      <w:pPr>
        <w:pStyle w:val="Heading1"/>
      </w:pPr>
      <w:r>
        <w:t>3. Dialogue metrics</w:t>
      </w:r>
    </w:p>
    <w:p>
      <w:r>
        <w:t>3.1 Turn counts and time</w:t>
      </w:r>
    </w:p>
    <w:p>
      <w:r>
        <w:t>For each (user, case), we compute the number of turn pairs and the case duration (CASE_START → CASE_END).</w:t>
      </w:r>
    </w:p>
    <w:p>
      <w:r>
        <w:t>3.2 Physician question taxonomy</w:t>
      </w:r>
    </w:p>
    <w:p>
      <w:r>
        <w:t>Each user question is classified into one of four heuristic categories:</w:t>
      </w:r>
    </w:p>
    <w:p>
      <w:pPr>
        <w:pStyle w:val="ListBullet"/>
      </w:pPr>
      <w:r>
        <w:t>detail_request: asks for a specific lab/imaging/report item (e.g., “CT report?”, “troponin?”).</w:t>
      </w:r>
    </w:p>
    <w:p>
      <w:pPr>
        <w:pStyle w:val="ListBullet"/>
      </w:pPr>
      <w:r>
        <w:t>info_request: asks for general clinical info (e.g., demographics, symptom onset, exam findings).</w:t>
      </w:r>
    </w:p>
    <w:p>
      <w:pPr>
        <w:pStyle w:val="ListBullet"/>
      </w:pPr>
      <w:r>
        <w:t>suggestion: asks for interpretation/differential/next steps (e.g., “what is the diagnosis?”, “differential?”).</w:t>
      </w:r>
    </w:p>
    <w:p>
      <w:pPr>
        <w:pStyle w:val="ListBullet"/>
      </w:pPr>
      <w:r>
        <w:t>other: short acknowledgements or ambiguous prompts.</w:t>
      </w:r>
    </w:p>
    <w:p>
      <w:r>
        <w:t>3.3 Turn-level grounding proxies (offline, reproducible)</w:t>
      </w:r>
    </w:p>
    <w:p>
      <w:r>
        <w:t>Because LLM-as-judge scoring requires an external model call, the baseline run computes two deterministic proxies:</w:t>
      </w:r>
    </w:p>
    <w:p>
      <w:pPr>
        <w:pStyle w:val="ListBullet"/>
      </w:pPr>
      <w:r>
        <w:t>Context overlap (proxy for faithfulness/grounding): fraction of answer content tokens that appear in the clinical note context.</w:t>
      </w:r>
    </w:p>
    <w:p>
      <w:pPr>
        <w:pStyle w:val="ListBullet"/>
      </w:pPr>
      <w:r>
        <w:t>Question overlap (proxy for relevancy): fraction of answer content tokens that appear in the question.</w:t>
      </w:r>
    </w:p>
    <w:p>
      <w:r>
        <w:t>3.4 LLM-judge Faithfulness and Answer Relevancy (OpenRouter, reproducible)</w:t>
      </w:r>
    </w:p>
    <w:p>
      <w:r>
        <w:t>The codebase includes an optional OpenRouter-backed judge that returns per-turn Faithfulness and Answer Relevancy scores in [0,1], following the RAGAS metric concepts (faithfulness = factual consistency with retrieved context; answer relevancy = pertinence to the question).</w:t>
      </w:r>
    </w:p>
    <w:p>
      <w:pPr>
        <w:pStyle w:val="Heading1"/>
      </w:pPr>
      <w:r>
        <w:t>4. Quantitative results</w:t>
      </w:r>
    </w:p>
    <w:p>
      <w:r>
        <w:t>4.1 Turn counts by group and session</w:t>
      </w:r>
    </w:p>
    <w:p>
      <w:r>
        <w:rPr>
          <w:b/>
        </w:rPr>
        <w:t>Table 1. Case-level interaction effort (mean turns per case).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session</w:t>
            </w:r>
          </w:p>
        </w:tc>
        <w:tc>
          <w:tcPr>
            <w:tcW w:type="dxa" w:w="1440"/>
          </w:tcPr>
          <w:p>
            <w:r>
              <w:t>group</w:t>
            </w:r>
          </w:p>
        </w:tc>
        <w:tc>
          <w:tcPr>
            <w:tcW w:type="dxa" w:w="1440"/>
          </w:tcPr>
          <w:p>
            <w:r>
              <w:t>n_cases</w:t>
            </w:r>
          </w:p>
        </w:tc>
        <w:tc>
          <w:tcPr>
            <w:tcW w:type="dxa" w:w="1440"/>
          </w:tcPr>
          <w:p>
            <w:r>
              <w:t>mean_turns</w:t>
            </w:r>
          </w:p>
        </w:tc>
        <w:tc>
          <w:tcPr>
            <w:tcW w:type="dxa" w:w="1440"/>
          </w:tcPr>
          <w:p>
            <w:r>
              <w:t>median_turns</w:t>
            </w:r>
          </w:p>
        </w:tc>
        <w:tc>
          <w:tcPr>
            <w:tcW w:type="dxa" w:w="1440"/>
          </w:tcPr>
          <w:p>
            <w:r>
              <w:t>mean_duration_min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clinician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6.23</w:t>
            </w:r>
          </w:p>
        </w:tc>
        <w:tc>
          <w:tcPr>
            <w:tcW w:type="dxa" w:w="1440"/>
          </w:tcPr>
          <w:p>
            <w:r>
              <w:t>5.00</w:t>
            </w:r>
          </w:p>
        </w:tc>
        <w:tc>
          <w:tcPr>
            <w:tcW w:type="dxa" w:w="1440"/>
          </w:tcPr>
          <w:p>
            <w:r>
              <w:t>3.96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resident</w:t>
            </w:r>
          </w:p>
        </w:tc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4.54</w:t>
            </w:r>
          </w:p>
        </w:tc>
        <w:tc>
          <w:tcPr>
            <w:tcW w:type="dxa" w:w="1440"/>
          </w:tcPr>
          <w:p>
            <w:r>
              <w:t>4.00</w:t>
            </w:r>
          </w:p>
        </w:tc>
        <w:tc>
          <w:tcPr>
            <w:tcW w:type="dxa" w:w="1440"/>
          </w:tcPr>
          <w:p>
            <w:r>
              <w:t>4.26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clinician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4.05</w:t>
            </w:r>
          </w:p>
        </w:tc>
        <w:tc>
          <w:tcPr>
            <w:tcW w:type="dxa" w:w="1440"/>
          </w:tcPr>
          <w:p>
            <w:r>
              <w:t>4.00</w:t>
            </w:r>
          </w:p>
        </w:tc>
        <w:tc>
          <w:tcPr>
            <w:tcW w:type="dxa" w:w="1440"/>
          </w:tcPr>
          <w:p>
            <w:r>
              <w:t>3.40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resident</w:t>
            </w:r>
          </w:p>
        </w:tc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3.69</w:t>
            </w:r>
          </w:p>
        </w:tc>
        <w:tc>
          <w:tcPr>
            <w:tcW w:type="dxa" w:w="1440"/>
          </w:tcPr>
          <w:p>
            <w:r>
              <w:t>4.00</w:t>
            </w:r>
          </w:p>
        </w:tc>
        <w:tc>
          <w:tcPr>
            <w:tcW w:type="dxa" w:w="1440"/>
          </w:tcPr>
          <w:p>
            <w:r>
              <w:t>3.99</w:t>
            </w:r>
          </w:p>
        </w:tc>
      </w:tr>
    </w:tbl>
    <w:p/>
    <w:p>
      <w:r>
        <w:t>Figure 1. Mean turns per case by group and session.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urns_by_group_ses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Key observations:</w:t>
      </w:r>
    </w:p>
    <w:p>
      <w:pPr>
        <w:pStyle w:val="ListBullet"/>
      </w:pPr>
      <w:r>
        <w:t>Senior clinicians used more turns per case than residents in both sessions (Session 2: 6.23 vs 4.54; Session 4: 4.05 vs 3.69).</w:t>
      </w:r>
    </w:p>
    <w:p>
      <w:pPr>
        <w:pStyle w:val="ListBullet"/>
      </w:pPr>
      <w:r>
        <w:t>Residents tended to take longer per case despite fewer turns, suggesting longer between-turn deliberation or interruptions.</w:t>
      </w:r>
    </w:p>
    <w:p>
      <w:r>
        <w:t>4.2 Question types (detail-seeking vs suggestion-seeking)</w:t>
      </w:r>
    </w:p>
    <w:p>
      <w:r>
        <w:rPr>
          <w:b/>
        </w:rPr>
        <w:t>Table 2. Physician question-type distribution (percentage of questions).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session</w:t>
            </w:r>
          </w:p>
        </w:tc>
        <w:tc>
          <w:tcPr>
            <w:tcW w:type="dxa" w:w="1440"/>
          </w:tcPr>
          <w:p>
            <w:r>
              <w:t>group</w:t>
            </w:r>
          </w:p>
        </w:tc>
        <w:tc>
          <w:tcPr>
            <w:tcW w:type="dxa" w:w="1440"/>
          </w:tcPr>
          <w:p>
            <w:r>
              <w:t>detail_req</w:t>
            </w:r>
          </w:p>
        </w:tc>
        <w:tc>
          <w:tcPr>
            <w:tcW w:type="dxa" w:w="1440"/>
          </w:tcPr>
          <w:p>
            <w:r>
              <w:t>info_req</w:t>
            </w:r>
          </w:p>
        </w:tc>
        <w:tc>
          <w:tcPr>
            <w:tcW w:type="dxa" w:w="1440"/>
          </w:tcPr>
          <w:p>
            <w:r>
              <w:t>other</w:t>
            </w:r>
          </w:p>
        </w:tc>
        <w:tc>
          <w:tcPr>
            <w:tcW w:type="dxa" w:w="1440"/>
          </w:tcPr>
          <w:p>
            <w:r>
              <w:t>suggestion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clinician</w:t>
            </w:r>
          </w:p>
        </w:tc>
        <w:tc>
          <w:tcPr>
            <w:tcW w:type="dxa" w:w="1440"/>
          </w:tcPr>
          <w:p>
            <w:r>
              <w:t>22.5</w:t>
            </w:r>
          </w:p>
        </w:tc>
        <w:tc>
          <w:tcPr>
            <w:tcW w:type="dxa" w:w="1440"/>
          </w:tcPr>
          <w:p>
            <w:r>
              <w:t>41.9</w:t>
            </w:r>
          </w:p>
        </w:tc>
        <w:tc>
          <w:tcPr>
            <w:tcW w:type="dxa" w:w="1440"/>
          </w:tcPr>
          <w:p>
            <w:r>
              <w:t>23.6</w:t>
            </w:r>
          </w:p>
        </w:tc>
        <w:tc>
          <w:tcPr>
            <w:tcW w:type="dxa" w:w="1440"/>
          </w:tcPr>
          <w:p>
            <w:r>
              <w:t>12.0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resident</w:t>
            </w:r>
          </w:p>
        </w:tc>
        <w:tc>
          <w:tcPr>
            <w:tcW w:type="dxa" w:w="1440"/>
          </w:tcPr>
          <w:p>
            <w:r>
              <w:t>23.0</w:t>
            </w:r>
          </w:p>
        </w:tc>
        <w:tc>
          <w:tcPr>
            <w:tcW w:type="dxa" w:w="1440"/>
          </w:tcPr>
          <w:p>
            <w:r>
              <w:t>25.5</w:t>
            </w:r>
          </w:p>
        </w:tc>
        <w:tc>
          <w:tcPr>
            <w:tcW w:type="dxa" w:w="1440"/>
          </w:tcPr>
          <w:p>
            <w:r>
              <w:t>36.1</w:t>
            </w:r>
          </w:p>
        </w:tc>
        <w:tc>
          <w:tcPr>
            <w:tcW w:type="dxa" w:w="1440"/>
          </w:tcPr>
          <w:p>
            <w:r>
              <w:t>15.3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clinician</w:t>
            </w:r>
          </w:p>
        </w:tc>
        <w:tc>
          <w:tcPr>
            <w:tcW w:type="dxa" w:w="1440"/>
          </w:tcPr>
          <w:p>
            <w:r>
              <w:t>24.6</w:t>
            </w:r>
          </w:p>
        </w:tc>
        <w:tc>
          <w:tcPr>
            <w:tcW w:type="dxa" w:w="1440"/>
          </w:tcPr>
          <w:p>
            <w:r>
              <w:t>23.5</w:t>
            </w:r>
          </w:p>
        </w:tc>
        <w:tc>
          <w:tcPr>
            <w:tcW w:type="dxa" w:w="1440"/>
          </w:tcPr>
          <w:p>
            <w:r>
              <w:t>32.8</w:t>
            </w:r>
          </w:p>
        </w:tc>
        <w:tc>
          <w:tcPr>
            <w:tcW w:type="dxa" w:w="1440"/>
          </w:tcPr>
          <w:p>
            <w:r>
              <w:t>19.1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resident</w:t>
            </w:r>
          </w:p>
        </w:tc>
        <w:tc>
          <w:tcPr>
            <w:tcW w:type="dxa" w:w="1440"/>
          </w:tcPr>
          <w:p>
            <w:r>
              <w:t>16.0</w:t>
            </w:r>
          </w:p>
        </w:tc>
        <w:tc>
          <w:tcPr>
            <w:tcW w:type="dxa" w:w="1440"/>
          </w:tcPr>
          <w:p>
            <w:r>
              <w:t>29.4</w:t>
            </w:r>
          </w:p>
        </w:tc>
        <w:tc>
          <w:tcPr>
            <w:tcW w:type="dxa" w:w="1440"/>
          </w:tcPr>
          <w:p>
            <w:r>
              <w:t>32.5</w:t>
            </w:r>
          </w:p>
        </w:tc>
        <w:tc>
          <w:tcPr>
            <w:tcW w:type="dxa" w:w="1440"/>
          </w:tcPr>
          <w:p>
            <w:r>
              <w:t>22.1</w:t>
            </w:r>
          </w:p>
        </w:tc>
      </w:tr>
    </w:tbl>
    <w:p/>
    <w:p>
      <w:r>
        <w:t>Figure 2. Stacked distribution of question categories.</w:t>
      </w:r>
    </w:p>
    <w:p>
      <w:r>
        <w:drawing>
          <wp:inline xmlns:a="http://schemas.openxmlformats.org/drawingml/2006/main" xmlns:pic="http://schemas.openxmlformats.org/drawingml/2006/picture">
            <wp:extent cx="5943600" cy="33605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uestion_catego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5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Key observations:</w:t>
      </w:r>
    </w:p>
    <w:p>
      <w:pPr>
        <w:pStyle w:val="ListBullet"/>
      </w:pPr>
      <w:r>
        <w:t>Residents asked a higher fraction of suggestion-seeking questions in Session 4 (22.1%) than clinicians (19.1%).</w:t>
      </w:r>
    </w:p>
    <w:p>
      <w:pPr>
        <w:pStyle w:val="ListBullet"/>
      </w:pPr>
      <w:r>
        <w:t>Clinicians asked relatively more detail requests than residents in Session 4 (24.6% vs 16.0%), consistent with hypothesis that seniors probe specific investigations.</w:t>
      </w:r>
    </w:p>
    <w:p>
      <w:r>
        <w:t>4.3 Turn-level grounding and specificity proxies</w:t>
      </w:r>
    </w:p>
    <w:p>
      <w:r>
        <w:rPr>
          <w:b/>
        </w:rPr>
        <w:t>Table 3. Turn-level proxies (context overlap, note-citation rate, and specificity).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session</w:t>
            </w:r>
          </w:p>
        </w:tc>
        <w:tc>
          <w:tcPr>
            <w:tcW w:type="dxa" w:w="1234"/>
          </w:tcPr>
          <w:p>
            <w:r>
              <w:t>group</w:t>
            </w:r>
          </w:p>
        </w:tc>
        <w:tc>
          <w:tcPr>
            <w:tcW w:type="dxa" w:w="1234"/>
          </w:tcPr>
          <w:p>
            <w:r>
              <w:t>n_turns</w:t>
            </w:r>
          </w:p>
        </w:tc>
        <w:tc>
          <w:tcPr>
            <w:tcW w:type="dxa" w:w="1234"/>
          </w:tcPr>
          <w:p>
            <w:r>
              <w:t>mean_overlap_ctx</w:t>
            </w:r>
          </w:p>
        </w:tc>
        <w:tc>
          <w:tcPr>
            <w:tcW w:type="dxa" w:w="1234"/>
          </w:tcPr>
          <w:p>
            <w:r>
              <w:t>prop_has_note</w:t>
            </w:r>
          </w:p>
        </w:tc>
        <w:tc>
          <w:tcPr>
            <w:tcW w:type="dxa" w:w="1234"/>
          </w:tcPr>
          <w:p>
            <w:r>
              <w:t>prop_not_in_note</w:t>
            </w:r>
          </w:p>
        </w:tc>
        <w:tc>
          <w:tcPr>
            <w:tcW w:type="dxa" w:w="1234"/>
          </w:tcPr>
          <w:p>
            <w:r>
              <w:t>mean_specificity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clinician</w:t>
            </w:r>
          </w:p>
        </w:tc>
        <w:tc>
          <w:tcPr>
            <w:tcW w:type="dxa" w:w="1234"/>
          </w:tcPr>
          <w:p>
            <w:r>
              <w:t>243</w:t>
            </w:r>
          </w:p>
        </w:tc>
        <w:tc>
          <w:tcPr>
            <w:tcW w:type="dxa" w:w="1234"/>
          </w:tcPr>
          <w:p>
            <w:r>
              <w:t>0.410</w:t>
            </w:r>
          </w:p>
        </w:tc>
        <w:tc>
          <w:tcPr>
            <w:tcW w:type="dxa" w:w="1234"/>
          </w:tcPr>
          <w:p>
            <w:r>
              <w:t>0.860</w:t>
            </w:r>
          </w:p>
        </w:tc>
        <w:tc>
          <w:tcPr>
            <w:tcW w:type="dxa" w:w="1234"/>
          </w:tcPr>
          <w:p>
            <w:r>
              <w:t>0.115</w:t>
            </w:r>
          </w:p>
        </w:tc>
        <w:tc>
          <w:tcPr>
            <w:tcW w:type="dxa" w:w="1234"/>
          </w:tcPr>
          <w:p>
            <w:r>
              <w:t>0.599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resident</w:t>
            </w:r>
          </w:p>
        </w:tc>
        <w:tc>
          <w:tcPr>
            <w:tcW w:type="dxa" w:w="1234"/>
          </w:tcPr>
          <w:p>
            <w:r>
              <w:t>236</w:t>
            </w:r>
          </w:p>
        </w:tc>
        <w:tc>
          <w:tcPr>
            <w:tcW w:type="dxa" w:w="1234"/>
          </w:tcPr>
          <w:p>
            <w:r>
              <w:t>0.375</w:t>
            </w:r>
          </w:p>
        </w:tc>
        <w:tc>
          <w:tcPr>
            <w:tcW w:type="dxa" w:w="1234"/>
          </w:tcPr>
          <w:p>
            <w:r>
              <w:t>0.805</w:t>
            </w:r>
          </w:p>
        </w:tc>
        <w:tc>
          <w:tcPr>
            <w:tcW w:type="dxa" w:w="1234"/>
          </w:tcPr>
          <w:p>
            <w:r>
              <w:t>0.136</w:t>
            </w:r>
          </w:p>
        </w:tc>
        <w:tc>
          <w:tcPr>
            <w:tcW w:type="dxa" w:w="1234"/>
          </w:tcPr>
          <w:p>
            <w:r>
              <w:t>0.641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clinician</w:t>
            </w:r>
          </w:p>
        </w:tc>
        <w:tc>
          <w:tcPr>
            <w:tcW w:type="dxa" w:w="1234"/>
          </w:tcPr>
          <w:p>
            <w:r>
              <w:t>158</w:t>
            </w:r>
          </w:p>
        </w:tc>
        <w:tc>
          <w:tcPr>
            <w:tcW w:type="dxa" w:w="1234"/>
          </w:tcPr>
          <w:p>
            <w:r>
              <w:t>0.411</w:t>
            </w:r>
          </w:p>
        </w:tc>
        <w:tc>
          <w:tcPr>
            <w:tcW w:type="dxa" w:w="1234"/>
          </w:tcPr>
          <w:p>
            <w:r>
              <w:t>0.741</w:t>
            </w:r>
          </w:p>
        </w:tc>
        <w:tc>
          <w:tcPr>
            <w:tcW w:type="dxa" w:w="1234"/>
          </w:tcPr>
          <w:p>
            <w:r>
              <w:t>0.190</w:t>
            </w:r>
          </w:p>
        </w:tc>
        <w:tc>
          <w:tcPr>
            <w:tcW w:type="dxa" w:w="1234"/>
          </w:tcPr>
          <w:p>
            <w:r>
              <w:t>0.656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resident</w:t>
            </w:r>
          </w:p>
        </w:tc>
        <w:tc>
          <w:tcPr>
            <w:tcW w:type="dxa" w:w="1234"/>
          </w:tcPr>
          <w:p>
            <w:r>
              <w:t>192</w:t>
            </w:r>
          </w:p>
        </w:tc>
        <w:tc>
          <w:tcPr>
            <w:tcW w:type="dxa" w:w="1234"/>
          </w:tcPr>
          <w:p>
            <w:r>
              <w:t>0.381</w:t>
            </w:r>
          </w:p>
        </w:tc>
        <w:tc>
          <w:tcPr>
            <w:tcW w:type="dxa" w:w="1234"/>
          </w:tcPr>
          <w:p>
            <w:r>
              <w:t>0.693</w:t>
            </w:r>
          </w:p>
        </w:tc>
        <w:tc>
          <w:tcPr>
            <w:tcW w:type="dxa" w:w="1234"/>
          </w:tcPr>
          <w:p>
            <w:r>
              <w:t>0.109</w:t>
            </w:r>
          </w:p>
        </w:tc>
        <w:tc>
          <w:tcPr>
            <w:tcW w:type="dxa" w:w="1234"/>
          </w:tcPr>
          <w:p>
            <w:r>
              <w:t>0.606</w:t>
            </w:r>
          </w:p>
        </w:tc>
      </w:tr>
    </w:tbl>
    <w:p/>
    <w:p>
      <w:r>
        <w:t>Figure 3. Mean context overlap (grounding proxy).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text_overl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4. Answer specificity by question type and group (boxplots).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pecificity_by_qty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Interpretation:</w:t>
      </w:r>
    </w:p>
    <w:p>
      <w:pPr>
        <w:pStyle w:val="ListBullet"/>
      </w:pPr>
      <w:r>
        <w:t>Context overlap was moderate (~0.38–0.41), suggesting MedSyn answers are often anchored to the note but also include extrapolations or generic phrasing.</w:t>
      </w:r>
    </w:p>
    <w:p>
      <w:pPr>
        <w:pStyle w:val="ListBullet"/>
      </w:pPr>
      <w:r>
        <w:t>‘Not reported / not documented in the note’ responses were non-trivial (≈11–19% of turns depending on group/session). This is desirable when correct, but can also signal gaps in note coverage.</w:t>
      </w:r>
    </w:p>
    <w:p>
      <w:pPr>
        <w:pStyle w:val="ListBullet"/>
      </w:pPr>
      <w:r>
        <w:t>Answer specificity varied by question type: detailed requests tended to elicit denser, more data-driven responses when the note contained the relevant section.</w:t>
      </w:r>
    </w:p>
    <w:p>
      <w:r>
        <w:t>4.4 Does more interaction improve outcomes?</w:t>
      </w:r>
    </w:p>
    <w:p>
      <w:r>
        <w:t>Using a conservative string-similarity proxy for agreement between the final answer and the primary discharge diagnosis, we did not observe a consistent positive association between number of turns and correctness. In several settings, more turns coincided with difficult cases and uncertainty rather than better outcomes.</w:t>
      </w:r>
    </w:p>
    <w:p>
      <w:pPr>
        <w:pStyle w:val="Heading1"/>
      </w:pPr>
      <w:r>
        <w:t>5. Qualitative interaction vignettes (hard/rare cases)</w:t>
      </w:r>
    </w:p>
    <w:p>
      <w:r>
        <w:t>The following examples illustrate how interactive access to note-grounded details can help (or fail) depending on whether physicians ask the right discriminative questions.</w:t>
      </w:r>
    </w:p>
    <w:p>
      <w:pPr>
        <w:pStyle w:val="Heading2"/>
      </w:pPr>
      <w:r>
        <w:t>5.1 Session 2 — Spontaneous coronary artery dissection (SCAD)</w:t>
      </w:r>
    </w:p>
    <w:p>
      <w:r>
        <w:t>Case note_id: 12162372-DS-5 (Hard).</w:t>
      </w:r>
    </w:p>
    <w:p>
      <w:r>
        <w:t>Failure mode (resident): many turns focused on non-discriminative imaging; the system hinted the key test, but it was not pursued.</w:t>
      </w:r>
    </w:p>
    <w:p>
      <w:r>
        <w:t>Example turn (resident res6):</w:t>
      </w:r>
    </w:p>
    <w:p>
      <w:r>
        <w:t>Q: "How is the angioTC?"</w:t>
      </w:r>
    </w:p>
    <w:p>
      <w:r>
        <w:t>A (excerpt): "CT angiography ... Not reported ... However, the note includes cardiac catheterization, detailed separately ..."</w:t>
      </w:r>
    </w:p>
    <w:p>
      <w:r>
        <w:t>In contrast, another resident (res5) asked more targeted cardiology questions, and MedSyn surfaced the key invasive finding, supporting a correct final diagnosis.</w:t>
      </w:r>
    </w:p>
    <w:p>
      <w:r>
        <w:t>Example turn (resident res5) excerpt: MedSyn referenced coronary angiography identifying spontaneous coronary artery dissection in the LAD, reducing ambiguity between unstable angina and SCAD.</w:t>
      </w:r>
    </w:p>
    <w:p>
      <w:pPr>
        <w:pStyle w:val="Heading2"/>
      </w:pPr>
      <w:r>
        <w:t>5.2 Session 4 — Myasthenia gravis</w:t>
      </w:r>
    </w:p>
    <w:p>
      <w:r>
        <w:t>Case note_id: 10229726-DS-6 (Hard).</w:t>
      </w:r>
    </w:p>
    <w:p>
      <w:r>
        <w:t>A resident (res6) queried successive investigations; MedSyn provided discriminative neurophysiology cues consistent with a neuromuscular junction disorder.</w:t>
      </w:r>
    </w:p>
    <w:p>
      <w:r>
        <w:t>Example turn (excerpt):</w:t>
      </w:r>
    </w:p>
    <w:p>
      <w:r>
        <w:t>Q: "How is elettromiography?"</w:t>
      </w:r>
    </w:p>
    <w:p>
      <w:r>
        <w:t>A: "Significant decremental response on low-frequency repetitive nerve stimulation ... consistent with a postsynaptic neuromuscular junction disorder."</w:t>
      </w:r>
    </w:p>
    <w:p>
      <w:r>
        <w:t>Such note-grounded interpretive summaries can reduce the expertise gap by translating specialized tests into diagnostic implications.</w:t>
      </w:r>
    </w:p>
    <w:p>
      <w:pPr>
        <w:pStyle w:val="Heading2"/>
      </w:pPr>
      <w:r>
        <w:t>5.3 Session 4 — Viral meningoencephalitis</w:t>
      </w:r>
    </w:p>
    <w:p>
      <w:r>
        <w:t>Case note_id: 12595391-DS-3 (Hard).</w:t>
      </w:r>
    </w:p>
    <w:p>
      <w:r>
        <w:t>A clinician (phy2) iteratively tested hypotheses using LP and MRI evidence. MedSyn returned a structured CSF summary (lymphocytic pleocytosis, elevated protein, negative bacterial studies), supporting a viral process and narrowing the differential.</w:t>
      </w:r>
    </w:p>
    <w:p>
      <w:r>
        <w:t>Example turn (excerpt): MedSyn summarized CSF results and negative PCR/cultures, then answered a follow-up (“it can be viral?”) by connecting those findings to viral meningoencephalitis.</w:t>
      </w:r>
    </w:p>
    <w:p>
      <w:pPr>
        <w:pStyle w:val="Heading1"/>
      </w:pPr>
      <w:r>
        <w:t>6. Reproducibility and how to run LLM-judge metrics</w:t>
      </w:r>
    </w:p>
    <w:p>
      <w:r>
        <w:t>The accompanying code produces:</w:t>
      </w:r>
    </w:p>
    <w:p>
      <w:pPr>
        <w:pStyle w:val="ListBullet"/>
      </w:pPr>
      <w:r>
        <w:t>turn_level.csv (one row per question-response pair, with optional LLM-judge scores)</w:t>
      </w:r>
    </w:p>
    <w:p>
      <w:pPr>
        <w:pStyle w:val="ListBullet"/>
      </w:pPr>
      <w:r>
        <w:t>case_level.csv (aggregated case-level interaction metrics)</w:t>
      </w:r>
    </w:p>
    <w:p>
      <w:pPr>
        <w:pStyle w:val="ListBullet"/>
      </w:pPr>
      <w:r>
        <w:t>figures/ (PNG plots used in this report)</w:t>
      </w:r>
    </w:p>
    <w:p>
      <w:r>
        <w:t>To enable OpenRouter-based Faithfulness and Answer Relevancy scoring, set OPENROUTER_API_KEY and run the script with --run_llm_judge. The script caches results to avoid repeated charges and ensures full reproducibility by logging model, temperature, and prompt templates.</w:t>
      </w:r>
    </w:p>
    <w:p>
      <w:pPr>
        <w:pStyle w:val="Heading1"/>
      </w:pPr>
      <w:r>
        <w:t>7. Limitations and reporting guidance for npj Digital Medicine</w:t>
      </w:r>
    </w:p>
    <w:p>
      <w:r>
        <w:t>Key limitations to report transparently:</w:t>
      </w:r>
    </w:p>
    <w:p>
      <w:pPr>
        <w:pStyle w:val="ListBullet"/>
      </w:pPr>
      <w:r>
        <w:t>Heuristic question taxonomy and grounding proxies are deterministic but imperfect; they are intended as a baseline and should be complemented by LLM-judge scoring.</w:t>
      </w:r>
    </w:p>
    <w:p>
      <w:pPr>
        <w:pStyle w:val="ListBullet"/>
      </w:pPr>
      <w:r>
        <w:t>LLM-judge metrics depend on the chosen judge model and prompt; report model/version, temperature, and whether the judge had access to the full clinical note.</w:t>
      </w:r>
    </w:p>
    <w:p>
      <w:pPr>
        <w:pStyle w:val="ListBullet"/>
      </w:pPr>
      <w:r>
        <w:t>Turn counts can reflect case difficulty, user interruptions, or UI friction; interpret associations with effectiveness cautiously.</w:t>
      </w:r>
    </w:p>
    <w:p>
      <w:r>
        <w:t>Recommended paper integration: report group-level turn statistics (median/IQR), question category proportions, and per-turn faithfulness/relevancy distributions (with confidence intervals and sensitivity analysis across judge models).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