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i w:val="0"/>
          <w:color w:val="000000"/>
          <w:sz w:val="28"/>
        </w:rPr>
        <w:t>Self-Reflective Auto-RAG: Açık Erişimli Akademik Makaleler</w:t>
        <w:br/>
        <w:t>Üzerinde Otonom Hata Denetimi ve Parametrik Performans Analizi</w:t>
      </w:r>
    </w:p>
    <w:p>
      <w:pPr>
        <w:spacing w:after="40"/>
        <w:jc w:val="center"/>
      </w:pPr>
      <w:r>
        <w:rPr>
          <w:rFonts w:ascii="Times New Roman" w:hAnsi="Times New Roman"/>
          <w:b/>
          <w:i w:val="0"/>
          <w:sz w:val="20"/>
        </w:rPr>
        <w:t>Burcu Yıldırım, Merve Çaloğlu</w:t>
      </w:r>
    </w:p>
    <w:p>
      <w:pPr>
        <w:spacing w:after="160"/>
        <w:jc w:val="center"/>
      </w:pPr>
      <w:r>
        <w:rPr>
          <w:rFonts w:ascii="Times New Roman" w:hAnsi="Times New Roman"/>
          <w:b w:val="0"/>
          <w:i/>
          <w:sz w:val="18"/>
        </w:rPr>
        <w:t>Yazılım Mühendisliği Bölümü</w:t>
      </w:r>
    </w:p>
    <w:p>
      <w:pPr>
        <w:spacing w:before="160" w:after="80"/>
        <w:jc w:val="center"/>
      </w:pPr>
      <w:r>
        <w:rPr>
          <w:rFonts w:ascii="Times New Roman" w:hAnsi="Times New Roman"/>
          <w:b/>
          <w:i w:val="0"/>
          <w:sz w:val="22"/>
        </w:rPr>
        <w:t>ABSTRACT</w:t>
      </w:r>
    </w:p>
    <w:p>
      <w:pPr>
        <w:spacing w:before="40" w:after="80"/>
        <w:ind w:firstLine="0"/>
        <w:jc w:val="both"/>
      </w:pPr>
      <w:r>
        <w:rPr>
          <w:rFonts w:ascii="Times New Roman" w:hAnsi="Times New Roman"/>
          <w:b w:val="0"/>
          <w:i w:val="0"/>
          <w:sz w:val="20"/>
        </w:rPr>
        <w:t>Large Language Models (LLMs) have demonstrated remarkable performance across a wide range of natural language processing tasks. However, their tendency to generate factually incorrect or hallucinated responses remains a critical challenge for knowledge-intensive applications. Retrieval-Augmented Generation (RAG) partially addresses this issue by grounding generation in retrieved documents, yet standard RAG pipelines suffer from a fundamental limitation: retrieval quality is never evaluated, and low-quality context silently degrades answer quality.</w:t>
        <w:br/>
        <w:br/>
        <w:t>In this paper, we propose Self-Reflective Auto-RAG, a five-node LangGraph-based pipeline that (1) performs hybrid retrieval combining BM25 sparse retrieval and dense ChromaDB vector search via Reciprocal Rank Fusion (RRF), (2) grades retrieved chunks with an LLM-based relevance evaluator, (3) autonomously rewrites the query and re-retrieves when context quality is insufficient, (4) generates the final answer, and (5) validates answer faithfulness against the retrieved context. We evaluate our system on a curated dataset of 30 academic question-answer pairs using the RAGAS evaluation framework. Self-Reflective Auto-RAG achieves faithfulness of 0.83, answer relevancy of 0.87, context precision of 0.79, and context recall of 0.74, outperforming the standard RAG baseline by +16.9%, +17.6%, +16.2%, and +13.8% respectively.</w:t>
      </w:r>
    </w:p>
    <w:p>
      <w:pPr>
        <w:spacing w:after="160"/>
      </w:pPr>
      <w:r>
        <w:rPr>
          <w:rFonts w:ascii="Times New Roman" w:hAnsi="Times New Roman"/>
          <w:b/>
          <w:i w:val="0"/>
          <w:sz w:val="18"/>
        </w:rPr>
        <w:t xml:space="preserve">Keywords — </w:t>
      </w:r>
      <w:r>
        <w:rPr>
          <w:rFonts w:ascii="Times New Roman" w:hAnsi="Times New Roman"/>
          <w:b w:val="0"/>
          <w:i/>
          <w:sz w:val="18"/>
        </w:rPr>
        <w:t>Retrieval-Augmented Generation, Self-Reflection, LangGraph, Hybrid Retrieval, Faithfulness, RAGAS, Academic Document QA.</w:t>
      </w:r>
    </w:p>
    <w:p>
      <w:pPr>
        <w:spacing w:before="160" w:after="80"/>
        <w:jc w:val="center"/>
      </w:pPr>
      <w:r>
        <w:rPr>
          <w:rFonts w:ascii="Times New Roman" w:hAnsi="Times New Roman"/>
          <w:b/>
          <w:i w:val="0"/>
          <w:sz w:val="22"/>
        </w:rPr>
        <w:t>I. GİRİŞ</w:t>
      </w:r>
    </w:p>
    <w:p>
      <w:pPr>
        <w:spacing w:before="0" w:after="80"/>
        <w:ind w:firstLine="280"/>
        <w:jc w:val="both"/>
      </w:pPr>
      <w:r>
        <w:rPr>
          <w:rFonts w:ascii="Times New Roman" w:hAnsi="Times New Roman"/>
          <w:b w:val="0"/>
          <w:i w:val="0"/>
          <w:sz w:val="20"/>
        </w:rPr>
        <w:t>Büyük Dil Modelleri (Large Language Models, LLM'ler) son yıllarda doğal dil işleme alanında çığır açıcı başarılar elde etmiştir [1]. Soru-cevap sistemleri, metin özetleme, bilgi çıkarımı ve akademik doküman analizi gibi görevlerde gösterdikleri yüksek performans, bu modelleri pek çok endüstriyel ve akademik uygulamanın merkezine taşımıştır. Bununla birlikte, LLM'lerin temel bilgi kaynağı eğitim sürecinde öğrenilen parametrik bilgilerden ibarettir. Bu yapısal kısıtlama, özellikle güncel veya uzmanlık gerektiren konularda modellerin doğrulanamayan ya da gerçek olmayan bilgiler üretmesine —literatürde "hallücination" olarak adlandırılan fenomene— yol açmaktadır [2].</w:t>
      </w:r>
    </w:p>
    <w:p>
      <w:pPr>
        <w:spacing w:before="0" w:after="80"/>
        <w:ind w:firstLine="280"/>
        <w:jc w:val="both"/>
      </w:pPr>
      <w:r>
        <w:rPr>
          <w:rFonts w:ascii="Times New Roman" w:hAnsi="Times New Roman"/>
          <w:b w:val="0"/>
          <w:i w:val="0"/>
          <w:sz w:val="20"/>
        </w:rPr>
        <w:t>Hallüsinasyon problemini azaltmaya yönelik en etkili yaklaşım, modeli harici bilgi kaynaklarıyla bütünleştiren Retrieval-Augmented Generation (RAG) mimarisinin kullanımıdır. Lewis ve arkadaşları tarafından 2020 yılında önerilen RAG [3], kullanıcı sorgusuna uygun belgeleri önce bir bilgi erişim sistemi aracılığıyla getirmekte, ardından bu belgeleri dil modeline bağlam olarak sunarak cevap üretimi gerçekleştirmektedir. Ancak standart RAG mimarileri kritik bir zaafiyete sahiptir: retrieval kalitesi hiçbir zaman değerlendirilmez. Alakasız ya da yetersiz belge parçaları (chunk) sessizce cevap üretim sürecine dahil edilir; bu da üretilen cevabın kalitesini olumsuz etkilemektedir.</w:t>
      </w:r>
    </w:p>
    <w:p>
      <w:pPr>
        <w:spacing w:before="0" w:after="80"/>
        <w:ind w:firstLine="280"/>
        <w:jc w:val="both"/>
      </w:pPr>
      <w:r>
        <w:rPr>
          <w:rFonts w:ascii="Times New Roman" w:hAnsi="Times New Roman"/>
          <w:b w:val="0"/>
          <w:i w:val="0"/>
          <w:sz w:val="20"/>
        </w:rPr>
        <w:t>Bu çalışmada, açık erişimli akademik makaleler üzerinde çalışan, tamamen modüler ve servis bağımsız bir Self-Reflective Auto-RAG sistemi sunulmaktadır. Sistemimizin temel katkıları şunlardır: (i) BM25 sparse retrieval ile ChromaDB dense vektör aramasını Reciprocal Rank Fusion (RRF) ile birleştiren hibrit bir retrieval katmanı, (ii) LLM tabanlı bir grade node ile retrieval kalitesinin otonom değerlendirilmesi ve gerektiğinde sorgunun yeniden yazılması, (iii) üretilen cevabın bağlamla tutarlılığını hem LLM tabanlı hem de heuristik token-örtüşmesi ile denetleyen ayrı bir faithfulness katmanı ve (iv) RAGAS çerçevesiyle kapsamlı parametrik ablasyon çalışmaları.</w:t>
      </w:r>
    </w:p>
    <w:p>
      <w:pPr>
        <w:spacing w:before="160" w:after="80"/>
        <w:jc w:val="center"/>
      </w:pPr>
      <w:r>
        <w:rPr>
          <w:rFonts w:ascii="Times New Roman" w:hAnsi="Times New Roman"/>
          <w:b/>
          <w:i w:val="0"/>
          <w:sz w:val="22"/>
        </w:rPr>
        <w:t>II. İLGİLİ ÇALIŞMALAR</w:t>
      </w:r>
    </w:p>
    <w:p>
      <w:pPr>
        <w:spacing w:before="160" w:after="80"/>
        <w:jc w:val="left"/>
      </w:pPr>
      <w:r>
        <w:rPr>
          <w:rFonts w:ascii="Times New Roman" w:hAnsi="Times New Roman"/>
          <w:b/>
          <w:i w:val="0"/>
          <w:sz w:val="20"/>
        </w:rPr>
        <w:t>A. Retrieval-Augmented Generation</w:t>
      </w:r>
    </w:p>
    <w:p>
      <w:pPr>
        <w:spacing w:before="0" w:after="80"/>
        <w:ind w:firstLine="280"/>
        <w:jc w:val="both"/>
      </w:pPr>
      <w:r>
        <w:rPr>
          <w:rFonts w:ascii="Times New Roman" w:hAnsi="Times New Roman"/>
          <w:b w:val="0"/>
          <w:i w:val="0"/>
          <w:sz w:val="20"/>
        </w:rPr>
        <w:t>Lewis ve ark. [3], parametrik bilgiyi non-parametrik retrieval ile birleştiren ilk kapsamlı RAG modelini önermiştir. Açık alanlı soru cevaplama görevlerinde standart seq2seq modellerini önemli ölçüde geçmiştir. Izacard ve Grave [6] çoklu belgeyi birleştiren Fusion-in-Decoder (FiD) mimarisini geliştirmiş; Karpukhin ve ark. [7] DPR (Dense Passage Retrieval) ile yoğun vektör aramasını RAG sistemlerine entegre etmiştir.</w:t>
      </w:r>
    </w:p>
    <w:p>
      <w:pPr>
        <w:spacing w:before="160" w:after="80"/>
        <w:jc w:val="left"/>
      </w:pPr>
      <w:r>
        <w:rPr>
          <w:rFonts w:ascii="Times New Roman" w:hAnsi="Times New Roman"/>
          <w:b/>
          <w:i w:val="0"/>
          <w:sz w:val="20"/>
        </w:rPr>
        <w:t>B. Hibrit Retrieval ve RRF</w:t>
      </w:r>
    </w:p>
    <w:p>
      <w:pPr>
        <w:spacing w:before="0" w:after="80"/>
        <w:ind w:firstLine="280"/>
        <w:jc w:val="both"/>
      </w:pPr>
      <w:r>
        <w:rPr>
          <w:rFonts w:ascii="Times New Roman" w:hAnsi="Times New Roman"/>
          <w:b w:val="0"/>
          <w:i w:val="0"/>
          <w:sz w:val="20"/>
        </w:rPr>
        <w:t>BM25 [8], TF-IDF tabanlı olasılıksal bir sıralama fonksiyonudur ve kelime örtüşmesine dayalı sparse retrieval için güçlü bir baseline oluşturur. Dense retrieval yöntemleri [7] ise anlam düzeyindeki benzerlikleri yakalayabilmektedir. Cormack ve ark. [9] Reciprocal Rank Fusion (RRF) yöntemini önererek birden fazla retriever çıktısını herhangi bir parametre eğitimi gerektirmeksizin etkili biçimde birleştirmeyi mümkün kılmıştır.</w:t>
      </w:r>
    </w:p>
    <w:p>
      <w:pPr>
        <w:spacing w:before="160" w:after="80"/>
        <w:jc w:val="left"/>
      </w:pPr>
      <w:r>
        <w:rPr>
          <w:rFonts w:ascii="Times New Roman" w:hAnsi="Times New Roman"/>
          <w:b/>
          <w:i w:val="0"/>
          <w:sz w:val="20"/>
        </w:rPr>
        <w:t>C. Self-Reflective RAG Yaklaşımları</w:t>
      </w:r>
    </w:p>
    <w:p>
      <w:pPr>
        <w:spacing w:before="0" w:after="80"/>
        <w:ind w:firstLine="280"/>
        <w:jc w:val="both"/>
      </w:pPr>
      <w:r>
        <w:rPr>
          <w:rFonts w:ascii="Times New Roman" w:hAnsi="Times New Roman"/>
          <w:b w:val="0"/>
          <w:i w:val="0"/>
          <w:sz w:val="20"/>
        </w:rPr>
        <w:t>Asai ve ark. [4], özel bir dil modeli eğiterek hem retrieval hem de üretim sırasında öz-değerlendirme gerçekleştiren SELF-RAG'ı önermiştir. Yan ve ark. [5] ise düşük güvenilirlikli retrieval durumunda web araması aracılığıyla bağlamı zenginleştiren CRAG (Corrective RAG) sistemini geliştirmiştir. Ma ve ark. [10] query rewriting'in RAG performansı üzerindeki etkisini sistematik biçimde analiz etmiştir.</w:t>
      </w:r>
    </w:p>
    <w:p>
      <w:pPr>
        <w:spacing w:before="160" w:after="80"/>
        <w:jc w:val="left"/>
      </w:pPr>
      <w:r>
        <w:rPr>
          <w:rFonts w:ascii="Times New Roman" w:hAnsi="Times New Roman"/>
          <w:b/>
          <w:i w:val="0"/>
          <w:sz w:val="20"/>
        </w:rPr>
        <w:t>D. RAG Değerlendirme Çerçeveleri</w:t>
      </w:r>
    </w:p>
    <w:p>
      <w:pPr>
        <w:spacing w:before="0" w:after="80"/>
        <w:ind w:firstLine="280"/>
        <w:jc w:val="both"/>
      </w:pPr>
      <w:r>
        <w:rPr>
          <w:rFonts w:ascii="Times New Roman" w:hAnsi="Times New Roman"/>
          <w:b w:val="0"/>
          <w:i w:val="0"/>
          <w:sz w:val="20"/>
        </w:rPr>
        <w:t>Es ve ark. tarafından geliştirilen RAGAS [11], faithfulness, answer relevancy, context precision ve context recall olmak üzere dört boyutlu bir değerlendirme çerçevesi sunmaktadır. Söz konusu metrikler, belge düzeyinden cevap düzeyine kadar tüm pipeline'ı kapsayacak şekilde tasarlanmış olup bu çalışmada temel değerlendirme aracı olarak benimsenmiştir.</w:t>
      </w:r>
    </w:p>
    <w:p>
      <w:pPr>
        <w:spacing w:before="160" w:after="80"/>
        <w:jc w:val="center"/>
      </w:pPr>
      <w:r>
        <w:rPr>
          <w:rFonts w:ascii="Times New Roman" w:hAnsi="Times New Roman"/>
          <w:b/>
          <w:i w:val="0"/>
          <w:sz w:val="22"/>
        </w:rPr>
        <w:t>III. MATERYAL VE YÖNTEM</w:t>
      </w:r>
    </w:p>
    <w:p>
      <w:pPr>
        <w:spacing w:before="160" w:after="80"/>
        <w:jc w:val="left"/>
      </w:pPr>
      <w:r>
        <w:rPr>
          <w:rFonts w:ascii="Times New Roman" w:hAnsi="Times New Roman"/>
          <w:b/>
          <w:i w:val="0"/>
          <w:sz w:val="20"/>
        </w:rPr>
        <w:t>A. Genel Sistem Mimarisi</w:t>
      </w:r>
    </w:p>
    <w:p>
      <w:pPr>
        <w:spacing w:before="0" w:after="80"/>
        <w:ind w:firstLine="280"/>
        <w:jc w:val="both"/>
      </w:pPr>
      <w:r>
        <w:rPr>
          <w:rFonts w:ascii="Times New Roman" w:hAnsi="Times New Roman"/>
          <w:b w:val="0"/>
          <w:i w:val="0"/>
          <w:sz w:val="20"/>
        </w:rPr>
        <w:t>Önerilen Self-Reflective Auto-RAG sistemi, LangGraph çerçevesi üzerine inşa edilmiş beş düğümlü (node) yönlendirilmiş asiklik grafik (DAG) olarak modellenmiştir. Sistem mimarisi Şekil 7'de görülmektedir. Akış sırasıyla şu aşamalardan oluşmaktadır: (1) Hybrid Retrieval Node — kullanıcı sorgusuna yanıt olarak hem BM25 sparse hem de dense ChromaDB retrieval paralel çalıştırılır, çıktılar RRF ile birleştirilir; (2) Grade Node — LLM veya heuristik yöntemle getirilen chunk'ların sorguyla ilgili olup olmadığı değerlendirilir; (3) Rewrite Node — grade sonucu "not relevant" olduğunda LLM sorguyu yeniden yazar ve Hybrid Retrieval tekrarlanır (maksimum 2 iterasyon); (4) Generate Node — yeterli bağlam bulunduktan sonra cevap üretilir ve kaynaklar listelenir; (5) Faithfulness Node — üretilen cevabın retrieval edilen bağlamla desteklenip desteklenmediği denetlenir, desteklenmeyen iddialar ayrıca raporlanır.</w:t>
      </w:r>
    </w:p>
    <w:p>
      <w:pPr>
        <w:spacing w:before="160" w:after="80"/>
        <w:jc w:val="left"/>
      </w:pPr>
      <w:r>
        <w:rPr>
          <w:rFonts w:ascii="Times New Roman" w:hAnsi="Times New Roman"/>
          <w:b/>
          <w:i w:val="0"/>
          <w:sz w:val="20"/>
        </w:rPr>
        <w:t>B. Veri Seti</w:t>
      </w:r>
    </w:p>
    <w:p>
      <w:pPr>
        <w:spacing w:before="0" w:after="80"/>
        <w:ind w:firstLine="280"/>
        <w:jc w:val="both"/>
      </w:pPr>
      <w:r>
        <w:rPr>
          <w:rFonts w:ascii="Times New Roman" w:hAnsi="Times New Roman"/>
          <w:b w:val="0"/>
          <w:i w:val="0"/>
          <w:sz w:val="20"/>
        </w:rPr>
        <w:t>Çalışmada kullanılan soru-cevap (QA) veri seti, ArXiv ve CORE API'den elde edilen açık erişimli akademik makalelerden türetilmiştir. Veri seti, RAG ve bilgi erişimi alanını kapsayan 11 farklı konuda toplam 30 sorudan oluşmaktadır (Tablo I). Her veri noktası; soru metni, ground-truth cevap, beklenen kaynak referansı, konu etiketi ve zorluk seviyesi alanlarını içermektedir. Ground-truth cevaplar, ilgili akademik yayınlar baz alınarak uzman değerlendirmesiyle oluşturulmuştur.</w:t>
      </w:r>
    </w:p>
    <w:p/>
    <w:p>
      <w:pPr>
        <w:spacing w:before="40" w:after="120"/>
        <w:jc w:val="center"/>
      </w:pPr>
      <w:r>
        <w:rPr>
          <w:rFonts w:ascii="Times New Roman" w:hAnsi="Times New Roman"/>
          <w:b/>
          <w:i w:val="0"/>
          <w:sz w:val="18"/>
        </w:rPr>
        <w:t>Tablo I — QA Veri Seti Konu Dağılımı</w:t>
      </w:r>
    </w:p>
    <w:tbl>
      <w:tblPr>
        <w:tblStyle w:val="TableGrid"/>
        <w:tblW w:type="auto" w:w="0"/>
        <w:tblLook w:firstColumn="1" w:firstRow="1" w:lastColumn="0" w:lastRow="0" w:noHBand="0" w:noVBand="1" w:val="04A0"/>
      </w:tblPr>
      <w:tblGrid>
        <w:gridCol w:w="3251"/>
        <w:gridCol w:w="3251"/>
        <w:gridCol w:w="3251"/>
      </w:tblGrid>
      <w:tr>
        <w:tc>
          <w:tcPr>
            <w:tcW w:type="dxa" w:w="3118"/>
          </w:tcPr>
          <w:p>
            <w:pPr>
              <w:jc w:val="center"/>
            </w:pPr>
            <w:r>
              <w:rPr>
                <w:rFonts w:ascii="Times New Roman" w:hAnsi="Times New Roman"/>
                <w:b/>
                <w:i w:val="0"/>
                <w:sz w:val="18"/>
              </w:rPr>
              <w:t>Konu</w:t>
            </w:r>
          </w:p>
        </w:tc>
        <w:tc>
          <w:tcPr>
            <w:tcW w:type="dxa" w:w="1701"/>
          </w:tcPr>
          <w:p>
            <w:pPr>
              <w:jc w:val="center"/>
            </w:pPr>
            <w:r>
              <w:rPr>
                <w:rFonts w:ascii="Times New Roman" w:hAnsi="Times New Roman"/>
                <w:b/>
                <w:i w:val="0"/>
                <w:sz w:val="18"/>
              </w:rPr>
              <w:t>Soru Sayısı</w:t>
            </w:r>
          </w:p>
        </w:tc>
        <w:tc>
          <w:tcPr>
            <w:tcW w:type="dxa" w:w="3118"/>
          </w:tcPr>
          <w:p>
            <w:pPr>
              <w:jc w:val="center"/>
            </w:pPr>
            <w:r>
              <w:rPr>
                <w:rFonts w:ascii="Times New Roman" w:hAnsi="Times New Roman"/>
                <w:b/>
                <w:i w:val="0"/>
                <w:sz w:val="18"/>
              </w:rPr>
              <w:t>Zorluk Dağılımı</w:t>
            </w:r>
          </w:p>
        </w:tc>
      </w:tr>
      <w:tr>
        <w:tc>
          <w:tcPr>
            <w:tcW w:type="dxa" w:w="3118"/>
          </w:tcPr>
          <w:p>
            <w:pPr>
              <w:jc w:val="center"/>
            </w:pPr>
            <w:r>
              <w:rPr>
                <w:rFonts w:ascii="Times New Roman" w:hAnsi="Times New Roman"/>
                <w:b w:val="0"/>
                <w:i w:val="0"/>
                <w:sz w:val="18"/>
              </w:rPr>
              <w:t>RAG (genel)</w:t>
            </w:r>
          </w:p>
        </w:tc>
        <w:tc>
          <w:tcPr>
            <w:tcW w:type="dxa" w:w="1701"/>
          </w:tcPr>
          <w:p>
            <w:pPr>
              <w:jc w:val="center"/>
            </w:pPr>
            <w:r>
              <w:rPr>
                <w:rFonts w:ascii="Times New Roman" w:hAnsi="Times New Roman"/>
                <w:b w:val="0"/>
                <w:i w:val="0"/>
                <w:sz w:val="18"/>
              </w:rPr>
              <w:t>5</w:t>
            </w:r>
          </w:p>
        </w:tc>
        <w:tc>
          <w:tcPr>
            <w:tcW w:type="dxa" w:w="3118"/>
          </w:tcPr>
          <w:p>
            <w:pPr>
              <w:jc w:val="center"/>
            </w:pPr>
            <w:r>
              <w:rPr>
                <w:rFonts w:ascii="Times New Roman" w:hAnsi="Times New Roman"/>
                <w:b w:val="0"/>
                <w:i w:val="0"/>
                <w:sz w:val="18"/>
              </w:rPr>
              <w:t>2 kolay, 3 orta</w:t>
            </w:r>
          </w:p>
        </w:tc>
      </w:tr>
      <w:tr>
        <w:tc>
          <w:tcPr>
            <w:tcW w:type="dxa" w:w="3118"/>
          </w:tcPr>
          <w:p>
            <w:pPr>
              <w:jc w:val="center"/>
            </w:pPr>
            <w:r>
              <w:rPr>
                <w:rFonts w:ascii="Times New Roman" w:hAnsi="Times New Roman"/>
                <w:b w:val="0"/>
                <w:i w:val="0"/>
                <w:sz w:val="18"/>
              </w:rPr>
              <w:t>Dense Retrieval</w:t>
            </w:r>
          </w:p>
        </w:tc>
        <w:tc>
          <w:tcPr>
            <w:tcW w:type="dxa" w:w="1701"/>
          </w:tcPr>
          <w:p>
            <w:pPr>
              <w:jc w:val="center"/>
            </w:pPr>
            <w:r>
              <w:rPr>
                <w:rFonts w:ascii="Times New Roman" w:hAnsi="Times New Roman"/>
                <w:b w:val="0"/>
                <w:i w:val="0"/>
                <w:sz w:val="18"/>
              </w:rPr>
              <w:t>3</w:t>
            </w:r>
          </w:p>
        </w:tc>
        <w:tc>
          <w:tcPr>
            <w:tcW w:type="dxa" w:w="3118"/>
          </w:tcPr>
          <w:p>
            <w:pPr>
              <w:jc w:val="center"/>
            </w:pPr>
            <w:r>
              <w:rPr>
                <w:rFonts w:ascii="Times New Roman" w:hAnsi="Times New Roman"/>
                <w:b w:val="0"/>
                <w:i w:val="0"/>
                <w:sz w:val="18"/>
              </w:rPr>
              <w:t>1 kolay, 2 orta</w:t>
            </w:r>
          </w:p>
        </w:tc>
      </w:tr>
      <w:tr>
        <w:tc>
          <w:tcPr>
            <w:tcW w:type="dxa" w:w="3118"/>
          </w:tcPr>
          <w:p>
            <w:pPr>
              <w:jc w:val="center"/>
            </w:pPr>
            <w:r>
              <w:rPr>
                <w:rFonts w:ascii="Times New Roman" w:hAnsi="Times New Roman"/>
                <w:b w:val="0"/>
                <w:i w:val="0"/>
                <w:sz w:val="18"/>
              </w:rPr>
              <w:t>BM25 / Sparse</w:t>
            </w:r>
          </w:p>
        </w:tc>
        <w:tc>
          <w:tcPr>
            <w:tcW w:type="dxa" w:w="1701"/>
          </w:tcPr>
          <w:p>
            <w:pPr>
              <w:jc w:val="center"/>
            </w:pPr>
            <w:r>
              <w:rPr>
                <w:rFonts w:ascii="Times New Roman" w:hAnsi="Times New Roman"/>
                <w:b w:val="0"/>
                <w:i w:val="0"/>
                <w:sz w:val="18"/>
              </w:rPr>
              <w:t>3</w:t>
            </w:r>
          </w:p>
        </w:tc>
        <w:tc>
          <w:tcPr>
            <w:tcW w:type="dxa" w:w="3118"/>
          </w:tcPr>
          <w:p>
            <w:pPr>
              <w:jc w:val="center"/>
            </w:pPr>
            <w:r>
              <w:rPr>
                <w:rFonts w:ascii="Times New Roman" w:hAnsi="Times New Roman"/>
                <w:b w:val="0"/>
                <w:i w:val="0"/>
                <w:sz w:val="18"/>
              </w:rPr>
              <w:t>2 kolay, 1 zor</w:t>
            </w:r>
          </w:p>
        </w:tc>
      </w:tr>
      <w:tr>
        <w:tc>
          <w:tcPr>
            <w:tcW w:type="dxa" w:w="3118"/>
          </w:tcPr>
          <w:p>
            <w:pPr>
              <w:jc w:val="center"/>
            </w:pPr>
            <w:r>
              <w:rPr>
                <w:rFonts w:ascii="Times New Roman" w:hAnsi="Times New Roman"/>
                <w:b w:val="0"/>
                <w:i w:val="0"/>
                <w:sz w:val="18"/>
              </w:rPr>
              <w:t>Hybrid Retrieval</w:t>
            </w:r>
          </w:p>
        </w:tc>
        <w:tc>
          <w:tcPr>
            <w:tcW w:type="dxa" w:w="1701"/>
          </w:tcPr>
          <w:p>
            <w:pPr>
              <w:jc w:val="center"/>
            </w:pPr>
            <w:r>
              <w:rPr>
                <w:rFonts w:ascii="Times New Roman" w:hAnsi="Times New Roman"/>
                <w:b w:val="0"/>
                <w:i w:val="0"/>
                <w:sz w:val="18"/>
              </w:rPr>
              <w:t>3</w:t>
            </w:r>
          </w:p>
        </w:tc>
        <w:tc>
          <w:tcPr>
            <w:tcW w:type="dxa" w:w="3118"/>
          </w:tcPr>
          <w:p>
            <w:pPr>
              <w:jc w:val="center"/>
            </w:pPr>
            <w:r>
              <w:rPr>
                <w:rFonts w:ascii="Times New Roman" w:hAnsi="Times New Roman"/>
                <w:b w:val="0"/>
                <w:i w:val="0"/>
                <w:sz w:val="18"/>
              </w:rPr>
              <w:t>3 orta</w:t>
            </w:r>
          </w:p>
        </w:tc>
      </w:tr>
      <w:tr>
        <w:tc>
          <w:tcPr>
            <w:tcW w:type="dxa" w:w="3118"/>
          </w:tcPr>
          <w:p>
            <w:pPr>
              <w:jc w:val="center"/>
            </w:pPr>
            <w:r>
              <w:rPr>
                <w:rFonts w:ascii="Times New Roman" w:hAnsi="Times New Roman"/>
                <w:b w:val="0"/>
                <w:i w:val="0"/>
                <w:sz w:val="18"/>
              </w:rPr>
              <w:t>Query Rewriting</w:t>
            </w:r>
          </w:p>
        </w:tc>
        <w:tc>
          <w:tcPr>
            <w:tcW w:type="dxa" w:w="1701"/>
          </w:tcPr>
          <w:p>
            <w:pPr>
              <w:jc w:val="center"/>
            </w:pPr>
            <w:r>
              <w:rPr>
                <w:rFonts w:ascii="Times New Roman" w:hAnsi="Times New Roman"/>
                <w:b w:val="0"/>
                <w:i w:val="0"/>
                <w:sz w:val="18"/>
              </w:rPr>
              <w:t>3</w:t>
            </w:r>
          </w:p>
        </w:tc>
        <w:tc>
          <w:tcPr>
            <w:tcW w:type="dxa" w:w="3118"/>
          </w:tcPr>
          <w:p>
            <w:pPr>
              <w:jc w:val="center"/>
            </w:pPr>
            <w:r>
              <w:rPr>
                <w:rFonts w:ascii="Times New Roman" w:hAnsi="Times New Roman"/>
                <w:b w:val="0"/>
                <w:i w:val="0"/>
                <w:sz w:val="18"/>
              </w:rPr>
              <w:t>1 kolay, 2 orta</w:t>
            </w:r>
          </w:p>
        </w:tc>
      </w:tr>
      <w:tr>
        <w:tc>
          <w:tcPr>
            <w:tcW w:type="dxa" w:w="3118"/>
          </w:tcPr>
          <w:p>
            <w:pPr>
              <w:jc w:val="center"/>
            </w:pPr>
            <w:r>
              <w:rPr>
                <w:rFonts w:ascii="Times New Roman" w:hAnsi="Times New Roman"/>
                <w:b w:val="0"/>
                <w:i w:val="0"/>
                <w:sz w:val="18"/>
              </w:rPr>
              <w:t>Faithfulness</w:t>
            </w:r>
          </w:p>
        </w:tc>
        <w:tc>
          <w:tcPr>
            <w:tcW w:type="dxa" w:w="1701"/>
          </w:tcPr>
          <w:p>
            <w:pPr>
              <w:jc w:val="center"/>
            </w:pPr>
            <w:r>
              <w:rPr>
                <w:rFonts w:ascii="Times New Roman" w:hAnsi="Times New Roman"/>
                <w:b w:val="0"/>
                <w:i w:val="0"/>
                <w:sz w:val="18"/>
              </w:rPr>
              <w:t>3</w:t>
            </w:r>
          </w:p>
        </w:tc>
        <w:tc>
          <w:tcPr>
            <w:tcW w:type="dxa" w:w="3118"/>
          </w:tcPr>
          <w:p>
            <w:pPr>
              <w:jc w:val="center"/>
            </w:pPr>
            <w:r>
              <w:rPr>
                <w:rFonts w:ascii="Times New Roman" w:hAnsi="Times New Roman"/>
                <w:b w:val="0"/>
                <w:i w:val="0"/>
                <w:sz w:val="18"/>
              </w:rPr>
              <w:t>3 orta</w:t>
            </w:r>
          </w:p>
        </w:tc>
      </w:tr>
      <w:tr>
        <w:tc>
          <w:tcPr>
            <w:tcW w:type="dxa" w:w="3118"/>
          </w:tcPr>
          <w:p>
            <w:pPr>
              <w:jc w:val="center"/>
            </w:pPr>
            <w:r>
              <w:rPr>
                <w:rFonts w:ascii="Times New Roman" w:hAnsi="Times New Roman"/>
                <w:b w:val="0"/>
                <w:i w:val="0"/>
                <w:sz w:val="18"/>
              </w:rPr>
              <w:t>Context Precision</w:t>
            </w:r>
          </w:p>
        </w:tc>
        <w:tc>
          <w:tcPr>
            <w:tcW w:type="dxa" w:w="1701"/>
          </w:tcPr>
          <w:p>
            <w:pPr>
              <w:jc w:val="center"/>
            </w:pPr>
            <w:r>
              <w:rPr>
                <w:rFonts w:ascii="Times New Roman" w:hAnsi="Times New Roman"/>
                <w:b w:val="0"/>
                <w:i w:val="0"/>
                <w:sz w:val="18"/>
              </w:rPr>
              <w:t>2</w:t>
            </w:r>
          </w:p>
        </w:tc>
        <w:tc>
          <w:tcPr>
            <w:tcW w:type="dxa" w:w="3118"/>
          </w:tcPr>
          <w:p>
            <w:pPr>
              <w:jc w:val="center"/>
            </w:pPr>
            <w:r>
              <w:rPr>
                <w:rFonts w:ascii="Times New Roman" w:hAnsi="Times New Roman"/>
                <w:b w:val="0"/>
                <w:i w:val="0"/>
                <w:sz w:val="18"/>
              </w:rPr>
              <w:t>2 orta</w:t>
            </w:r>
          </w:p>
        </w:tc>
      </w:tr>
      <w:tr>
        <w:tc>
          <w:tcPr>
            <w:tcW w:type="dxa" w:w="3118"/>
          </w:tcPr>
          <w:p>
            <w:pPr>
              <w:jc w:val="center"/>
            </w:pPr>
            <w:r>
              <w:rPr>
                <w:rFonts w:ascii="Times New Roman" w:hAnsi="Times New Roman"/>
                <w:b w:val="0"/>
                <w:i w:val="0"/>
                <w:sz w:val="18"/>
              </w:rPr>
              <w:t>Context Recall</w:t>
            </w:r>
          </w:p>
        </w:tc>
        <w:tc>
          <w:tcPr>
            <w:tcW w:type="dxa" w:w="1701"/>
          </w:tcPr>
          <w:p>
            <w:pPr>
              <w:jc w:val="center"/>
            </w:pPr>
            <w:r>
              <w:rPr>
                <w:rFonts w:ascii="Times New Roman" w:hAnsi="Times New Roman"/>
                <w:b w:val="0"/>
                <w:i w:val="0"/>
                <w:sz w:val="18"/>
              </w:rPr>
              <w:t>2</w:t>
            </w:r>
          </w:p>
        </w:tc>
        <w:tc>
          <w:tcPr>
            <w:tcW w:type="dxa" w:w="3118"/>
          </w:tcPr>
          <w:p>
            <w:pPr>
              <w:jc w:val="center"/>
            </w:pPr>
            <w:r>
              <w:rPr>
                <w:rFonts w:ascii="Times New Roman" w:hAnsi="Times New Roman"/>
                <w:b w:val="0"/>
                <w:i w:val="0"/>
                <w:sz w:val="18"/>
              </w:rPr>
              <w:t>1 orta, 1 zor</w:t>
            </w:r>
          </w:p>
        </w:tc>
      </w:tr>
      <w:tr>
        <w:tc>
          <w:tcPr>
            <w:tcW w:type="dxa" w:w="3118"/>
          </w:tcPr>
          <w:p>
            <w:pPr>
              <w:jc w:val="center"/>
            </w:pPr>
            <w:r>
              <w:rPr>
                <w:rFonts w:ascii="Times New Roman" w:hAnsi="Times New Roman"/>
                <w:b w:val="0"/>
                <w:i w:val="0"/>
                <w:sz w:val="18"/>
              </w:rPr>
              <w:t>Vector Database</w:t>
            </w:r>
          </w:p>
        </w:tc>
        <w:tc>
          <w:tcPr>
            <w:tcW w:type="dxa" w:w="1701"/>
          </w:tcPr>
          <w:p>
            <w:pPr>
              <w:jc w:val="center"/>
            </w:pPr>
            <w:r>
              <w:rPr>
                <w:rFonts w:ascii="Times New Roman" w:hAnsi="Times New Roman"/>
                <w:b w:val="0"/>
                <w:i w:val="0"/>
                <w:sz w:val="18"/>
              </w:rPr>
              <w:t>2</w:t>
            </w:r>
          </w:p>
        </w:tc>
        <w:tc>
          <w:tcPr>
            <w:tcW w:type="dxa" w:w="3118"/>
          </w:tcPr>
          <w:p>
            <w:pPr>
              <w:jc w:val="center"/>
            </w:pPr>
            <w:r>
              <w:rPr>
                <w:rFonts w:ascii="Times New Roman" w:hAnsi="Times New Roman"/>
                <w:b w:val="0"/>
                <w:i w:val="0"/>
                <w:sz w:val="18"/>
              </w:rPr>
              <w:t>1 kolay, 1 orta</w:t>
            </w:r>
          </w:p>
        </w:tc>
      </w:tr>
      <w:tr>
        <w:tc>
          <w:tcPr>
            <w:tcW w:type="dxa" w:w="3118"/>
          </w:tcPr>
          <w:p>
            <w:pPr>
              <w:jc w:val="center"/>
            </w:pPr>
            <w:r>
              <w:rPr>
                <w:rFonts w:ascii="Times New Roman" w:hAnsi="Times New Roman"/>
                <w:b w:val="0"/>
                <w:i w:val="0"/>
                <w:sz w:val="18"/>
              </w:rPr>
              <w:t>Chunking</w:t>
            </w:r>
          </w:p>
        </w:tc>
        <w:tc>
          <w:tcPr>
            <w:tcW w:type="dxa" w:w="1701"/>
          </w:tcPr>
          <w:p>
            <w:pPr>
              <w:jc w:val="center"/>
            </w:pPr>
            <w:r>
              <w:rPr>
                <w:rFonts w:ascii="Times New Roman" w:hAnsi="Times New Roman"/>
                <w:b w:val="0"/>
                <w:i w:val="0"/>
                <w:sz w:val="18"/>
              </w:rPr>
              <w:t>2</w:t>
            </w:r>
          </w:p>
        </w:tc>
        <w:tc>
          <w:tcPr>
            <w:tcW w:type="dxa" w:w="3118"/>
          </w:tcPr>
          <w:p>
            <w:pPr>
              <w:jc w:val="center"/>
            </w:pPr>
            <w:r>
              <w:rPr>
                <w:rFonts w:ascii="Times New Roman" w:hAnsi="Times New Roman"/>
                <w:b w:val="0"/>
                <w:i w:val="0"/>
                <w:sz w:val="18"/>
              </w:rPr>
              <w:t>2 orta</w:t>
            </w:r>
          </w:p>
        </w:tc>
      </w:tr>
      <w:tr>
        <w:tc>
          <w:tcPr>
            <w:tcW w:type="dxa" w:w="3118"/>
          </w:tcPr>
          <w:p>
            <w:pPr>
              <w:jc w:val="center"/>
            </w:pPr>
            <w:r>
              <w:rPr>
                <w:rFonts w:ascii="Times New Roman" w:hAnsi="Times New Roman"/>
                <w:b w:val="0"/>
                <w:i w:val="0"/>
                <w:sz w:val="18"/>
              </w:rPr>
              <w:t>Top-K Retrieval</w:t>
            </w:r>
          </w:p>
        </w:tc>
        <w:tc>
          <w:tcPr>
            <w:tcW w:type="dxa" w:w="1701"/>
          </w:tcPr>
          <w:p>
            <w:pPr>
              <w:jc w:val="center"/>
            </w:pPr>
            <w:r>
              <w:rPr>
                <w:rFonts w:ascii="Times New Roman" w:hAnsi="Times New Roman"/>
                <w:b w:val="0"/>
                <w:i w:val="0"/>
                <w:sz w:val="18"/>
              </w:rPr>
              <w:t>2</w:t>
            </w:r>
          </w:p>
        </w:tc>
        <w:tc>
          <w:tcPr>
            <w:tcW w:type="dxa" w:w="3118"/>
          </w:tcPr>
          <w:p>
            <w:pPr>
              <w:jc w:val="center"/>
            </w:pPr>
            <w:r>
              <w:rPr>
                <w:rFonts w:ascii="Times New Roman" w:hAnsi="Times New Roman"/>
                <w:b w:val="0"/>
                <w:i w:val="0"/>
                <w:sz w:val="18"/>
              </w:rPr>
              <w:t>1 orta, 1 zor</w:t>
            </w:r>
          </w:p>
        </w:tc>
      </w:tr>
      <w:tr>
        <w:tc>
          <w:tcPr>
            <w:tcW w:type="dxa" w:w="3118"/>
          </w:tcPr>
          <w:p>
            <w:pPr>
              <w:jc w:val="center"/>
            </w:pPr>
            <w:r>
              <w:rPr>
                <w:rFonts w:ascii="Times New Roman" w:hAnsi="Times New Roman"/>
                <w:b w:val="0"/>
                <w:i w:val="0"/>
                <w:sz w:val="18"/>
              </w:rPr>
              <w:t>Toplam</w:t>
            </w:r>
          </w:p>
        </w:tc>
        <w:tc>
          <w:tcPr>
            <w:tcW w:type="dxa" w:w="1701"/>
          </w:tcPr>
          <w:p>
            <w:pPr>
              <w:jc w:val="center"/>
            </w:pPr>
            <w:r>
              <w:rPr>
                <w:rFonts w:ascii="Times New Roman" w:hAnsi="Times New Roman"/>
                <w:b w:val="0"/>
                <w:i w:val="0"/>
                <w:sz w:val="18"/>
              </w:rPr>
              <w:t>30</w:t>
            </w:r>
          </w:p>
        </w:tc>
        <w:tc>
          <w:tcPr>
            <w:tcW w:type="dxa" w:w="3118"/>
          </w:tcPr>
          <w:p>
            <w:pPr>
              <w:jc w:val="center"/>
            </w:pPr>
            <w:r>
              <w:rPr>
                <w:rFonts w:ascii="Times New Roman" w:hAnsi="Times New Roman"/>
                <w:b w:val="0"/>
                <w:i w:val="0"/>
                <w:sz w:val="18"/>
              </w:rPr>
              <w:t>8 kolay, 18 orta, 4 zor</w:t>
            </w:r>
          </w:p>
        </w:tc>
      </w:tr>
    </w:tbl>
    <w:p/>
    <w:p>
      <w:pPr>
        <w:spacing w:before="160" w:after="80"/>
        <w:jc w:val="left"/>
      </w:pPr>
      <w:r>
        <w:rPr>
          <w:rFonts w:ascii="Times New Roman" w:hAnsi="Times New Roman"/>
          <w:b/>
          <w:i w:val="0"/>
          <w:sz w:val="20"/>
        </w:rPr>
        <w:t>C. Hibrit Retrieval Katmanı</w:t>
      </w:r>
    </w:p>
    <w:p>
      <w:pPr>
        <w:spacing w:before="0" w:after="80"/>
        <w:ind w:firstLine="280"/>
        <w:jc w:val="both"/>
      </w:pPr>
      <w:r>
        <w:rPr>
          <w:rFonts w:ascii="Times New Roman" w:hAnsi="Times New Roman"/>
          <w:b w:val="0"/>
          <w:i w:val="0"/>
          <w:sz w:val="20"/>
        </w:rPr>
        <w:t>Retrieval katmanında iki tamamlayıcı yöntem eş zamanlı olarak çalıştırılmaktadır. BM25 Sparse Retrieval: BM25 (Best Match 25) [8], term frekansı (TF) ve ters belge frekansı (IDF) kavramlarını kullanan olasılıksal bir sıralama fonksiyonudur. k₁=1.5 ve b=0.75 parametreleriyle rank_bm25 kütüphanesi kullanılmıştır. Dense Vector Retrieval: Belgeler, sentence-transformers kütüphanesindeki all-MiniLM-L6-v2 modeli kullanılarak 384 boyutlu yoğun vektörlere dönüştürülmüştür; ChromaDB koleksiyonuna indekslenmiş ve kosinüs benzerliğiyle sorgulanmıştır. RRF Füzyonu: Her iki retriever çıktısı RRF formülüyle (k=60 sabitiyle) birleştirilmiş; en yüksek skora sahip Top-K belge seçilerek sonraki aşamaya iletilmiştir.</w:t>
      </w:r>
    </w:p>
    <w:p>
      <w:pPr>
        <w:spacing w:before="160" w:after="80"/>
        <w:jc w:val="left"/>
      </w:pPr>
      <w:r>
        <w:rPr>
          <w:rFonts w:ascii="Times New Roman" w:hAnsi="Times New Roman"/>
          <w:b/>
          <w:i w:val="0"/>
          <w:sz w:val="20"/>
        </w:rPr>
        <w:t>D. Grade Node</w:t>
      </w:r>
    </w:p>
    <w:p>
      <w:pPr>
        <w:spacing w:before="0" w:after="80"/>
        <w:ind w:firstLine="280"/>
        <w:jc w:val="both"/>
      </w:pPr>
      <w:r>
        <w:rPr>
          <w:rFonts w:ascii="Times New Roman" w:hAnsi="Times New Roman"/>
          <w:b w:val="0"/>
          <w:i w:val="0"/>
          <w:sz w:val="20"/>
        </w:rPr>
        <w:t>Grade node, retrieval edilen chunk'ların kullanıcı sorusuyla alaka düzeyini LLM aracılığıyla değerlendirmektedir. LLM'e iletilen prompt, yalnızca {relevant: bool, confidence: float, reasoning: str} formatında JSON döndürmesini talep etmektedir. LLM yanıtı bir GradeResult nesnesine dönüştürülmektedir. LLM kullanılamadığı durumda, chunk varlığı yeterli görülerek confidence=0.65 ile 'relevant' varsayımı yapılmaktadır (heuristik fallback).</w:t>
      </w:r>
    </w:p>
    <w:p>
      <w:pPr>
        <w:spacing w:before="160" w:after="80"/>
        <w:jc w:val="left"/>
      </w:pPr>
      <w:r>
        <w:rPr>
          <w:rFonts w:ascii="Times New Roman" w:hAnsi="Times New Roman"/>
          <w:b/>
          <w:i w:val="0"/>
          <w:sz w:val="20"/>
        </w:rPr>
        <w:t>E. Rewrite Node</w:t>
      </w:r>
    </w:p>
    <w:p>
      <w:pPr>
        <w:spacing w:before="0" w:after="80"/>
        <w:ind w:firstLine="280"/>
        <w:jc w:val="both"/>
      </w:pPr>
      <w:r>
        <w:rPr>
          <w:rFonts w:ascii="Times New Roman" w:hAnsi="Times New Roman"/>
          <w:b w:val="0"/>
          <w:i w:val="0"/>
          <w:sz w:val="20"/>
        </w:rPr>
        <w:t>Grade sonucu 'not relevant' olduğunda rewrite node devreye girmektedir. Bu node, orijinal sorguyu LLM ile yeniden formüle ederek semantik örtüşmeyi artırmayı hedeflemektedir. Maksimum iki iterasyon uygulanarak sonsuz döngü engellenmiştir. Tüm iterasyonlar GraphState nesnesinde izlenmekte (rewritten_query, rewrite_count, iteration); bu sayede tam denetlenebilirlik sağlanmaktadır.</w:t>
      </w:r>
    </w:p>
    <w:p>
      <w:pPr>
        <w:spacing w:before="160" w:after="80"/>
        <w:jc w:val="left"/>
      </w:pPr>
      <w:r>
        <w:rPr>
          <w:rFonts w:ascii="Times New Roman" w:hAnsi="Times New Roman"/>
          <w:b/>
          <w:i w:val="0"/>
          <w:sz w:val="20"/>
        </w:rPr>
        <w:t>F. Generate Node</w:t>
      </w:r>
    </w:p>
    <w:p>
      <w:pPr>
        <w:spacing w:before="0" w:after="80"/>
        <w:ind w:firstLine="280"/>
        <w:jc w:val="both"/>
      </w:pPr>
      <w:r>
        <w:rPr>
          <w:rFonts w:ascii="Times New Roman" w:hAnsi="Times New Roman"/>
          <w:b w:val="0"/>
          <w:i w:val="0"/>
          <w:sz w:val="20"/>
        </w:rPr>
        <w:t>Yeterli bağlam elde edildikten sonra generate node, chunk metinlerini bağlam olarak alarak yerel Ollama servisi üzerinden çalıştırılan açık kaynak LLM'e (llama3, mistral) iletmekte ve son cevabı üretmektedir. Cevapla birlikte kaynak chunk ID'leri, metin özetleri ve metadata (paper_id, sayfa numarası, kaynak URL) de döndürülmektedir. Bu tasarım, harici API bağımlılığını ortadan kaldırmaktadır.</w:t>
      </w:r>
    </w:p>
    <w:p>
      <w:pPr>
        <w:spacing w:before="160" w:after="80"/>
        <w:jc w:val="left"/>
      </w:pPr>
      <w:r>
        <w:rPr>
          <w:rFonts w:ascii="Times New Roman" w:hAnsi="Times New Roman"/>
          <w:b/>
          <w:i w:val="0"/>
          <w:sz w:val="20"/>
        </w:rPr>
        <w:t>G. Faithfulness Node</w:t>
      </w:r>
    </w:p>
    <w:p>
      <w:pPr>
        <w:spacing w:before="0" w:after="80"/>
        <w:ind w:firstLine="280"/>
        <w:jc w:val="both"/>
      </w:pPr>
      <w:r>
        <w:rPr>
          <w:rFonts w:ascii="Times New Roman" w:hAnsi="Times New Roman"/>
          <w:b w:val="0"/>
          <w:i w:val="0"/>
          <w:sz w:val="20"/>
        </w:rPr>
        <w:t>Faithfulness node, üretilen cevabın retrieval edilen bağlamla ne ölçüde desteklendiğini denetlemektedir. İki mod mevcuttur: (i) LLM Tabanlı Değerlendirme — LLM, cevaptaki her iddianın context passage'lardan hangisiyle desteklendiğini değerlendirmekte; desteklenmeyen iddialar liste halinde döndürülmektedir. (ii) Heuristik Fallback — Anlamlı token'ların (stopword çıkarılmış) kesişim oranı hesaplanmaktadır: overlap_ratio = |tokens(answer) ∩ tokens(context)| / |tokens(answer)|. overlap_ratio ≥ 0.50 eşiği faithful kabulü için kullanılmaktadır.</w:t>
      </w:r>
    </w:p>
    <w:p>
      <w:pPr>
        <w:spacing w:before="160" w:after="80"/>
        <w:jc w:val="left"/>
      </w:pPr>
      <w:r>
        <w:rPr>
          <w:rFonts w:ascii="Times New Roman" w:hAnsi="Times New Roman"/>
          <w:b/>
          <w:i w:val="0"/>
          <w:sz w:val="20"/>
        </w:rPr>
        <w:t>H. Değerlendirme Çerçevesi — RAGAS</w:t>
      </w:r>
    </w:p>
    <w:p>
      <w:pPr>
        <w:spacing w:before="0" w:after="80"/>
        <w:ind w:firstLine="280"/>
        <w:jc w:val="both"/>
      </w:pPr>
      <w:r>
        <w:rPr>
          <w:rFonts w:ascii="Times New Roman" w:hAnsi="Times New Roman"/>
          <w:b w:val="0"/>
          <w:i w:val="0"/>
          <w:sz w:val="20"/>
        </w:rPr>
        <w:t>Sistem performansı RAGAS [11] çerçevesiyle dört metrik üzerinden ölçülmüştür (Tablo II).</w:t>
      </w:r>
    </w:p>
    <w:p>
      <w:pPr>
        <w:spacing w:before="40" w:after="120"/>
        <w:jc w:val="center"/>
      </w:pPr>
      <w:r>
        <w:rPr>
          <w:rFonts w:ascii="Times New Roman" w:hAnsi="Times New Roman"/>
          <w:b/>
          <w:i w:val="0"/>
          <w:sz w:val="18"/>
        </w:rPr>
        <w:t>Tablo II — RAGAS Metriklerinin Tanımları</w:t>
      </w:r>
    </w:p>
    <w:tbl>
      <w:tblPr>
        <w:tblStyle w:val="TableGrid"/>
        <w:tblW w:type="auto" w:w="0"/>
        <w:tblLook w:firstColumn="1" w:firstRow="1" w:lastColumn="0" w:lastRow="0" w:noHBand="0" w:noVBand="1" w:val="04A0"/>
      </w:tblPr>
      <w:tblGrid>
        <w:gridCol w:w="4876"/>
        <w:gridCol w:w="4876"/>
      </w:tblGrid>
      <w:tr>
        <w:tc>
          <w:tcPr>
            <w:tcW w:type="dxa" w:w="2268"/>
          </w:tcPr>
          <w:p>
            <w:pPr>
              <w:jc w:val="center"/>
            </w:pPr>
            <w:r>
              <w:rPr>
                <w:rFonts w:ascii="Times New Roman" w:hAnsi="Times New Roman"/>
                <w:b/>
                <w:i w:val="0"/>
                <w:sz w:val="18"/>
              </w:rPr>
              <w:t>Metrik</w:t>
            </w:r>
          </w:p>
        </w:tc>
        <w:tc>
          <w:tcPr>
            <w:tcW w:type="dxa" w:w="5669"/>
          </w:tcPr>
          <w:p>
            <w:pPr>
              <w:jc w:val="center"/>
            </w:pPr>
            <w:r>
              <w:rPr>
                <w:rFonts w:ascii="Times New Roman" w:hAnsi="Times New Roman"/>
                <w:b/>
                <w:i w:val="0"/>
                <w:sz w:val="18"/>
              </w:rPr>
              <w:t>Tanım</w:t>
            </w:r>
          </w:p>
        </w:tc>
      </w:tr>
      <w:tr>
        <w:tc>
          <w:tcPr>
            <w:tcW w:type="dxa" w:w="2268"/>
          </w:tcPr>
          <w:p>
            <w:pPr>
              <w:jc w:val="center"/>
            </w:pPr>
            <w:r>
              <w:rPr>
                <w:rFonts w:ascii="Times New Roman" w:hAnsi="Times New Roman"/>
                <w:b w:val="0"/>
                <w:i w:val="0"/>
                <w:sz w:val="18"/>
              </w:rPr>
              <w:t>Faithfulness</w:t>
            </w:r>
          </w:p>
        </w:tc>
        <w:tc>
          <w:tcPr>
            <w:tcW w:type="dxa" w:w="5669"/>
          </w:tcPr>
          <w:p>
            <w:pPr>
              <w:jc w:val="center"/>
            </w:pPr>
            <w:r>
              <w:rPr>
                <w:rFonts w:ascii="Times New Roman" w:hAnsi="Times New Roman"/>
                <w:b w:val="0"/>
                <w:i w:val="0"/>
                <w:sz w:val="18"/>
              </w:rPr>
              <w:t>Cevaptaki her iddianın bağlam tarafından desteklenme oranı (0–1). Hallüsinasyonu ölçer.</w:t>
            </w:r>
          </w:p>
        </w:tc>
      </w:tr>
      <w:tr>
        <w:tc>
          <w:tcPr>
            <w:tcW w:type="dxa" w:w="2268"/>
          </w:tcPr>
          <w:p>
            <w:pPr>
              <w:jc w:val="center"/>
            </w:pPr>
            <w:r>
              <w:rPr>
                <w:rFonts w:ascii="Times New Roman" w:hAnsi="Times New Roman"/>
                <w:b w:val="0"/>
                <w:i w:val="0"/>
                <w:sz w:val="18"/>
              </w:rPr>
              <w:t>Answer Relevancy</w:t>
            </w:r>
          </w:p>
        </w:tc>
        <w:tc>
          <w:tcPr>
            <w:tcW w:type="dxa" w:w="5669"/>
          </w:tcPr>
          <w:p>
            <w:pPr>
              <w:jc w:val="center"/>
            </w:pPr>
            <w:r>
              <w:rPr>
                <w:rFonts w:ascii="Times New Roman" w:hAnsi="Times New Roman"/>
                <w:b w:val="0"/>
                <w:i w:val="0"/>
                <w:sz w:val="18"/>
              </w:rPr>
              <w:t>Cevabın kullanıcı sorusuna ne kadar ilgili olduğu (0–1).</w:t>
            </w:r>
          </w:p>
        </w:tc>
      </w:tr>
      <w:tr>
        <w:tc>
          <w:tcPr>
            <w:tcW w:type="dxa" w:w="2268"/>
          </w:tcPr>
          <w:p>
            <w:pPr>
              <w:jc w:val="center"/>
            </w:pPr>
            <w:r>
              <w:rPr>
                <w:rFonts w:ascii="Times New Roman" w:hAnsi="Times New Roman"/>
                <w:b w:val="0"/>
                <w:i w:val="0"/>
                <w:sz w:val="18"/>
              </w:rPr>
              <w:t>Context Precision</w:t>
            </w:r>
          </w:p>
        </w:tc>
        <w:tc>
          <w:tcPr>
            <w:tcW w:type="dxa" w:w="5669"/>
          </w:tcPr>
          <w:p>
            <w:pPr>
              <w:jc w:val="center"/>
            </w:pPr>
            <w:r>
              <w:rPr>
                <w:rFonts w:ascii="Times New Roman" w:hAnsi="Times New Roman"/>
                <w:b w:val="0"/>
                <w:i w:val="0"/>
                <w:sz w:val="18"/>
              </w:rPr>
              <w:t>Getirilen chunk'lar içinde soruyla ilgili olanların oranı.</w:t>
            </w:r>
          </w:p>
        </w:tc>
      </w:tr>
      <w:tr>
        <w:tc>
          <w:tcPr>
            <w:tcW w:type="dxa" w:w="2268"/>
          </w:tcPr>
          <w:p>
            <w:pPr>
              <w:jc w:val="center"/>
            </w:pPr>
            <w:r>
              <w:rPr>
                <w:rFonts w:ascii="Times New Roman" w:hAnsi="Times New Roman"/>
                <w:b w:val="0"/>
                <w:i w:val="0"/>
                <w:sz w:val="18"/>
              </w:rPr>
              <w:t>Context Recall</w:t>
            </w:r>
          </w:p>
        </w:tc>
        <w:tc>
          <w:tcPr>
            <w:tcW w:type="dxa" w:w="5669"/>
          </w:tcPr>
          <w:p>
            <w:pPr>
              <w:jc w:val="center"/>
            </w:pPr>
            <w:r>
              <w:rPr>
                <w:rFonts w:ascii="Times New Roman" w:hAnsi="Times New Roman"/>
                <w:b w:val="0"/>
                <w:i w:val="0"/>
                <w:sz w:val="18"/>
              </w:rPr>
              <w:t>Cevap için gereken bilgilerin retrieval ile elde edilme oranı (0–1).</w:t>
            </w:r>
          </w:p>
        </w:tc>
      </w:tr>
    </w:tbl>
    <w:p/>
    <w:p>
      <w:pPr>
        <w:spacing w:before="160" w:after="80"/>
        <w:jc w:val="left"/>
      </w:pPr>
      <w:r>
        <w:rPr>
          <w:rFonts w:ascii="Times New Roman" w:hAnsi="Times New Roman"/>
          <w:b/>
          <w:i w:val="0"/>
          <w:sz w:val="20"/>
        </w:rPr>
        <w:t>I. Uygulama Detayları</w:t>
      </w:r>
    </w:p>
    <w:p>
      <w:pPr>
        <w:spacing w:before="0" w:after="80"/>
        <w:ind w:firstLine="280"/>
        <w:jc w:val="both"/>
      </w:pPr>
      <w:r>
        <w:rPr>
          <w:rFonts w:ascii="Times New Roman" w:hAnsi="Times New Roman"/>
          <w:b w:val="0"/>
          <w:i w:val="0"/>
          <w:sz w:val="20"/>
        </w:rPr>
        <w:t>Sistem Python 3.11 ile geliştirilmiştir. Belgeler LangChain'in RecursiveCharacterTextSplitter'ı ile chunk'lara bölünmüştür (varsayılan: chunk_size=1024, overlap=200 token). PDF metinleri PyMuPDF ile sayfa sayfa çıkarılarak JSON formatında saklanmaktadır. Temel bağımlılıklar Tablo III'te listelenmiştir.</w:t>
      </w:r>
    </w:p>
    <w:p>
      <w:pPr>
        <w:spacing w:before="40" w:after="120"/>
        <w:jc w:val="center"/>
      </w:pPr>
      <w:r>
        <w:rPr>
          <w:rFonts w:ascii="Times New Roman" w:hAnsi="Times New Roman"/>
          <w:b/>
          <w:i w:val="0"/>
          <w:sz w:val="18"/>
        </w:rPr>
        <w:t>Tablo III — Kullanılan Başlıca Kütüphaneler</w:t>
      </w:r>
    </w:p>
    <w:tbl>
      <w:tblPr>
        <w:tblStyle w:val="TableGrid"/>
        <w:tblW w:type="auto" w:w="0"/>
        <w:tblLook w:firstColumn="1" w:firstRow="1" w:lastColumn="0" w:lastRow="0" w:noHBand="0" w:noVBand="1" w:val="04A0"/>
      </w:tblPr>
      <w:tblGrid>
        <w:gridCol w:w="4876"/>
        <w:gridCol w:w="4876"/>
      </w:tblGrid>
      <w:tr>
        <w:tc>
          <w:tcPr>
            <w:tcW w:type="dxa" w:w="2551"/>
          </w:tcPr>
          <w:p>
            <w:pPr>
              <w:jc w:val="center"/>
            </w:pPr>
            <w:r>
              <w:rPr>
                <w:rFonts w:ascii="Times New Roman" w:hAnsi="Times New Roman"/>
                <w:b/>
                <w:i w:val="0"/>
                <w:sz w:val="18"/>
              </w:rPr>
              <w:t>Kütüphane</w:t>
            </w:r>
          </w:p>
        </w:tc>
        <w:tc>
          <w:tcPr>
            <w:tcW w:type="dxa" w:w="5386"/>
          </w:tcPr>
          <w:p>
            <w:pPr>
              <w:jc w:val="center"/>
            </w:pPr>
            <w:r>
              <w:rPr>
                <w:rFonts w:ascii="Times New Roman" w:hAnsi="Times New Roman"/>
                <w:b/>
                <w:i w:val="0"/>
                <w:sz w:val="18"/>
              </w:rPr>
              <w:t>Rol</w:t>
            </w:r>
          </w:p>
        </w:tc>
      </w:tr>
      <w:tr>
        <w:tc>
          <w:tcPr>
            <w:tcW w:type="dxa" w:w="2551"/>
          </w:tcPr>
          <w:p>
            <w:pPr>
              <w:jc w:val="center"/>
            </w:pPr>
            <w:r>
              <w:rPr>
                <w:rFonts w:ascii="Times New Roman" w:hAnsi="Times New Roman"/>
                <w:b w:val="0"/>
                <w:i w:val="0"/>
                <w:sz w:val="18"/>
              </w:rPr>
              <w:t>LangGraph</w:t>
            </w:r>
          </w:p>
        </w:tc>
        <w:tc>
          <w:tcPr>
            <w:tcW w:type="dxa" w:w="5386"/>
          </w:tcPr>
          <w:p>
            <w:pPr>
              <w:jc w:val="center"/>
            </w:pPr>
            <w:r>
              <w:rPr>
                <w:rFonts w:ascii="Times New Roman" w:hAnsi="Times New Roman"/>
                <w:b w:val="0"/>
                <w:i w:val="0"/>
                <w:sz w:val="18"/>
              </w:rPr>
              <w:t>DAG tabanlı pipeline yönetimi</w:t>
            </w:r>
          </w:p>
        </w:tc>
      </w:tr>
      <w:tr>
        <w:tc>
          <w:tcPr>
            <w:tcW w:type="dxa" w:w="2551"/>
          </w:tcPr>
          <w:p>
            <w:pPr>
              <w:jc w:val="center"/>
            </w:pPr>
            <w:r>
              <w:rPr>
                <w:rFonts w:ascii="Times New Roman" w:hAnsi="Times New Roman"/>
                <w:b w:val="0"/>
                <w:i w:val="0"/>
                <w:sz w:val="18"/>
              </w:rPr>
              <w:t>LangChain</w:t>
            </w:r>
          </w:p>
        </w:tc>
        <w:tc>
          <w:tcPr>
            <w:tcW w:type="dxa" w:w="5386"/>
          </w:tcPr>
          <w:p>
            <w:pPr>
              <w:jc w:val="center"/>
            </w:pPr>
            <w:r>
              <w:rPr>
                <w:rFonts w:ascii="Times New Roman" w:hAnsi="Times New Roman"/>
                <w:b w:val="0"/>
                <w:i w:val="0"/>
                <w:sz w:val="18"/>
              </w:rPr>
              <w:t>LLM entegrasyonu, zincir yönetimi</w:t>
            </w:r>
          </w:p>
        </w:tc>
      </w:tr>
      <w:tr>
        <w:tc>
          <w:tcPr>
            <w:tcW w:type="dxa" w:w="2551"/>
          </w:tcPr>
          <w:p>
            <w:pPr>
              <w:jc w:val="center"/>
            </w:pPr>
            <w:r>
              <w:rPr>
                <w:rFonts w:ascii="Times New Roman" w:hAnsi="Times New Roman"/>
                <w:b w:val="0"/>
                <w:i w:val="0"/>
                <w:sz w:val="18"/>
              </w:rPr>
              <w:t>langchain-ollama</w:t>
            </w:r>
          </w:p>
        </w:tc>
        <w:tc>
          <w:tcPr>
            <w:tcW w:type="dxa" w:w="5386"/>
          </w:tcPr>
          <w:p>
            <w:pPr>
              <w:jc w:val="center"/>
            </w:pPr>
            <w:r>
              <w:rPr>
                <w:rFonts w:ascii="Times New Roman" w:hAnsi="Times New Roman"/>
                <w:b w:val="0"/>
                <w:i w:val="0"/>
                <w:sz w:val="18"/>
              </w:rPr>
              <w:t>Yerel Ollama LLM adaptörü</w:t>
            </w:r>
          </w:p>
        </w:tc>
      </w:tr>
      <w:tr>
        <w:tc>
          <w:tcPr>
            <w:tcW w:type="dxa" w:w="2551"/>
          </w:tcPr>
          <w:p>
            <w:pPr>
              <w:jc w:val="center"/>
            </w:pPr>
            <w:r>
              <w:rPr>
                <w:rFonts w:ascii="Times New Roman" w:hAnsi="Times New Roman"/>
                <w:b w:val="0"/>
                <w:i w:val="0"/>
                <w:sz w:val="18"/>
              </w:rPr>
              <w:t>sentence-transformers</w:t>
            </w:r>
          </w:p>
        </w:tc>
        <w:tc>
          <w:tcPr>
            <w:tcW w:type="dxa" w:w="5386"/>
          </w:tcPr>
          <w:p>
            <w:pPr>
              <w:jc w:val="center"/>
            </w:pPr>
            <w:r>
              <w:rPr>
                <w:rFonts w:ascii="Times New Roman" w:hAnsi="Times New Roman"/>
                <w:b w:val="0"/>
                <w:i w:val="0"/>
                <w:sz w:val="18"/>
              </w:rPr>
              <w:t>Metin vektörizasyonu (MiniLM-L6-v2)</w:t>
            </w:r>
          </w:p>
        </w:tc>
      </w:tr>
      <w:tr>
        <w:tc>
          <w:tcPr>
            <w:tcW w:type="dxa" w:w="2551"/>
          </w:tcPr>
          <w:p>
            <w:pPr>
              <w:jc w:val="center"/>
            </w:pPr>
            <w:r>
              <w:rPr>
                <w:rFonts w:ascii="Times New Roman" w:hAnsi="Times New Roman"/>
                <w:b w:val="0"/>
                <w:i w:val="0"/>
                <w:sz w:val="18"/>
              </w:rPr>
              <w:t>ChromaDB</w:t>
            </w:r>
          </w:p>
        </w:tc>
        <w:tc>
          <w:tcPr>
            <w:tcW w:type="dxa" w:w="5386"/>
          </w:tcPr>
          <w:p>
            <w:pPr>
              <w:jc w:val="center"/>
            </w:pPr>
            <w:r>
              <w:rPr>
                <w:rFonts w:ascii="Times New Roman" w:hAnsi="Times New Roman"/>
                <w:b w:val="0"/>
                <w:i w:val="0"/>
                <w:sz w:val="18"/>
              </w:rPr>
              <w:t>Dense vektör depolama</w:t>
            </w:r>
          </w:p>
        </w:tc>
      </w:tr>
      <w:tr>
        <w:tc>
          <w:tcPr>
            <w:tcW w:type="dxa" w:w="2551"/>
          </w:tcPr>
          <w:p>
            <w:pPr>
              <w:jc w:val="center"/>
            </w:pPr>
            <w:r>
              <w:rPr>
                <w:rFonts w:ascii="Times New Roman" w:hAnsi="Times New Roman"/>
                <w:b w:val="0"/>
                <w:i w:val="0"/>
                <w:sz w:val="18"/>
              </w:rPr>
              <w:t>FAISS-cpu</w:t>
            </w:r>
          </w:p>
        </w:tc>
        <w:tc>
          <w:tcPr>
            <w:tcW w:type="dxa" w:w="5386"/>
          </w:tcPr>
          <w:p>
            <w:pPr>
              <w:jc w:val="center"/>
            </w:pPr>
            <w:r>
              <w:rPr>
                <w:rFonts w:ascii="Times New Roman" w:hAnsi="Times New Roman"/>
                <w:b w:val="0"/>
                <w:i w:val="0"/>
                <w:sz w:val="18"/>
              </w:rPr>
              <w:t>In-memory vektör indeksi (yedek)</w:t>
            </w:r>
          </w:p>
        </w:tc>
      </w:tr>
      <w:tr>
        <w:tc>
          <w:tcPr>
            <w:tcW w:type="dxa" w:w="2551"/>
          </w:tcPr>
          <w:p>
            <w:pPr>
              <w:jc w:val="center"/>
            </w:pPr>
            <w:r>
              <w:rPr>
                <w:rFonts w:ascii="Times New Roman" w:hAnsi="Times New Roman"/>
                <w:b w:val="0"/>
                <w:i w:val="0"/>
                <w:sz w:val="18"/>
              </w:rPr>
              <w:t>rank_bm25</w:t>
            </w:r>
          </w:p>
        </w:tc>
        <w:tc>
          <w:tcPr>
            <w:tcW w:type="dxa" w:w="5386"/>
          </w:tcPr>
          <w:p>
            <w:pPr>
              <w:jc w:val="center"/>
            </w:pPr>
            <w:r>
              <w:rPr>
                <w:rFonts w:ascii="Times New Roman" w:hAnsi="Times New Roman"/>
                <w:b w:val="0"/>
                <w:i w:val="0"/>
                <w:sz w:val="18"/>
              </w:rPr>
              <w:t>BM25 sparse retrieval</w:t>
            </w:r>
          </w:p>
        </w:tc>
      </w:tr>
      <w:tr>
        <w:tc>
          <w:tcPr>
            <w:tcW w:type="dxa" w:w="2551"/>
          </w:tcPr>
          <w:p>
            <w:pPr>
              <w:jc w:val="center"/>
            </w:pPr>
            <w:r>
              <w:rPr>
                <w:rFonts w:ascii="Times New Roman" w:hAnsi="Times New Roman"/>
                <w:b w:val="0"/>
                <w:i w:val="0"/>
                <w:sz w:val="18"/>
              </w:rPr>
              <w:t>PyMuPDF (fitz)</w:t>
            </w:r>
          </w:p>
        </w:tc>
        <w:tc>
          <w:tcPr>
            <w:tcW w:type="dxa" w:w="5386"/>
          </w:tcPr>
          <w:p>
            <w:pPr>
              <w:jc w:val="center"/>
            </w:pPr>
            <w:r>
              <w:rPr>
                <w:rFonts w:ascii="Times New Roman" w:hAnsi="Times New Roman"/>
                <w:b w:val="0"/>
                <w:i w:val="0"/>
                <w:sz w:val="18"/>
              </w:rPr>
              <w:t>PDF metin çıkarımı</w:t>
            </w:r>
          </w:p>
        </w:tc>
      </w:tr>
      <w:tr>
        <w:tc>
          <w:tcPr>
            <w:tcW w:type="dxa" w:w="2551"/>
          </w:tcPr>
          <w:p>
            <w:pPr>
              <w:jc w:val="center"/>
            </w:pPr>
            <w:r>
              <w:rPr>
                <w:rFonts w:ascii="Times New Roman" w:hAnsi="Times New Roman"/>
                <w:b w:val="0"/>
                <w:i w:val="0"/>
                <w:sz w:val="18"/>
              </w:rPr>
              <w:t>RAGAS</w:t>
            </w:r>
          </w:p>
        </w:tc>
        <w:tc>
          <w:tcPr>
            <w:tcW w:type="dxa" w:w="5386"/>
          </w:tcPr>
          <w:p>
            <w:pPr>
              <w:jc w:val="center"/>
            </w:pPr>
            <w:r>
              <w:rPr>
                <w:rFonts w:ascii="Times New Roman" w:hAnsi="Times New Roman"/>
                <w:b w:val="0"/>
                <w:i w:val="0"/>
                <w:sz w:val="18"/>
              </w:rPr>
              <w:t>Değerlendirme metrikleri</w:t>
            </w:r>
          </w:p>
        </w:tc>
      </w:tr>
      <w:tr>
        <w:tc>
          <w:tcPr>
            <w:tcW w:type="dxa" w:w="2551"/>
          </w:tcPr>
          <w:p>
            <w:pPr>
              <w:jc w:val="center"/>
            </w:pPr>
            <w:r>
              <w:rPr>
                <w:rFonts w:ascii="Times New Roman" w:hAnsi="Times New Roman"/>
                <w:b w:val="0"/>
                <w:i w:val="0"/>
                <w:sz w:val="18"/>
              </w:rPr>
              <w:t>Streamlit</w:t>
            </w:r>
          </w:p>
        </w:tc>
        <w:tc>
          <w:tcPr>
            <w:tcW w:type="dxa" w:w="5386"/>
          </w:tcPr>
          <w:p>
            <w:pPr>
              <w:jc w:val="center"/>
            </w:pPr>
            <w:r>
              <w:rPr>
                <w:rFonts w:ascii="Times New Roman" w:hAnsi="Times New Roman"/>
                <w:b w:val="0"/>
                <w:i w:val="0"/>
                <w:sz w:val="18"/>
              </w:rPr>
              <w:t>Web arayüzü</w:t>
            </w:r>
          </w:p>
        </w:tc>
      </w:tr>
      <w:tr>
        <w:tc>
          <w:tcPr>
            <w:tcW w:type="dxa" w:w="2551"/>
          </w:tcPr>
          <w:p>
            <w:pPr>
              <w:jc w:val="center"/>
            </w:pPr>
            <w:r>
              <w:rPr>
                <w:rFonts w:ascii="Times New Roman" w:hAnsi="Times New Roman"/>
                <w:b w:val="0"/>
                <w:i w:val="0"/>
                <w:sz w:val="18"/>
              </w:rPr>
              <w:t>Pytest</w:t>
            </w:r>
          </w:p>
        </w:tc>
        <w:tc>
          <w:tcPr>
            <w:tcW w:type="dxa" w:w="5386"/>
          </w:tcPr>
          <w:p>
            <w:pPr>
              <w:jc w:val="center"/>
            </w:pPr>
            <w:r>
              <w:rPr>
                <w:rFonts w:ascii="Times New Roman" w:hAnsi="Times New Roman"/>
                <w:b w:val="0"/>
                <w:i w:val="0"/>
                <w:sz w:val="18"/>
              </w:rPr>
              <w:t>Birim ve entegrasyon testleri</w:t>
            </w:r>
          </w:p>
        </w:tc>
      </w:tr>
    </w:tbl>
    <w:p/>
    <w:p>
      <w:pPr>
        <w:spacing w:before="160" w:after="80"/>
        <w:jc w:val="left"/>
      </w:pPr>
      <w:r>
        <w:rPr>
          <w:rFonts w:ascii="Times New Roman" w:hAnsi="Times New Roman"/>
          <w:b/>
          <w:i w:val="0"/>
          <w:sz w:val="20"/>
        </w:rPr>
        <w:t>J. Deneysel Tasarım</w:t>
      </w:r>
    </w:p>
    <w:p>
      <w:pPr>
        <w:spacing w:before="0" w:after="80"/>
        <w:ind w:firstLine="280"/>
        <w:jc w:val="both"/>
      </w:pPr>
      <w:r>
        <w:rPr>
          <w:rFonts w:ascii="Times New Roman" w:hAnsi="Times New Roman"/>
          <w:b w:val="0"/>
          <w:i w:val="0"/>
          <w:sz w:val="20"/>
        </w:rPr>
        <w:t>Dört farklı ablasyon çalışması gerçekleştirilmiştir. Deney 1 — Sistem Karşılaştırması: Standard RAG vs Self-Reflective Auto-RAG, sabit parametrelerle (Hybrid Retriever, chunk=1024, Top-K=5, n=30 soru). Deney 2 — Retriever Karşılaştırması: BM25, Dense ve Hybrid stratejileri sabit chunk (1024) ve Top-K (5) ile test edilmiştir (n=30 soru). Deney 3 — Chunk Boyutu Analizi: [256, 512, 1024, 2048] token değerleri Hybrid Retriever ve Top-K=5 ile test edilmiştir (n=10 soru/koşul). Deney 4 — Top-K Analizi: [3, 5, 10, 15] değerleri Hybrid Retriever ve chunk=1024 ile test edilmiştir (n=10 soru/koşul). Tüm deneylerde seed=42 sabit tutulmuştur.</w:t>
      </w:r>
    </w:p>
    <w:p>
      <w:pPr>
        <w:spacing w:before="160" w:after="80"/>
        <w:jc w:val="center"/>
      </w:pPr>
      <w:r>
        <w:rPr>
          <w:rFonts w:ascii="Times New Roman" w:hAnsi="Times New Roman"/>
          <w:b/>
          <w:i w:val="0"/>
          <w:sz w:val="22"/>
        </w:rPr>
        <w:t>IV. SONUÇLAR</w:t>
      </w:r>
    </w:p>
    <w:p>
      <w:pPr>
        <w:spacing w:before="160" w:after="80"/>
        <w:jc w:val="left"/>
      </w:pPr>
      <w:r>
        <w:rPr>
          <w:rFonts w:ascii="Times New Roman" w:hAnsi="Times New Roman"/>
          <w:b/>
          <w:i w:val="0"/>
          <w:sz w:val="20"/>
        </w:rPr>
        <w:t>A. Standard RAG vs Self-Reflective Auto-RAG</w:t>
      </w:r>
    </w:p>
    <w:p>
      <w:pPr>
        <w:spacing w:before="0" w:after="80"/>
        <w:ind w:firstLine="280"/>
        <w:jc w:val="both"/>
      </w:pPr>
      <w:r>
        <w:rPr>
          <w:rFonts w:ascii="Times New Roman" w:hAnsi="Times New Roman"/>
          <w:b w:val="0"/>
          <w:i w:val="0"/>
          <w:sz w:val="20"/>
        </w:rPr>
        <w:t>Birincil karşılaştırma deneyinde, Self-Reflective Auto-RAG sistemi dört RAGAS metriğinin tamamında standart RAG baseline'ını geçmiştir (Tablo IV, Şekil 1). Faithfulness metriğindeki +16.9'luk artış, self-reflection döngüsünün hallüsinasyonu azaltmadaki etkinliğini doğrulamaktadır. Answer relevancy'deki +17.6'lık iyileşme ise query rewriting mekanizmasının, ilk retrieval'ın yetersiz kaldığı durumlarda sorguyu daha iyi formüle edebildiğini göstermektedir. Latency artışı (%140) beklenen bir maliyettir; self-reflection döngüsü ortalama 0.53 ek retrieval yinelemesi gerektirmiştir.</w:t>
      </w:r>
    </w:p>
    <w:p>
      <w:pPr>
        <w:spacing w:before="40" w:after="120"/>
        <w:jc w:val="center"/>
      </w:pPr>
      <w:r>
        <w:rPr>
          <w:rFonts w:ascii="Times New Roman" w:hAnsi="Times New Roman"/>
          <w:b/>
          <w:i w:val="0"/>
          <w:sz w:val="18"/>
        </w:rPr>
        <w:t>Tablo IV — Standard RAG vs Self-Reflective Auto-RAG (n=30 soru)</w:t>
      </w:r>
    </w:p>
    <w:tbl>
      <w:tblPr>
        <w:tblStyle w:val="TableGrid"/>
        <w:tblW w:type="auto" w:w="0"/>
        <w:tblLook w:firstColumn="1" w:firstRow="1" w:lastColumn="0" w:lastRow="0" w:noHBand="0" w:noVBand="1" w:val="04A0"/>
      </w:tblPr>
      <w:tblGrid>
        <w:gridCol w:w="2438"/>
        <w:gridCol w:w="2438"/>
        <w:gridCol w:w="2438"/>
        <w:gridCol w:w="2438"/>
      </w:tblGrid>
      <w:tr>
        <w:tc>
          <w:tcPr>
            <w:tcW w:type="dxa" w:w="2551"/>
          </w:tcPr>
          <w:p>
            <w:pPr>
              <w:jc w:val="center"/>
            </w:pPr>
            <w:r>
              <w:rPr>
                <w:rFonts w:ascii="Times New Roman" w:hAnsi="Times New Roman"/>
                <w:b/>
                <w:i w:val="0"/>
                <w:sz w:val="18"/>
              </w:rPr>
              <w:t>Metrik</w:t>
            </w:r>
          </w:p>
        </w:tc>
        <w:tc>
          <w:tcPr>
            <w:tcW w:type="dxa" w:w="1701"/>
          </w:tcPr>
          <w:p>
            <w:pPr>
              <w:jc w:val="center"/>
            </w:pPr>
            <w:r>
              <w:rPr>
                <w:rFonts w:ascii="Times New Roman" w:hAnsi="Times New Roman"/>
                <w:b/>
                <w:i w:val="0"/>
                <w:sz w:val="18"/>
              </w:rPr>
              <w:t>Standard RAG</w:t>
            </w:r>
          </w:p>
        </w:tc>
        <w:tc>
          <w:tcPr>
            <w:tcW w:type="dxa" w:w="2268"/>
          </w:tcPr>
          <w:p>
            <w:pPr>
              <w:jc w:val="center"/>
            </w:pPr>
            <w:r>
              <w:rPr>
                <w:rFonts w:ascii="Times New Roman" w:hAnsi="Times New Roman"/>
                <w:b/>
                <w:i w:val="0"/>
                <w:sz w:val="18"/>
              </w:rPr>
              <w:t>Self-Refl. Auto-RAG</w:t>
            </w:r>
          </w:p>
        </w:tc>
        <w:tc>
          <w:tcPr>
            <w:tcW w:type="dxa" w:w="1417"/>
          </w:tcPr>
          <w:p>
            <w:pPr>
              <w:jc w:val="center"/>
            </w:pPr>
            <w:r>
              <w:rPr>
                <w:rFonts w:ascii="Times New Roman" w:hAnsi="Times New Roman"/>
                <w:b/>
                <w:i w:val="0"/>
                <w:sz w:val="18"/>
              </w:rPr>
              <w:t>Δ (%)</w:t>
            </w:r>
          </w:p>
        </w:tc>
      </w:tr>
      <w:tr>
        <w:tc>
          <w:tcPr>
            <w:tcW w:type="dxa" w:w="2551"/>
          </w:tcPr>
          <w:p>
            <w:pPr>
              <w:jc w:val="center"/>
            </w:pPr>
            <w:r>
              <w:rPr>
                <w:rFonts w:ascii="Times New Roman" w:hAnsi="Times New Roman"/>
                <w:b w:val="0"/>
                <w:i w:val="0"/>
                <w:sz w:val="18"/>
              </w:rPr>
              <w:t>Faithfulness</w:t>
            </w:r>
          </w:p>
        </w:tc>
        <w:tc>
          <w:tcPr>
            <w:tcW w:type="dxa" w:w="1701"/>
          </w:tcPr>
          <w:p>
            <w:pPr>
              <w:jc w:val="center"/>
            </w:pPr>
            <w:r>
              <w:rPr>
                <w:rFonts w:ascii="Times New Roman" w:hAnsi="Times New Roman"/>
                <w:b w:val="0"/>
                <w:i w:val="0"/>
                <w:sz w:val="18"/>
              </w:rPr>
              <w:t>0.71</w:t>
            </w:r>
          </w:p>
        </w:tc>
        <w:tc>
          <w:tcPr>
            <w:tcW w:type="dxa" w:w="2268"/>
          </w:tcPr>
          <w:p>
            <w:pPr>
              <w:jc w:val="center"/>
            </w:pPr>
            <w:r>
              <w:rPr>
                <w:rFonts w:ascii="Times New Roman" w:hAnsi="Times New Roman"/>
                <w:b w:val="0"/>
                <w:i w:val="0"/>
                <w:sz w:val="18"/>
              </w:rPr>
              <w:t>0.83</w:t>
            </w:r>
          </w:p>
        </w:tc>
        <w:tc>
          <w:tcPr>
            <w:tcW w:type="dxa" w:w="1417"/>
          </w:tcPr>
          <w:p>
            <w:pPr>
              <w:jc w:val="center"/>
            </w:pPr>
            <w:r>
              <w:rPr>
                <w:rFonts w:ascii="Times New Roman" w:hAnsi="Times New Roman"/>
                <w:b w:val="0"/>
                <w:i w:val="0"/>
                <w:sz w:val="18"/>
              </w:rPr>
              <w:t>+16.9%</w:t>
            </w:r>
          </w:p>
        </w:tc>
      </w:tr>
      <w:tr>
        <w:tc>
          <w:tcPr>
            <w:tcW w:type="dxa" w:w="2551"/>
          </w:tcPr>
          <w:p>
            <w:pPr>
              <w:jc w:val="center"/>
            </w:pPr>
            <w:r>
              <w:rPr>
                <w:rFonts w:ascii="Times New Roman" w:hAnsi="Times New Roman"/>
                <w:b w:val="0"/>
                <w:i w:val="0"/>
                <w:sz w:val="18"/>
              </w:rPr>
              <w:t>Answer Relevancy</w:t>
            </w:r>
          </w:p>
        </w:tc>
        <w:tc>
          <w:tcPr>
            <w:tcW w:type="dxa" w:w="1701"/>
          </w:tcPr>
          <w:p>
            <w:pPr>
              <w:jc w:val="center"/>
            </w:pPr>
            <w:r>
              <w:rPr>
                <w:rFonts w:ascii="Times New Roman" w:hAnsi="Times New Roman"/>
                <w:b w:val="0"/>
                <w:i w:val="0"/>
                <w:sz w:val="18"/>
              </w:rPr>
              <w:t>0.74</w:t>
            </w:r>
          </w:p>
        </w:tc>
        <w:tc>
          <w:tcPr>
            <w:tcW w:type="dxa" w:w="2268"/>
          </w:tcPr>
          <w:p>
            <w:pPr>
              <w:jc w:val="center"/>
            </w:pPr>
            <w:r>
              <w:rPr>
                <w:rFonts w:ascii="Times New Roman" w:hAnsi="Times New Roman"/>
                <w:b w:val="0"/>
                <w:i w:val="0"/>
                <w:sz w:val="18"/>
              </w:rPr>
              <w:t>0.87</w:t>
            </w:r>
          </w:p>
        </w:tc>
        <w:tc>
          <w:tcPr>
            <w:tcW w:type="dxa" w:w="1417"/>
          </w:tcPr>
          <w:p>
            <w:pPr>
              <w:jc w:val="center"/>
            </w:pPr>
            <w:r>
              <w:rPr>
                <w:rFonts w:ascii="Times New Roman" w:hAnsi="Times New Roman"/>
                <w:b w:val="0"/>
                <w:i w:val="0"/>
                <w:sz w:val="18"/>
              </w:rPr>
              <w:t>+17.6%</w:t>
            </w:r>
          </w:p>
        </w:tc>
      </w:tr>
      <w:tr>
        <w:tc>
          <w:tcPr>
            <w:tcW w:type="dxa" w:w="2551"/>
          </w:tcPr>
          <w:p>
            <w:pPr>
              <w:jc w:val="center"/>
            </w:pPr>
            <w:r>
              <w:rPr>
                <w:rFonts w:ascii="Times New Roman" w:hAnsi="Times New Roman"/>
                <w:b w:val="0"/>
                <w:i w:val="0"/>
                <w:sz w:val="18"/>
              </w:rPr>
              <w:t>Context Precision</w:t>
            </w:r>
          </w:p>
        </w:tc>
        <w:tc>
          <w:tcPr>
            <w:tcW w:type="dxa" w:w="1701"/>
          </w:tcPr>
          <w:p>
            <w:pPr>
              <w:jc w:val="center"/>
            </w:pPr>
            <w:r>
              <w:rPr>
                <w:rFonts w:ascii="Times New Roman" w:hAnsi="Times New Roman"/>
                <w:b w:val="0"/>
                <w:i w:val="0"/>
                <w:sz w:val="18"/>
              </w:rPr>
              <w:t>0.68</w:t>
            </w:r>
          </w:p>
        </w:tc>
        <w:tc>
          <w:tcPr>
            <w:tcW w:type="dxa" w:w="2268"/>
          </w:tcPr>
          <w:p>
            <w:pPr>
              <w:jc w:val="center"/>
            </w:pPr>
            <w:r>
              <w:rPr>
                <w:rFonts w:ascii="Times New Roman" w:hAnsi="Times New Roman"/>
                <w:b w:val="0"/>
                <w:i w:val="0"/>
                <w:sz w:val="18"/>
              </w:rPr>
              <w:t>0.79</w:t>
            </w:r>
          </w:p>
        </w:tc>
        <w:tc>
          <w:tcPr>
            <w:tcW w:type="dxa" w:w="1417"/>
          </w:tcPr>
          <w:p>
            <w:pPr>
              <w:jc w:val="center"/>
            </w:pPr>
            <w:r>
              <w:rPr>
                <w:rFonts w:ascii="Times New Roman" w:hAnsi="Times New Roman"/>
                <w:b w:val="0"/>
                <w:i w:val="0"/>
                <w:sz w:val="18"/>
              </w:rPr>
              <w:t>+16.2%</w:t>
            </w:r>
          </w:p>
        </w:tc>
      </w:tr>
      <w:tr>
        <w:tc>
          <w:tcPr>
            <w:tcW w:type="dxa" w:w="2551"/>
          </w:tcPr>
          <w:p>
            <w:pPr>
              <w:jc w:val="center"/>
            </w:pPr>
            <w:r>
              <w:rPr>
                <w:rFonts w:ascii="Times New Roman" w:hAnsi="Times New Roman"/>
                <w:b w:val="0"/>
                <w:i w:val="0"/>
                <w:sz w:val="18"/>
              </w:rPr>
              <w:t>Context Recall</w:t>
            </w:r>
          </w:p>
        </w:tc>
        <w:tc>
          <w:tcPr>
            <w:tcW w:type="dxa" w:w="1701"/>
          </w:tcPr>
          <w:p>
            <w:pPr>
              <w:jc w:val="center"/>
            </w:pPr>
            <w:r>
              <w:rPr>
                <w:rFonts w:ascii="Times New Roman" w:hAnsi="Times New Roman"/>
                <w:b w:val="0"/>
                <w:i w:val="0"/>
                <w:sz w:val="18"/>
              </w:rPr>
              <w:t>0.65</w:t>
            </w:r>
          </w:p>
        </w:tc>
        <w:tc>
          <w:tcPr>
            <w:tcW w:type="dxa" w:w="2268"/>
          </w:tcPr>
          <w:p>
            <w:pPr>
              <w:jc w:val="center"/>
            </w:pPr>
            <w:r>
              <w:rPr>
                <w:rFonts w:ascii="Times New Roman" w:hAnsi="Times New Roman"/>
                <w:b w:val="0"/>
                <w:i w:val="0"/>
                <w:sz w:val="18"/>
              </w:rPr>
              <w:t>0.74</w:t>
            </w:r>
          </w:p>
        </w:tc>
        <w:tc>
          <w:tcPr>
            <w:tcW w:type="dxa" w:w="1417"/>
          </w:tcPr>
          <w:p>
            <w:pPr>
              <w:jc w:val="center"/>
            </w:pPr>
            <w:r>
              <w:rPr>
                <w:rFonts w:ascii="Times New Roman" w:hAnsi="Times New Roman"/>
                <w:b w:val="0"/>
                <w:i w:val="0"/>
                <w:sz w:val="18"/>
              </w:rPr>
              <w:t>+13.8%</w:t>
            </w:r>
          </w:p>
        </w:tc>
      </w:tr>
      <w:tr>
        <w:tc>
          <w:tcPr>
            <w:tcW w:type="dxa" w:w="2551"/>
          </w:tcPr>
          <w:p>
            <w:pPr>
              <w:jc w:val="center"/>
            </w:pPr>
            <w:r>
              <w:rPr>
                <w:rFonts w:ascii="Times New Roman" w:hAnsi="Times New Roman"/>
                <w:b w:val="0"/>
                <w:i w:val="0"/>
                <w:sz w:val="18"/>
              </w:rPr>
              <w:t>Ort. Latency (sn)</w:t>
            </w:r>
          </w:p>
        </w:tc>
        <w:tc>
          <w:tcPr>
            <w:tcW w:type="dxa" w:w="1701"/>
          </w:tcPr>
          <w:p>
            <w:pPr>
              <w:jc w:val="center"/>
            </w:pPr>
            <w:r>
              <w:rPr>
                <w:rFonts w:ascii="Times New Roman" w:hAnsi="Times New Roman"/>
                <w:b w:val="0"/>
                <w:i w:val="0"/>
                <w:sz w:val="18"/>
              </w:rPr>
              <w:t>0.05</w:t>
            </w:r>
          </w:p>
        </w:tc>
        <w:tc>
          <w:tcPr>
            <w:tcW w:type="dxa" w:w="2268"/>
          </w:tcPr>
          <w:p>
            <w:pPr>
              <w:jc w:val="center"/>
            </w:pPr>
            <w:r>
              <w:rPr>
                <w:rFonts w:ascii="Times New Roman" w:hAnsi="Times New Roman"/>
                <w:b w:val="0"/>
                <w:i w:val="0"/>
                <w:sz w:val="18"/>
              </w:rPr>
              <w:t>0.12</w:t>
            </w:r>
          </w:p>
        </w:tc>
        <w:tc>
          <w:tcPr>
            <w:tcW w:type="dxa" w:w="1417"/>
          </w:tcPr>
          <w:p>
            <w:pPr>
              <w:jc w:val="center"/>
            </w:pPr>
            <w:r>
              <w:rPr>
                <w:rFonts w:ascii="Times New Roman" w:hAnsi="Times New Roman"/>
                <w:b w:val="0"/>
                <w:i w:val="0"/>
                <w:sz w:val="18"/>
              </w:rPr>
              <w:t>+140%</w:t>
            </w:r>
          </w:p>
        </w:tc>
      </w:tr>
      <w:tr>
        <w:tc>
          <w:tcPr>
            <w:tcW w:type="dxa" w:w="2551"/>
          </w:tcPr>
          <w:p>
            <w:pPr>
              <w:jc w:val="center"/>
            </w:pPr>
            <w:r>
              <w:rPr>
                <w:rFonts w:ascii="Times New Roman" w:hAnsi="Times New Roman"/>
                <w:b w:val="0"/>
                <w:i w:val="0"/>
                <w:sz w:val="18"/>
              </w:rPr>
              <w:t>Ort. Rewrite</w:t>
            </w:r>
          </w:p>
        </w:tc>
        <w:tc>
          <w:tcPr>
            <w:tcW w:type="dxa" w:w="1701"/>
          </w:tcPr>
          <w:p>
            <w:pPr>
              <w:jc w:val="center"/>
            </w:pPr>
            <w:r>
              <w:rPr>
                <w:rFonts w:ascii="Times New Roman" w:hAnsi="Times New Roman"/>
                <w:b w:val="0"/>
                <w:i w:val="0"/>
                <w:sz w:val="18"/>
              </w:rPr>
              <w:t>0.0</w:t>
            </w:r>
          </w:p>
        </w:tc>
        <w:tc>
          <w:tcPr>
            <w:tcW w:type="dxa" w:w="2268"/>
          </w:tcPr>
          <w:p>
            <w:pPr>
              <w:jc w:val="center"/>
            </w:pPr>
            <w:r>
              <w:rPr>
                <w:rFonts w:ascii="Times New Roman" w:hAnsi="Times New Roman"/>
                <w:b w:val="0"/>
                <w:i w:val="0"/>
                <w:sz w:val="18"/>
              </w:rPr>
              <w:t>0.53</w:t>
            </w:r>
          </w:p>
        </w:tc>
        <w:tc>
          <w:tcPr>
            <w:tcW w:type="dxa" w:w="1417"/>
          </w:tcPr>
          <w:p>
            <w:pPr>
              <w:jc w:val="center"/>
            </w:pPr>
            <w:r>
              <w:rPr>
                <w:rFonts w:ascii="Times New Roman" w:hAnsi="Times New Roman"/>
                <w:b w:val="0"/>
                <w:i w:val="0"/>
                <w:sz w:val="18"/>
              </w:rPr>
              <w:t>—</w:t>
            </w:r>
          </w:p>
        </w:tc>
      </w:tr>
    </w:tbl>
    <w:p/>
    <w:p>
      <w:pPr>
        <w:spacing w:before="160" w:after="80"/>
        <w:jc w:val="left"/>
      </w:pPr>
      <w:r>
        <w:rPr>
          <w:rFonts w:ascii="Times New Roman" w:hAnsi="Times New Roman"/>
          <w:b/>
          <w:i w:val="0"/>
          <w:sz w:val="20"/>
        </w:rPr>
        <w:t>B. Retriever Stratejisi Karşılaştırması</w:t>
      </w:r>
    </w:p>
    <w:p>
      <w:pPr>
        <w:spacing w:before="0" w:after="80"/>
        <w:ind w:firstLine="280"/>
        <w:jc w:val="both"/>
      </w:pPr>
      <w:r>
        <w:rPr>
          <w:rFonts w:ascii="Times New Roman" w:hAnsi="Times New Roman"/>
          <w:b w:val="0"/>
          <w:i w:val="0"/>
          <w:sz w:val="20"/>
        </w:rPr>
        <w:t>Hibrit yaklaşımın tüm metriklerde üstün performans sergilemesi, BM25'in kelime örtüşmesi avantajının dense retrieval'ın anlam düzeyindeki yakalama yeteneğiyle tamamlandığını ortaya koymaktadır. Context recall metriğinde en belirgin fark gözlemlenmiştir: BM25'in 0.61'e karşın Hybrid'in 0.74 değerine ulaşması (%21.3 artış), akademik metin sorgularında exact-match olmayan eşleşmelerin kritik önem taşıdığını göstermektedir (Tablo V, Şekil 2).</w:t>
      </w:r>
    </w:p>
    <w:p>
      <w:pPr>
        <w:spacing w:before="40" w:after="120"/>
        <w:jc w:val="center"/>
      </w:pPr>
      <w:r>
        <w:rPr>
          <w:rFonts w:ascii="Times New Roman" w:hAnsi="Times New Roman"/>
          <w:b/>
          <w:i w:val="0"/>
          <w:sz w:val="18"/>
        </w:rPr>
        <w:t>Tablo V — Retriever Karşılaştırması (n=30 soru, chunk=1024, Top-K=5)</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84"/>
          </w:tcPr>
          <w:p>
            <w:pPr>
              <w:jc w:val="center"/>
            </w:pPr>
            <w:r>
              <w:rPr>
                <w:rFonts w:ascii="Times New Roman" w:hAnsi="Times New Roman"/>
                <w:b/>
                <w:i w:val="0"/>
                <w:sz w:val="18"/>
              </w:rPr>
              <w:t>Retriever</w:t>
            </w:r>
          </w:p>
        </w:tc>
        <w:tc>
          <w:tcPr>
            <w:tcW w:type="dxa" w:w="1417"/>
          </w:tcPr>
          <w:p>
            <w:pPr>
              <w:jc w:val="center"/>
            </w:pPr>
            <w:r>
              <w:rPr>
                <w:rFonts w:ascii="Times New Roman" w:hAnsi="Times New Roman"/>
                <w:b/>
                <w:i w:val="0"/>
                <w:sz w:val="18"/>
              </w:rPr>
              <w:t>Faithfulness</w:t>
            </w:r>
          </w:p>
        </w:tc>
        <w:tc>
          <w:tcPr>
            <w:tcW w:type="dxa" w:w="1417"/>
          </w:tcPr>
          <w:p>
            <w:pPr>
              <w:jc w:val="center"/>
            </w:pPr>
            <w:r>
              <w:rPr>
                <w:rFonts w:ascii="Times New Roman" w:hAnsi="Times New Roman"/>
                <w:b/>
                <w:i w:val="0"/>
                <w:sz w:val="18"/>
              </w:rPr>
              <w:t>Answer Rel.</w:t>
            </w:r>
          </w:p>
        </w:tc>
        <w:tc>
          <w:tcPr>
            <w:tcW w:type="dxa" w:w="1531"/>
          </w:tcPr>
          <w:p>
            <w:pPr>
              <w:jc w:val="center"/>
            </w:pPr>
            <w:r>
              <w:rPr>
                <w:rFonts w:ascii="Times New Roman" w:hAnsi="Times New Roman"/>
                <w:b/>
                <w:i w:val="0"/>
                <w:sz w:val="18"/>
              </w:rPr>
              <w:t>Ctx Precision</w:t>
            </w:r>
          </w:p>
        </w:tc>
        <w:tc>
          <w:tcPr>
            <w:tcW w:type="dxa" w:w="1587"/>
          </w:tcPr>
          <w:p>
            <w:pPr>
              <w:jc w:val="center"/>
            </w:pPr>
            <w:r>
              <w:rPr>
                <w:rFonts w:ascii="Times New Roman" w:hAnsi="Times New Roman"/>
                <w:b/>
                <w:i w:val="0"/>
                <w:sz w:val="18"/>
              </w:rPr>
              <w:t>Ctx Recall</w:t>
            </w:r>
          </w:p>
        </w:tc>
      </w:tr>
      <w:tr>
        <w:tc>
          <w:tcPr>
            <w:tcW w:type="dxa" w:w="1984"/>
          </w:tcPr>
          <w:p>
            <w:pPr>
              <w:jc w:val="center"/>
            </w:pPr>
            <w:r>
              <w:rPr>
                <w:rFonts w:ascii="Times New Roman" w:hAnsi="Times New Roman"/>
                <w:b w:val="0"/>
                <w:i w:val="0"/>
                <w:sz w:val="18"/>
              </w:rPr>
              <w:t>BM25</w:t>
            </w:r>
          </w:p>
        </w:tc>
        <w:tc>
          <w:tcPr>
            <w:tcW w:type="dxa" w:w="1417"/>
          </w:tcPr>
          <w:p>
            <w:pPr>
              <w:jc w:val="center"/>
            </w:pPr>
            <w:r>
              <w:rPr>
                <w:rFonts w:ascii="Times New Roman" w:hAnsi="Times New Roman"/>
                <w:b w:val="0"/>
                <w:i w:val="0"/>
                <w:sz w:val="18"/>
              </w:rPr>
              <w:t>0.71</w:t>
            </w:r>
          </w:p>
        </w:tc>
        <w:tc>
          <w:tcPr>
            <w:tcW w:type="dxa" w:w="1417"/>
          </w:tcPr>
          <w:p>
            <w:pPr>
              <w:jc w:val="center"/>
            </w:pPr>
            <w:r>
              <w:rPr>
                <w:rFonts w:ascii="Times New Roman" w:hAnsi="Times New Roman"/>
                <w:b w:val="0"/>
                <w:i w:val="0"/>
                <w:sz w:val="18"/>
              </w:rPr>
              <w:t>0.75</w:t>
            </w:r>
          </w:p>
        </w:tc>
        <w:tc>
          <w:tcPr>
            <w:tcW w:type="dxa" w:w="1531"/>
          </w:tcPr>
          <w:p>
            <w:pPr>
              <w:jc w:val="center"/>
            </w:pPr>
            <w:r>
              <w:rPr>
                <w:rFonts w:ascii="Times New Roman" w:hAnsi="Times New Roman"/>
                <w:b w:val="0"/>
                <w:i w:val="0"/>
                <w:sz w:val="18"/>
              </w:rPr>
              <w:t>0.68</w:t>
            </w:r>
          </w:p>
        </w:tc>
        <w:tc>
          <w:tcPr>
            <w:tcW w:type="dxa" w:w="1587"/>
          </w:tcPr>
          <w:p>
            <w:pPr>
              <w:jc w:val="center"/>
            </w:pPr>
            <w:r>
              <w:rPr>
                <w:rFonts w:ascii="Times New Roman" w:hAnsi="Times New Roman"/>
                <w:b w:val="0"/>
                <w:i w:val="0"/>
                <w:sz w:val="18"/>
              </w:rPr>
              <w:t>0.61</w:t>
            </w:r>
          </w:p>
        </w:tc>
      </w:tr>
      <w:tr>
        <w:tc>
          <w:tcPr>
            <w:tcW w:type="dxa" w:w="1984"/>
          </w:tcPr>
          <w:p>
            <w:pPr>
              <w:jc w:val="center"/>
            </w:pPr>
            <w:r>
              <w:rPr>
                <w:rFonts w:ascii="Times New Roman" w:hAnsi="Times New Roman"/>
                <w:b w:val="0"/>
                <w:i w:val="0"/>
                <w:sz w:val="18"/>
              </w:rPr>
              <w:t>Dense</w:t>
            </w:r>
          </w:p>
        </w:tc>
        <w:tc>
          <w:tcPr>
            <w:tcW w:type="dxa" w:w="1417"/>
          </w:tcPr>
          <w:p>
            <w:pPr>
              <w:jc w:val="center"/>
            </w:pPr>
            <w:r>
              <w:rPr>
                <w:rFonts w:ascii="Times New Roman" w:hAnsi="Times New Roman"/>
                <w:b w:val="0"/>
                <w:i w:val="0"/>
                <w:sz w:val="18"/>
              </w:rPr>
              <w:t>0.76</w:t>
            </w:r>
          </w:p>
        </w:tc>
        <w:tc>
          <w:tcPr>
            <w:tcW w:type="dxa" w:w="1417"/>
          </w:tcPr>
          <w:p>
            <w:pPr>
              <w:jc w:val="center"/>
            </w:pPr>
            <w:r>
              <w:rPr>
                <w:rFonts w:ascii="Times New Roman" w:hAnsi="Times New Roman"/>
                <w:b w:val="0"/>
                <w:i w:val="0"/>
                <w:sz w:val="18"/>
              </w:rPr>
              <w:t>0.80</w:t>
            </w:r>
          </w:p>
        </w:tc>
        <w:tc>
          <w:tcPr>
            <w:tcW w:type="dxa" w:w="1531"/>
          </w:tcPr>
          <w:p>
            <w:pPr>
              <w:jc w:val="center"/>
            </w:pPr>
            <w:r>
              <w:rPr>
                <w:rFonts w:ascii="Times New Roman" w:hAnsi="Times New Roman"/>
                <w:b w:val="0"/>
                <w:i w:val="0"/>
                <w:sz w:val="18"/>
              </w:rPr>
              <w:t>0.73</w:t>
            </w:r>
          </w:p>
        </w:tc>
        <w:tc>
          <w:tcPr>
            <w:tcW w:type="dxa" w:w="1587"/>
          </w:tcPr>
          <w:p>
            <w:pPr>
              <w:jc w:val="center"/>
            </w:pPr>
            <w:r>
              <w:rPr>
                <w:rFonts w:ascii="Times New Roman" w:hAnsi="Times New Roman"/>
                <w:b w:val="0"/>
                <w:i w:val="0"/>
                <w:sz w:val="18"/>
              </w:rPr>
              <w:t>0.68</w:t>
            </w:r>
          </w:p>
        </w:tc>
      </w:tr>
      <w:tr>
        <w:tc>
          <w:tcPr>
            <w:tcW w:type="dxa" w:w="1984"/>
          </w:tcPr>
          <w:p>
            <w:pPr>
              <w:jc w:val="center"/>
            </w:pPr>
            <w:r>
              <w:rPr>
                <w:rFonts w:ascii="Times New Roman" w:hAnsi="Times New Roman"/>
                <w:b w:val="0"/>
                <w:i w:val="0"/>
                <w:sz w:val="18"/>
              </w:rPr>
              <w:t>Hybrid (RRF)</w:t>
            </w:r>
          </w:p>
        </w:tc>
        <w:tc>
          <w:tcPr>
            <w:tcW w:type="dxa" w:w="1417"/>
          </w:tcPr>
          <w:p>
            <w:pPr>
              <w:jc w:val="center"/>
            </w:pPr>
            <w:r>
              <w:rPr>
                <w:rFonts w:ascii="Times New Roman" w:hAnsi="Times New Roman"/>
                <w:b w:val="0"/>
                <w:i w:val="0"/>
                <w:sz w:val="18"/>
              </w:rPr>
              <w:t>0.83</w:t>
            </w:r>
          </w:p>
        </w:tc>
        <w:tc>
          <w:tcPr>
            <w:tcW w:type="dxa" w:w="1417"/>
          </w:tcPr>
          <w:p>
            <w:pPr>
              <w:jc w:val="center"/>
            </w:pPr>
            <w:r>
              <w:rPr>
                <w:rFonts w:ascii="Times New Roman" w:hAnsi="Times New Roman"/>
                <w:b w:val="0"/>
                <w:i w:val="0"/>
                <w:sz w:val="18"/>
              </w:rPr>
              <w:t>0.87</w:t>
            </w:r>
          </w:p>
        </w:tc>
        <w:tc>
          <w:tcPr>
            <w:tcW w:type="dxa" w:w="1531"/>
          </w:tcPr>
          <w:p>
            <w:pPr>
              <w:jc w:val="center"/>
            </w:pPr>
            <w:r>
              <w:rPr>
                <w:rFonts w:ascii="Times New Roman" w:hAnsi="Times New Roman"/>
                <w:b w:val="0"/>
                <w:i w:val="0"/>
                <w:sz w:val="18"/>
              </w:rPr>
              <w:t>0.79</w:t>
            </w:r>
          </w:p>
        </w:tc>
        <w:tc>
          <w:tcPr>
            <w:tcW w:type="dxa" w:w="1587"/>
          </w:tcPr>
          <w:p>
            <w:pPr>
              <w:jc w:val="center"/>
            </w:pPr>
            <w:r>
              <w:rPr>
                <w:rFonts w:ascii="Times New Roman" w:hAnsi="Times New Roman"/>
                <w:b w:val="0"/>
                <w:i w:val="0"/>
                <w:sz w:val="18"/>
              </w:rPr>
              <w:t>0.74</w:t>
            </w:r>
          </w:p>
        </w:tc>
      </w:tr>
    </w:tbl>
    <w:p/>
    <w:p>
      <w:pPr>
        <w:spacing w:before="160" w:after="80"/>
        <w:jc w:val="left"/>
      </w:pPr>
      <w:r>
        <w:rPr>
          <w:rFonts w:ascii="Times New Roman" w:hAnsi="Times New Roman"/>
          <w:b/>
          <w:i w:val="0"/>
          <w:sz w:val="20"/>
        </w:rPr>
        <w:t>C. Chunk Boyutunun Etkisi</w:t>
      </w:r>
    </w:p>
    <w:p>
      <w:pPr>
        <w:spacing w:before="0" w:after="80"/>
        <w:ind w:firstLine="280"/>
        <w:jc w:val="both"/>
      </w:pPr>
      <w:r>
        <w:rPr>
          <w:rFonts w:ascii="Times New Roman" w:hAnsi="Times New Roman"/>
          <w:b w:val="0"/>
          <w:i w:val="0"/>
          <w:sz w:val="20"/>
        </w:rPr>
        <w:t>Sonuçlar, 1024 token boyutunun optimum değer olduğunu göstermektedir. 256 token ile çok küçük chunk'lar elde edilmekte; bu durum bağlamın parçalanmasına ve context recall'ın düşmesine (0.65) yol açmaktadır. 2048 token ise tek bir chunk'ın fazladan gürültü taşımasına neden olmakta; context precision 0.77'ye gerilemiştir. 1024 token, bu ikisi arasında optimum precision-recall dengesini kurmaktadır (Tablo VI, Şekil 3).</w:t>
      </w:r>
    </w:p>
    <w:p>
      <w:pPr>
        <w:spacing w:before="40" w:after="120"/>
        <w:jc w:val="center"/>
      </w:pPr>
      <w:r>
        <w:rPr>
          <w:rFonts w:ascii="Times New Roman" w:hAnsi="Times New Roman"/>
          <w:b/>
          <w:i w:val="0"/>
          <w:sz w:val="18"/>
        </w:rPr>
        <w:t>Tablo VI — Chunk Boyutu Analizi (Hybrid, Top-K=5, n=10/koşul)</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587"/>
          </w:tcPr>
          <w:p>
            <w:pPr>
              <w:jc w:val="center"/>
            </w:pPr>
            <w:r>
              <w:rPr>
                <w:rFonts w:ascii="Times New Roman" w:hAnsi="Times New Roman"/>
                <w:b/>
                <w:i w:val="0"/>
                <w:sz w:val="18"/>
              </w:rPr>
              <w:t>Chunk Size</w:t>
            </w:r>
          </w:p>
        </w:tc>
        <w:tc>
          <w:tcPr>
            <w:tcW w:type="dxa" w:w="1417"/>
          </w:tcPr>
          <w:p>
            <w:pPr>
              <w:jc w:val="center"/>
            </w:pPr>
            <w:r>
              <w:rPr>
                <w:rFonts w:ascii="Times New Roman" w:hAnsi="Times New Roman"/>
                <w:b/>
                <w:i w:val="0"/>
                <w:sz w:val="18"/>
              </w:rPr>
              <w:t>Faithfulness</w:t>
            </w:r>
          </w:p>
        </w:tc>
        <w:tc>
          <w:tcPr>
            <w:tcW w:type="dxa" w:w="1417"/>
          </w:tcPr>
          <w:p>
            <w:pPr>
              <w:jc w:val="center"/>
            </w:pPr>
            <w:r>
              <w:rPr>
                <w:rFonts w:ascii="Times New Roman" w:hAnsi="Times New Roman"/>
                <w:b/>
                <w:i w:val="0"/>
                <w:sz w:val="18"/>
              </w:rPr>
              <w:t>Answer Rel.</w:t>
            </w:r>
          </w:p>
        </w:tc>
        <w:tc>
          <w:tcPr>
            <w:tcW w:type="dxa" w:w="1531"/>
          </w:tcPr>
          <w:p>
            <w:pPr>
              <w:jc w:val="center"/>
            </w:pPr>
            <w:r>
              <w:rPr>
                <w:rFonts w:ascii="Times New Roman" w:hAnsi="Times New Roman"/>
                <w:b/>
                <w:i w:val="0"/>
                <w:sz w:val="18"/>
              </w:rPr>
              <w:t>Ctx Precision</w:t>
            </w:r>
          </w:p>
        </w:tc>
        <w:tc>
          <w:tcPr>
            <w:tcW w:type="dxa" w:w="1417"/>
          </w:tcPr>
          <w:p>
            <w:pPr>
              <w:jc w:val="center"/>
            </w:pPr>
            <w:r>
              <w:rPr>
                <w:rFonts w:ascii="Times New Roman" w:hAnsi="Times New Roman"/>
                <w:b/>
                <w:i w:val="0"/>
                <w:sz w:val="18"/>
              </w:rPr>
              <w:t>Ctx Recall</w:t>
            </w:r>
          </w:p>
        </w:tc>
      </w:tr>
      <w:tr>
        <w:tc>
          <w:tcPr>
            <w:tcW w:type="dxa" w:w="1587"/>
          </w:tcPr>
          <w:p>
            <w:pPr>
              <w:jc w:val="center"/>
            </w:pPr>
            <w:r>
              <w:rPr>
                <w:rFonts w:ascii="Times New Roman" w:hAnsi="Times New Roman"/>
                <w:b w:val="0"/>
                <w:i w:val="0"/>
                <w:sz w:val="18"/>
              </w:rPr>
              <w:t>256</w:t>
            </w:r>
          </w:p>
        </w:tc>
        <w:tc>
          <w:tcPr>
            <w:tcW w:type="dxa" w:w="1417"/>
          </w:tcPr>
          <w:p>
            <w:pPr>
              <w:jc w:val="center"/>
            </w:pPr>
            <w:r>
              <w:rPr>
                <w:rFonts w:ascii="Times New Roman" w:hAnsi="Times New Roman"/>
                <w:b w:val="0"/>
                <w:i w:val="0"/>
                <w:sz w:val="18"/>
              </w:rPr>
              <w:t>0.76</w:t>
            </w:r>
          </w:p>
        </w:tc>
        <w:tc>
          <w:tcPr>
            <w:tcW w:type="dxa" w:w="1417"/>
          </w:tcPr>
          <w:p>
            <w:pPr>
              <w:jc w:val="center"/>
            </w:pPr>
            <w:r>
              <w:rPr>
                <w:rFonts w:ascii="Times New Roman" w:hAnsi="Times New Roman"/>
                <w:b w:val="0"/>
                <w:i w:val="0"/>
                <w:sz w:val="18"/>
              </w:rPr>
              <w:t>0.79</w:t>
            </w:r>
          </w:p>
        </w:tc>
        <w:tc>
          <w:tcPr>
            <w:tcW w:type="dxa" w:w="1531"/>
          </w:tcPr>
          <w:p>
            <w:pPr>
              <w:jc w:val="center"/>
            </w:pPr>
            <w:r>
              <w:rPr>
                <w:rFonts w:ascii="Times New Roman" w:hAnsi="Times New Roman"/>
                <w:b w:val="0"/>
                <w:i w:val="0"/>
                <w:sz w:val="18"/>
              </w:rPr>
              <w:t>0.71</w:t>
            </w:r>
          </w:p>
        </w:tc>
        <w:tc>
          <w:tcPr>
            <w:tcW w:type="dxa" w:w="1417"/>
          </w:tcPr>
          <w:p>
            <w:pPr>
              <w:jc w:val="center"/>
            </w:pPr>
            <w:r>
              <w:rPr>
                <w:rFonts w:ascii="Times New Roman" w:hAnsi="Times New Roman"/>
                <w:b w:val="0"/>
                <w:i w:val="0"/>
                <w:sz w:val="18"/>
              </w:rPr>
              <w:t>0.65</w:t>
            </w:r>
          </w:p>
        </w:tc>
      </w:tr>
      <w:tr>
        <w:tc>
          <w:tcPr>
            <w:tcW w:type="dxa" w:w="1587"/>
          </w:tcPr>
          <w:p>
            <w:pPr>
              <w:jc w:val="center"/>
            </w:pPr>
            <w:r>
              <w:rPr>
                <w:rFonts w:ascii="Times New Roman" w:hAnsi="Times New Roman"/>
                <w:b w:val="0"/>
                <w:i w:val="0"/>
                <w:sz w:val="18"/>
              </w:rPr>
              <w:t>512</w:t>
            </w:r>
          </w:p>
        </w:tc>
        <w:tc>
          <w:tcPr>
            <w:tcW w:type="dxa" w:w="1417"/>
          </w:tcPr>
          <w:p>
            <w:pPr>
              <w:jc w:val="center"/>
            </w:pPr>
            <w:r>
              <w:rPr>
                <w:rFonts w:ascii="Times New Roman" w:hAnsi="Times New Roman"/>
                <w:b w:val="0"/>
                <w:i w:val="0"/>
                <w:sz w:val="18"/>
              </w:rPr>
              <w:t>0.80</w:t>
            </w:r>
          </w:p>
        </w:tc>
        <w:tc>
          <w:tcPr>
            <w:tcW w:type="dxa" w:w="1417"/>
          </w:tcPr>
          <w:p>
            <w:pPr>
              <w:jc w:val="center"/>
            </w:pPr>
            <w:r>
              <w:rPr>
                <w:rFonts w:ascii="Times New Roman" w:hAnsi="Times New Roman"/>
                <w:b w:val="0"/>
                <w:i w:val="0"/>
                <w:sz w:val="18"/>
              </w:rPr>
              <w:t>0.83</w:t>
            </w:r>
          </w:p>
        </w:tc>
        <w:tc>
          <w:tcPr>
            <w:tcW w:type="dxa" w:w="1531"/>
          </w:tcPr>
          <w:p>
            <w:pPr>
              <w:jc w:val="center"/>
            </w:pPr>
            <w:r>
              <w:rPr>
                <w:rFonts w:ascii="Times New Roman" w:hAnsi="Times New Roman"/>
                <w:b w:val="0"/>
                <w:i w:val="0"/>
                <w:sz w:val="18"/>
              </w:rPr>
              <w:t>0.76</w:t>
            </w:r>
          </w:p>
        </w:tc>
        <w:tc>
          <w:tcPr>
            <w:tcW w:type="dxa" w:w="1417"/>
          </w:tcPr>
          <w:p>
            <w:pPr>
              <w:jc w:val="center"/>
            </w:pPr>
            <w:r>
              <w:rPr>
                <w:rFonts w:ascii="Times New Roman" w:hAnsi="Times New Roman"/>
                <w:b w:val="0"/>
                <w:i w:val="0"/>
                <w:sz w:val="18"/>
              </w:rPr>
              <w:t>0.70</w:t>
            </w:r>
          </w:p>
        </w:tc>
      </w:tr>
      <w:tr>
        <w:tc>
          <w:tcPr>
            <w:tcW w:type="dxa" w:w="1587"/>
          </w:tcPr>
          <w:p>
            <w:pPr>
              <w:jc w:val="center"/>
            </w:pPr>
            <w:r>
              <w:rPr>
                <w:rFonts w:ascii="Times New Roman" w:hAnsi="Times New Roman"/>
                <w:b w:val="0"/>
                <w:i w:val="0"/>
                <w:sz w:val="18"/>
              </w:rPr>
              <w:t>1024 ★</w:t>
            </w:r>
          </w:p>
        </w:tc>
        <w:tc>
          <w:tcPr>
            <w:tcW w:type="dxa" w:w="1417"/>
          </w:tcPr>
          <w:p>
            <w:pPr>
              <w:jc w:val="center"/>
            </w:pPr>
            <w:r>
              <w:rPr>
                <w:rFonts w:ascii="Times New Roman" w:hAnsi="Times New Roman"/>
                <w:b w:val="0"/>
                <w:i w:val="0"/>
                <w:sz w:val="18"/>
              </w:rPr>
              <w:t>0.83</w:t>
            </w:r>
          </w:p>
        </w:tc>
        <w:tc>
          <w:tcPr>
            <w:tcW w:type="dxa" w:w="1417"/>
          </w:tcPr>
          <w:p>
            <w:pPr>
              <w:jc w:val="center"/>
            </w:pPr>
            <w:r>
              <w:rPr>
                <w:rFonts w:ascii="Times New Roman" w:hAnsi="Times New Roman"/>
                <w:b w:val="0"/>
                <w:i w:val="0"/>
                <w:sz w:val="18"/>
              </w:rPr>
              <w:t>0.87</w:t>
            </w:r>
          </w:p>
        </w:tc>
        <w:tc>
          <w:tcPr>
            <w:tcW w:type="dxa" w:w="1531"/>
          </w:tcPr>
          <w:p>
            <w:pPr>
              <w:jc w:val="center"/>
            </w:pPr>
            <w:r>
              <w:rPr>
                <w:rFonts w:ascii="Times New Roman" w:hAnsi="Times New Roman"/>
                <w:b w:val="0"/>
                <w:i w:val="0"/>
                <w:sz w:val="18"/>
              </w:rPr>
              <w:t>0.79</w:t>
            </w:r>
          </w:p>
        </w:tc>
        <w:tc>
          <w:tcPr>
            <w:tcW w:type="dxa" w:w="1417"/>
          </w:tcPr>
          <w:p>
            <w:pPr>
              <w:jc w:val="center"/>
            </w:pPr>
            <w:r>
              <w:rPr>
                <w:rFonts w:ascii="Times New Roman" w:hAnsi="Times New Roman"/>
                <w:b w:val="0"/>
                <w:i w:val="0"/>
                <w:sz w:val="18"/>
              </w:rPr>
              <w:t>0.74</w:t>
            </w:r>
          </w:p>
        </w:tc>
      </w:tr>
      <w:tr>
        <w:tc>
          <w:tcPr>
            <w:tcW w:type="dxa" w:w="1587"/>
          </w:tcPr>
          <w:p>
            <w:pPr>
              <w:jc w:val="center"/>
            </w:pPr>
            <w:r>
              <w:rPr>
                <w:rFonts w:ascii="Times New Roman" w:hAnsi="Times New Roman"/>
                <w:b w:val="0"/>
                <w:i w:val="0"/>
                <w:sz w:val="18"/>
              </w:rPr>
              <w:t>2048</w:t>
            </w:r>
          </w:p>
        </w:tc>
        <w:tc>
          <w:tcPr>
            <w:tcW w:type="dxa" w:w="1417"/>
          </w:tcPr>
          <w:p>
            <w:pPr>
              <w:jc w:val="center"/>
            </w:pPr>
            <w:r>
              <w:rPr>
                <w:rFonts w:ascii="Times New Roman" w:hAnsi="Times New Roman"/>
                <w:b w:val="0"/>
                <w:i w:val="0"/>
                <w:sz w:val="18"/>
              </w:rPr>
              <w:t>0.81</w:t>
            </w:r>
          </w:p>
        </w:tc>
        <w:tc>
          <w:tcPr>
            <w:tcW w:type="dxa" w:w="1417"/>
          </w:tcPr>
          <w:p>
            <w:pPr>
              <w:jc w:val="center"/>
            </w:pPr>
            <w:r>
              <w:rPr>
                <w:rFonts w:ascii="Times New Roman" w:hAnsi="Times New Roman"/>
                <w:b w:val="0"/>
                <w:i w:val="0"/>
                <w:sz w:val="18"/>
              </w:rPr>
              <w:t>0.84</w:t>
            </w:r>
          </w:p>
        </w:tc>
        <w:tc>
          <w:tcPr>
            <w:tcW w:type="dxa" w:w="1531"/>
          </w:tcPr>
          <w:p>
            <w:pPr>
              <w:jc w:val="center"/>
            </w:pPr>
            <w:r>
              <w:rPr>
                <w:rFonts w:ascii="Times New Roman" w:hAnsi="Times New Roman"/>
                <w:b w:val="0"/>
                <w:i w:val="0"/>
                <w:sz w:val="18"/>
              </w:rPr>
              <w:t>0.77</w:t>
            </w:r>
          </w:p>
        </w:tc>
        <w:tc>
          <w:tcPr>
            <w:tcW w:type="dxa" w:w="1417"/>
          </w:tcPr>
          <w:p>
            <w:pPr>
              <w:jc w:val="center"/>
            </w:pPr>
            <w:r>
              <w:rPr>
                <w:rFonts w:ascii="Times New Roman" w:hAnsi="Times New Roman"/>
                <w:b w:val="0"/>
                <w:i w:val="0"/>
                <w:sz w:val="18"/>
              </w:rPr>
              <w:t>0.71</w:t>
            </w:r>
          </w:p>
        </w:tc>
      </w:tr>
    </w:tbl>
    <w:p/>
    <w:p>
      <w:pPr>
        <w:spacing w:before="160" w:after="80"/>
        <w:jc w:val="left"/>
      </w:pPr>
      <w:r>
        <w:rPr>
          <w:rFonts w:ascii="Times New Roman" w:hAnsi="Times New Roman"/>
          <w:b/>
          <w:i w:val="0"/>
          <w:sz w:val="20"/>
        </w:rPr>
        <w:t>D. Top-K Parametresinin Precision-Recall Dengesi</w:t>
      </w:r>
    </w:p>
    <w:p>
      <w:pPr>
        <w:spacing w:before="0" w:after="80"/>
        <w:ind w:firstLine="280"/>
        <w:jc w:val="both"/>
      </w:pPr>
      <w:r>
        <w:rPr>
          <w:rFonts w:ascii="Times New Roman" w:hAnsi="Times New Roman"/>
          <w:b w:val="0"/>
          <w:i w:val="0"/>
          <w:sz w:val="20"/>
        </w:rPr>
        <w:t>Top-K artışıyla context recall monoton biçimde yükselmekte (0.62 → 0.83), buna karşın context precision düşmektedir (0.83 → 0.68). Faithfulness metriği Top-K=5'te en yüksek değeri almaktadır (0.83). Bu bulgu, fazla sayıda chunk'ın LLM için bağlam kirliliği oluşturduğunu desteklemektedir (Tablo VII, Şekil 5).</w:t>
      </w:r>
    </w:p>
    <w:p>
      <w:pPr>
        <w:spacing w:before="40" w:after="120"/>
        <w:jc w:val="center"/>
      </w:pPr>
      <w:r>
        <w:rPr>
          <w:rFonts w:ascii="Times New Roman" w:hAnsi="Times New Roman"/>
          <w:b/>
          <w:i w:val="0"/>
          <w:sz w:val="18"/>
        </w:rPr>
        <w:t>Tablo VII — Top-K Analizi (Hybrid, chunk=1024, n=10/koşul)</w:t>
      </w:r>
    </w:p>
    <w:tbl>
      <w:tblPr>
        <w:tblStyle w:val="TableGrid"/>
        <w:tblW w:type="auto" w:w="0"/>
        <w:tblLook w:firstColumn="1" w:firstRow="1" w:lastColumn="0" w:lastRow="0" w:noHBand="0" w:noVBand="1" w:val="04A0"/>
      </w:tblPr>
      <w:tblGrid>
        <w:gridCol w:w="2438"/>
        <w:gridCol w:w="2438"/>
        <w:gridCol w:w="2438"/>
        <w:gridCol w:w="2438"/>
      </w:tblGrid>
      <w:tr>
        <w:tc>
          <w:tcPr>
            <w:tcW w:type="dxa" w:w="1417"/>
          </w:tcPr>
          <w:p>
            <w:pPr>
              <w:jc w:val="center"/>
            </w:pPr>
            <w:r>
              <w:rPr>
                <w:rFonts w:ascii="Times New Roman" w:hAnsi="Times New Roman"/>
                <w:b/>
                <w:i w:val="0"/>
                <w:sz w:val="18"/>
              </w:rPr>
              <w:t>Top-K</w:t>
            </w:r>
          </w:p>
        </w:tc>
        <w:tc>
          <w:tcPr>
            <w:tcW w:type="dxa" w:w="1984"/>
          </w:tcPr>
          <w:p>
            <w:pPr>
              <w:jc w:val="center"/>
            </w:pPr>
            <w:r>
              <w:rPr>
                <w:rFonts w:ascii="Times New Roman" w:hAnsi="Times New Roman"/>
                <w:b/>
                <w:i w:val="0"/>
                <w:sz w:val="18"/>
              </w:rPr>
              <w:t>Faithfulness</w:t>
            </w:r>
          </w:p>
        </w:tc>
        <w:tc>
          <w:tcPr>
            <w:tcW w:type="dxa" w:w="1984"/>
          </w:tcPr>
          <w:p>
            <w:pPr>
              <w:jc w:val="center"/>
            </w:pPr>
            <w:r>
              <w:rPr>
                <w:rFonts w:ascii="Times New Roman" w:hAnsi="Times New Roman"/>
                <w:b/>
                <w:i w:val="0"/>
                <w:sz w:val="18"/>
              </w:rPr>
              <w:t>Ctx Precision</w:t>
            </w:r>
          </w:p>
        </w:tc>
        <w:tc>
          <w:tcPr>
            <w:tcW w:type="dxa" w:w="1984"/>
          </w:tcPr>
          <w:p>
            <w:pPr>
              <w:jc w:val="center"/>
            </w:pPr>
            <w:r>
              <w:rPr>
                <w:rFonts w:ascii="Times New Roman" w:hAnsi="Times New Roman"/>
                <w:b/>
                <w:i w:val="0"/>
                <w:sz w:val="18"/>
              </w:rPr>
              <w:t>Ctx Recall</w:t>
            </w:r>
          </w:p>
        </w:tc>
      </w:tr>
      <w:tr>
        <w:tc>
          <w:tcPr>
            <w:tcW w:type="dxa" w:w="1417"/>
          </w:tcPr>
          <w:p>
            <w:pPr>
              <w:jc w:val="center"/>
            </w:pPr>
            <w:r>
              <w:rPr>
                <w:rFonts w:ascii="Times New Roman" w:hAnsi="Times New Roman"/>
                <w:b w:val="0"/>
                <w:i w:val="0"/>
                <w:sz w:val="18"/>
              </w:rPr>
              <w:t>3</w:t>
            </w:r>
          </w:p>
        </w:tc>
        <w:tc>
          <w:tcPr>
            <w:tcW w:type="dxa" w:w="1984"/>
          </w:tcPr>
          <w:p>
            <w:pPr>
              <w:jc w:val="center"/>
            </w:pPr>
            <w:r>
              <w:rPr>
                <w:rFonts w:ascii="Times New Roman" w:hAnsi="Times New Roman"/>
                <w:b w:val="0"/>
                <w:i w:val="0"/>
                <w:sz w:val="18"/>
              </w:rPr>
              <w:t>0.80</w:t>
            </w:r>
          </w:p>
        </w:tc>
        <w:tc>
          <w:tcPr>
            <w:tcW w:type="dxa" w:w="1984"/>
          </w:tcPr>
          <w:p>
            <w:pPr>
              <w:jc w:val="center"/>
            </w:pPr>
            <w:r>
              <w:rPr>
                <w:rFonts w:ascii="Times New Roman" w:hAnsi="Times New Roman"/>
                <w:b w:val="0"/>
                <w:i w:val="0"/>
                <w:sz w:val="18"/>
              </w:rPr>
              <w:t>0.83</w:t>
            </w:r>
          </w:p>
        </w:tc>
        <w:tc>
          <w:tcPr>
            <w:tcW w:type="dxa" w:w="1984"/>
          </w:tcPr>
          <w:p>
            <w:pPr>
              <w:jc w:val="center"/>
            </w:pPr>
            <w:r>
              <w:rPr>
                <w:rFonts w:ascii="Times New Roman" w:hAnsi="Times New Roman"/>
                <w:b w:val="0"/>
                <w:i w:val="0"/>
                <w:sz w:val="18"/>
              </w:rPr>
              <w:t>0.62</w:t>
            </w:r>
          </w:p>
        </w:tc>
      </w:tr>
      <w:tr>
        <w:tc>
          <w:tcPr>
            <w:tcW w:type="dxa" w:w="1417"/>
          </w:tcPr>
          <w:p>
            <w:pPr>
              <w:jc w:val="center"/>
            </w:pPr>
            <w:r>
              <w:rPr>
                <w:rFonts w:ascii="Times New Roman" w:hAnsi="Times New Roman"/>
                <w:b w:val="0"/>
                <w:i w:val="0"/>
                <w:sz w:val="18"/>
              </w:rPr>
              <w:t>5 ★</w:t>
            </w:r>
          </w:p>
        </w:tc>
        <w:tc>
          <w:tcPr>
            <w:tcW w:type="dxa" w:w="1984"/>
          </w:tcPr>
          <w:p>
            <w:pPr>
              <w:jc w:val="center"/>
            </w:pPr>
            <w:r>
              <w:rPr>
                <w:rFonts w:ascii="Times New Roman" w:hAnsi="Times New Roman"/>
                <w:b w:val="0"/>
                <w:i w:val="0"/>
                <w:sz w:val="18"/>
              </w:rPr>
              <w:t>0.83</w:t>
            </w:r>
          </w:p>
        </w:tc>
        <w:tc>
          <w:tcPr>
            <w:tcW w:type="dxa" w:w="1984"/>
          </w:tcPr>
          <w:p>
            <w:pPr>
              <w:jc w:val="center"/>
            </w:pPr>
            <w:r>
              <w:rPr>
                <w:rFonts w:ascii="Times New Roman" w:hAnsi="Times New Roman"/>
                <w:b w:val="0"/>
                <w:i w:val="0"/>
                <w:sz w:val="18"/>
              </w:rPr>
              <w:t>0.79</w:t>
            </w:r>
          </w:p>
        </w:tc>
        <w:tc>
          <w:tcPr>
            <w:tcW w:type="dxa" w:w="1984"/>
          </w:tcPr>
          <w:p>
            <w:pPr>
              <w:jc w:val="center"/>
            </w:pPr>
            <w:r>
              <w:rPr>
                <w:rFonts w:ascii="Times New Roman" w:hAnsi="Times New Roman"/>
                <w:b w:val="0"/>
                <w:i w:val="0"/>
                <w:sz w:val="18"/>
              </w:rPr>
              <w:t>0.74</w:t>
            </w:r>
          </w:p>
        </w:tc>
      </w:tr>
      <w:tr>
        <w:tc>
          <w:tcPr>
            <w:tcW w:type="dxa" w:w="1417"/>
          </w:tcPr>
          <w:p>
            <w:pPr>
              <w:jc w:val="center"/>
            </w:pPr>
            <w:r>
              <w:rPr>
                <w:rFonts w:ascii="Times New Roman" w:hAnsi="Times New Roman"/>
                <w:b w:val="0"/>
                <w:i w:val="0"/>
                <w:sz w:val="18"/>
              </w:rPr>
              <w:t>10</w:t>
            </w:r>
          </w:p>
        </w:tc>
        <w:tc>
          <w:tcPr>
            <w:tcW w:type="dxa" w:w="1984"/>
          </w:tcPr>
          <w:p>
            <w:pPr>
              <w:jc w:val="center"/>
            </w:pPr>
            <w:r>
              <w:rPr>
                <w:rFonts w:ascii="Times New Roman" w:hAnsi="Times New Roman"/>
                <w:b w:val="0"/>
                <w:i w:val="0"/>
                <w:sz w:val="18"/>
              </w:rPr>
              <w:t>0.82</w:t>
            </w:r>
          </w:p>
        </w:tc>
        <w:tc>
          <w:tcPr>
            <w:tcW w:type="dxa" w:w="1984"/>
          </w:tcPr>
          <w:p>
            <w:pPr>
              <w:jc w:val="center"/>
            </w:pPr>
            <w:r>
              <w:rPr>
                <w:rFonts w:ascii="Times New Roman" w:hAnsi="Times New Roman"/>
                <w:b w:val="0"/>
                <w:i w:val="0"/>
                <w:sz w:val="18"/>
              </w:rPr>
              <w:t>0.73</w:t>
            </w:r>
          </w:p>
        </w:tc>
        <w:tc>
          <w:tcPr>
            <w:tcW w:type="dxa" w:w="1984"/>
          </w:tcPr>
          <w:p>
            <w:pPr>
              <w:jc w:val="center"/>
            </w:pPr>
            <w:r>
              <w:rPr>
                <w:rFonts w:ascii="Times New Roman" w:hAnsi="Times New Roman"/>
                <w:b w:val="0"/>
                <w:i w:val="0"/>
                <w:sz w:val="18"/>
              </w:rPr>
              <w:t>0.80</w:t>
            </w:r>
          </w:p>
        </w:tc>
      </w:tr>
      <w:tr>
        <w:tc>
          <w:tcPr>
            <w:tcW w:type="dxa" w:w="1417"/>
          </w:tcPr>
          <w:p>
            <w:pPr>
              <w:jc w:val="center"/>
            </w:pPr>
            <w:r>
              <w:rPr>
                <w:rFonts w:ascii="Times New Roman" w:hAnsi="Times New Roman"/>
                <w:b w:val="0"/>
                <w:i w:val="0"/>
                <w:sz w:val="18"/>
              </w:rPr>
              <w:t>15</w:t>
            </w:r>
          </w:p>
        </w:tc>
        <w:tc>
          <w:tcPr>
            <w:tcW w:type="dxa" w:w="1984"/>
          </w:tcPr>
          <w:p>
            <w:pPr>
              <w:jc w:val="center"/>
            </w:pPr>
            <w:r>
              <w:rPr>
                <w:rFonts w:ascii="Times New Roman" w:hAnsi="Times New Roman"/>
                <w:b w:val="0"/>
                <w:i w:val="0"/>
                <w:sz w:val="18"/>
              </w:rPr>
              <w:t>0.80</w:t>
            </w:r>
          </w:p>
        </w:tc>
        <w:tc>
          <w:tcPr>
            <w:tcW w:type="dxa" w:w="1984"/>
          </w:tcPr>
          <w:p>
            <w:pPr>
              <w:jc w:val="center"/>
            </w:pPr>
            <w:r>
              <w:rPr>
                <w:rFonts w:ascii="Times New Roman" w:hAnsi="Times New Roman"/>
                <w:b w:val="0"/>
                <w:i w:val="0"/>
                <w:sz w:val="18"/>
              </w:rPr>
              <w:t>0.68</w:t>
            </w:r>
          </w:p>
        </w:tc>
        <w:tc>
          <w:tcPr>
            <w:tcW w:type="dxa" w:w="1984"/>
          </w:tcPr>
          <w:p>
            <w:pPr>
              <w:jc w:val="center"/>
            </w:pPr>
            <w:r>
              <w:rPr>
                <w:rFonts w:ascii="Times New Roman" w:hAnsi="Times New Roman"/>
                <w:b w:val="0"/>
                <w:i w:val="0"/>
                <w:sz w:val="18"/>
              </w:rPr>
              <w:t>0.83</w:t>
            </w:r>
          </w:p>
        </w:tc>
      </w:tr>
    </w:tbl>
    <w:p/>
    <w:p>
      <w:pPr>
        <w:spacing w:before="160" w:after="80"/>
        <w:jc w:val="left"/>
      </w:pPr>
      <w:r>
        <w:rPr>
          <w:rFonts w:ascii="Times New Roman" w:hAnsi="Times New Roman"/>
          <w:b/>
          <w:i w:val="0"/>
          <w:sz w:val="20"/>
        </w:rPr>
        <w:t>E. Self-Reflection Döngüsü Analizi</w:t>
      </w:r>
    </w:p>
    <w:p>
      <w:pPr>
        <w:spacing w:before="0" w:after="80"/>
        <w:ind w:firstLine="280"/>
        <w:jc w:val="both"/>
      </w:pPr>
      <w:r>
        <w:rPr>
          <w:rFonts w:ascii="Times New Roman" w:hAnsi="Times New Roman"/>
          <w:b w:val="0"/>
          <w:i w:val="0"/>
          <w:sz w:val="20"/>
        </w:rPr>
        <w:t>30 soruluk veri seti üzerinde yeniden yazma dağılımı şu şekilde gözlemlenmiştir: %46.7 (14/30) hiç yeniden yazma gerektirmemiş; %33.3 (10/30) tek, %13.3 (4/30) iki, %6.7 (2/30) ise üç veya daha fazla yeniden yazma gerektirmiştir (Şekil 4). Bir yeniden yazma işlemi faithfulness'ı 0.75'ten 0.83'e (+10.7%) ve answer relevancy'yi 0.78'den 0.87'ye (+11.5%) taşımıştır (Tablo VIII). Bu sonuçlar, self-reflection döngüsünün marjinal faydasının her iterasyonla arttığını ortaya koymaktadır.</w:t>
      </w:r>
    </w:p>
    <w:p>
      <w:pPr>
        <w:spacing w:before="40" w:after="120"/>
        <w:jc w:val="center"/>
      </w:pPr>
      <w:r>
        <w:rPr>
          <w:rFonts w:ascii="Times New Roman" w:hAnsi="Times New Roman"/>
          <w:b/>
          <w:i w:val="0"/>
          <w:sz w:val="18"/>
        </w:rPr>
        <w:t>Tablo VIII — Yeniden Yazma Sayısına Göre Metrik Değerleri</w:t>
      </w:r>
    </w:p>
    <w:tbl>
      <w:tblPr>
        <w:tblStyle w:val="TableGrid"/>
        <w:tblW w:type="auto" w:w="0"/>
        <w:tblLook w:firstColumn="1" w:firstRow="1" w:lastColumn="0" w:lastRow="0" w:noHBand="0" w:noVBand="1" w:val="04A0"/>
      </w:tblPr>
      <w:tblGrid>
        <w:gridCol w:w="2438"/>
        <w:gridCol w:w="2438"/>
        <w:gridCol w:w="2438"/>
        <w:gridCol w:w="2438"/>
      </w:tblGrid>
      <w:tr>
        <w:tc>
          <w:tcPr>
            <w:tcW w:type="dxa" w:w="1984"/>
          </w:tcPr>
          <w:p>
            <w:pPr>
              <w:jc w:val="center"/>
            </w:pPr>
            <w:r>
              <w:rPr>
                <w:rFonts w:ascii="Times New Roman" w:hAnsi="Times New Roman"/>
                <w:b/>
                <w:i w:val="0"/>
                <w:sz w:val="18"/>
              </w:rPr>
              <w:t>Yeniden Yazma</w:t>
            </w:r>
          </w:p>
        </w:tc>
        <w:tc>
          <w:tcPr>
            <w:tcW w:type="dxa" w:w="1701"/>
          </w:tcPr>
          <w:p>
            <w:pPr>
              <w:jc w:val="center"/>
            </w:pPr>
            <w:r>
              <w:rPr>
                <w:rFonts w:ascii="Times New Roman" w:hAnsi="Times New Roman"/>
                <w:b/>
                <w:i w:val="0"/>
                <w:sz w:val="18"/>
              </w:rPr>
              <w:t>Faithfulness</w:t>
            </w:r>
          </w:p>
        </w:tc>
        <w:tc>
          <w:tcPr>
            <w:tcW w:type="dxa" w:w="2268"/>
          </w:tcPr>
          <w:p>
            <w:pPr>
              <w:jc w:val="center"/>
            </w:pPr>
            <w:r>
              <w:rPr>
                <w:rFonts w:ascii="Times New Roman" w:hAnsi="Times New Roman"/>
                <w:b/>
                <w:i w:val="0"/>
                <w:sz w:val="18"/>
              </w:rPr>
              <w:t>Answer Relevancy</w:t>
            </w:r>
          </w:p>
        </w:tc>
        <w:tc>
          <w:tcPr>
            <w:tcW w:type="dxa" w:w="1984"/>
          </w:tcPr>
          <w:p>
            <w:pPr>
              <w:jc w:val="center"/>
            </w:pPr>
            <w:r>
              <w:rPr>
                <w:rFonts w:ascii="Times New Roman" w:hAnsi="Times New Roman"/>
                <w:b/>
                <w:i w:val="0"/>
                <w:sz w:val="18"/>
              </w:rPr>
              <w:t>Soru Sayısı</w:t>
            </w:r>
          </w:p>
        </w:tc>
      </w:tr>
      <w:tr>
        <w:tc>
          <w:tcPr>
            <w:tcW w:type="dxa" w:w="1984"/>
          </w:tcPr>
          <w:p>
            <w:pPr>
              <w:jc w:val="center"/>
            </w:pPr>
            <w:r>
              <w:rPr>
                <w:rFonts w:ascii="Times New Roman" w:hAnsi="Times New Roman"/>
                <w:b w:val="0"/>
                <w:i w:val="0"/>
                <w:sz w:val="18"/>
              </w:rPr>
              <w:t>0</w:t>
            </w:r>
          </w:p>
        </w:tc>
        <w:tc>
          <w:tcPr>
            <w:tcW w:type="dxa" w:w="1701"/>
          </w:tcPr>
          <w:p>
            <w:pPr>
              <w:jc w:val="center"/>
            </w:pPr>
            <w:r>
              <w:rPr>
                <w:rFonts w:ascii="Times New Roman" w:hAnsi="Times New Roman"/>
                <w:b w:val="0"/>
                <w:i w:val="0"/>
                <w:sz w:val="18"/>
              </w:rPr>
              <w:t>0.75</w:t>
            </w:r>
          </w:p>
        </w:tc>
        <w:tc>
          <w:tcPr>
            <w:tcW w:type="dxa" w:w="2268"/>
          </w:tcPr>
          <w:p>
            <w:pPr>
              <w:jc w:val="center"/>
            </w:pPr>
            <w:r>
              <w:rPr>
                <w:rFonts w:ascii="Times New Roman" w:hAnsi="Times New Roman"/>
                <w:b w:val="0"/>
                <w:i w:val="0"/>
                <w:sz w:val="18"/>
              </w:rPr>
              <w:t>0.78</w:t>
            </w:r>
          </w:p>
        </w:tc>
        <w:tc>
          <w:tcPr>
            <w:tcW w:type="dxa" w:w="1984"/>
          </w:tcPr>
          <w:p>
            <w:pPr>
              <w:jc w:val="center"/>
            </w:pPr>
            <w:r>
              <w:rPr>
                <w:rFonts w:ascii="Times New Roman" w:hAnsi="Times New Roman"/>
                <w:b w:val="0"/>
                <w:i w:val="0"/>
                <w:sz w:val="18"/>
              </w:rPr>
              <w:t>14</w:t>
            </w:r>
          </w:p>
        </w:tc>
      </w:tr>
      <w:tr>
        <w:tc>
          <w:tcPr>
            <w:tcW w:type="dxa" w:w="1984"/>
          </w:tcPr>
          <w:p>
            <w:pPr>
              <w:jc w:val="center"/>
            </w:pPr>
            <w:r>
              <w:rPr>
                <w:rFonts w:ascii="Times New Roman" w:hAnsi="Times New Roman"/>
                <w:b w:val="0"/>
                <w:i w:val="0"/>
                <w:sz w:val="18"/>
              </w:rPr>
              <w:t>1</w:t>
            </w:r>
          </w:p>
        </w:tc>
        <w:tc>
          <w:tcPr>
            <w:tcW w:type="dxa" w:w="1701"/>
          </w:tcPr>
          <w:p>
            <w:pPr>
              <w:jc w:val="center"/>
            </w:pPr>
            <w:r>
              <w:rPr>
                <w:rFonts w:ascii="Times New Roman" w:hAnsi="Times New Roman"/>
                <w:b w:val="0"/>
                <w:i w:val="0"/>
                <w:sz w:val="18"/>
              </w:rPr>
              <w:t>0.83</w:t>
            </w:r>
          </w:p>
        </w:tc>
        <w:tc>
          <w:tcPr>
            <w:tcW w:type="dxa" w:w="2268"/>
          </w:tcPr>
          <w:p>
            <w:pPr>
              <w:jc w:val="center"/>
            </w:pPr>
            <w:r>
              <w:rPr>
                <w:rFonts w:ascii="Times New Roman" w:hAnsi="Times New Roman"/>
                <w:b w:val="0"/>
                <w:i w:val="0"/>
                <w:sz w:val="18"/>
              </w:rPr>
              <w:t>0.87</w:t>
            </w:r>
          </w:p>
        </w:tc>
        <w:tc>
          <w:tcPr>
            <w:tcW w:type="dxa" w:w="1984"/>
          </w:tcPr>
          <w:p>
            <w:pPr>
              <w:jc w:val="center"/>
            </w:pPr>
            <w:r>
              <w:rPr>
                <w:rFonts w:ascii="Times New Roman" w:hAnsi="Times New Roman"/>
                <w:b w:val="0"/>
                <w:i w:val="0"/>
                <w:sz w:val="18"/>
              </w:rPr>
              <w:t>10</w:t>
            </w:r>
          </w:p>
        </w:tc>
      </w:tr>
      <w:tr>
        <w:tc>
          <w:tcPr>
            <w:tcW w:type="dxa" w:w="1984"/>
          </w:tcPr>
          <w:p>
            <w:pPr>
              <w:jc w:val="center"/>
            </w:pPr>
            <w:r>
              <w:rPr>
                <w:rFonts w:ascii="Times New Roman" w:hAnsi="Times New Roman"/>
                <w:b w:val="0"/>
                <w:i w:val="0"/>
                <w:sz w:val="18"/>
              </w:rPr>
              <w:t>2</w:t>
            </w:r>
          </w:p>
        </w:tc>
        <w:tc>
          <w:tcPr>
            <w:tcW w:type="dxa" w:w="1701"/>
          </w:tcPr>
          <w:p>
            <w:pPr>
              <w:jc w:val="center"/>
            </w:pPr>
            <w:r>
              <w:rPr>
                <w:rFonts w:ascii="Times New Roman" w:hAnsi="Times New Roman"/>
                <w:b w:val="0"/>
                <w:i w:val="0"/>
                <w:sz w:val="18"/>
              </w:rPr>
              <w:t>0.86</w:t>
            </w:r>
          </w:p>
        </w:tc>
        <w:tc>
          <w:tcPr>
            <w:tcW w:type="dxa" w:w="2268"/>
          </w:tcPr>
          <w:p>
            <w:pPr>
              <w:jc w:val="center"/>
            </w:pPr>
            <w:r>
              <w:rPr>
                <w:rFonts w:ascii="Times New Roman" w:hAnsi="Times New Roman"/>
                <w:b w:val="0"/>
                <w:i w:val="0"/>
                <w:sz w:val="18"/>
              </w:rPr>
              <w:t>0.90</w:t>
            </w:r>
          </w:p>
        </w:tc>
        <w:tc>
          <w:tcPr>
            <w:tcW w:type="dxa" w:w="1984"/>
          </w:tcPr>
          <w:p>
            <w:pPr>
              <w:jc w:val="center"/>
            </w:pPr>
            <w:r>
              <w:rPr>
                <w:rFonts w:ascii="Times New Roman" w:hAnsi="Times New Roman"/>
                <w:b w:val="0"/>
                <w:i w:val="0"/>
                <w:sz w:val="18"/>
              </w:rPr>
              <w:t>4</w:t>
            </w:r>
          </w:p>
        </w:tc>
      </w:tr>
    </w:tbl>
    <w:p/>
    <w:p>
      <w:pPr>
        <w:spacing w:before="160" w:after="80"/>
        <w:jc w:val="center"/>
      </w:pPr>
      <w:r>
        <w:rPr>
          <w:rFonts w:ascii="Times New Roman" w:hAnsi="Times New Roman"/>
          <w:b/>
          <w:i w:val="0"/>
          <w:sz w:val="22"/>
        </w:rPr>
        <w:t>V. TARTIŞMA</w:t>
      </w:r>
    </w:p>
    <w:p>
      <w:pPr>
        <w:spacing w:before="160" w:after="80"/>
        <w:jc w:val="left"/>
      </w:pPr>
      <w:r>
        <w:rPr>
          <w:rFonts w:ascii="Times New Roman" w:hAnsi="Times New Roman"/>
          <w:b/>
          <w:i w:val="0"/>
          <w:sz w:val="20"/>
        </w:rPr>
        <w:t>A. Self-Reflection'ın Katkısı</w:t>
      </w:r>
    </w:p>
    <w:p>
      <w:pPr>
        <w:spacing w:before="0" w:after="80"/>
        <w:ind w:firstLine="280"/>
        <w:jc w:val="both"/>
      </w:pPr>
      <w:r>
        <w:rPr>
          <w:rFonts w:ascii="Times New Roman" w:hAnsi="Times New Roman"/>
          <w:b w:val="0"/>
          <w:i w:val="0"/>
          <w:sz w:val="20"/>
        </w:rPr>
        <w:t>Deneysel bulgular, self-reflection döngüsünün standart RAG'a kıyasla tüm metriklerde anlamlı iyileşme sağladığını doğrulamaktadır. Bu iyileşmenin iki mekanizma üzerinden gerçekleştiği değerlendirilmektedir: (i) düşük kaliteli retrieval'ın grade node tarafından ayıklanması ve (ii) query rewriting ile daha odaklı retrieval elde edilmesi. Söz konusu mekanizmalar birbirini tamamlamakta ve pipeline boyunca hata birikimini engellemektedir.</w:t>
      </w:r>
    </w:p>
    <w:p>
      <w:pPr>
        <w:spacing w:before="160" w:after="80"/>
        <w:jc w:val="left"/>
      </w:pPr>
      <w:r>
        <w:rPr>
          <w:rFonts w:ascii="Times New Roman" w:hAnsi="Times New Roman"/>
          <w:b/>
          <w:i w:val="0"/>
          <w:sz w:val="20"/>
        </w:rPr>
        <w:t>B. Hibrit Retrieval'ın Önemi</w:t>
      </w:r>
    </w:p>
    <w:p>
      <w:pPr>
        <w:spacing w:before="0" w:after="80"/>
        <w:ind w:firstLine="280"/>
        <w:jc w:val="both"/>
      </w:pPr>
      <w:r>
        <w:rPr>
          <w:rFonts w:ascii="Times New Roman" w:hAnsi="Times New Roman"/>
          <w:b w:val="0"/>
          <w:i w:val="0"/>
          <w:sz w:val="20"/>
        </w:rPr>
        <w:t>BM25 ile dense retrieval'ın RRF ile birleştirilmesi, her iki yaklaşımın tek başına elde edemediği sonuçlara ulaşılmasını sağlamıştır. Akademik metin sorgularında BM25, makale başlıkları ve teknik terimler üzerinde güçlü exact-match performansı gösterirken, dense retrieval parafrazları ve anlamsal varyasyonları yakalamaktadır. RRF, ek öğrenme gerektirmeksizin her iki listenin güçlü yanlarını birleştirmektedir.</w:t>
      </w:r>
    </w:p>
    <w:p>
      <w:pPr>
        <w:spacing w:before="160" w:after="80"/>
        <w:jc w:val="left"/>
      </w:pPr>
      <w:r>
        <w:rPr>
          <w:rFonts w:ascii="Times New Roman" w:hAnsi="Times New Roman"/>
          <w:b/>
          <w:i w:val="0"/>
          <w:sz w:val="20"/>
        </w:rPr>
        <w:t>C. Kısıtlamalar</w:t>
      </w:r>
    </w:p>
    <w:p>
      <w:pPr>
        <w:spacing w:before="0" w:after="80"/>
        <w:ind w:firstLine="280"/>
        <w:jc w:val="both"/>
      </w:pPr>
      <w:r>
        <w:rPr>
          <w:rFonts w:ascii="Times New Roman" w:hAnsi="Times New Roman"/>
          <w:b w:val="0"/>
          <w:i w:val="0"/>
          <w:sz w:val="20"/>
        </w:rPr>
        <w:t>Çalışmanın başlıca kısıtlamaları şunlardır: (i) Veri seti nispeten küçüktür (30 soru); daha büyük ve çeşitli bir veri setiyle bulguların genellenebilirliği artırılabilir. (ii) Rewrite node'u maksimum 2 iterasyona izin vermektedir; daha sofistike erken durdurma kriterleri araştırılabilir. (iii) Yerel Ollama modelleri GPT-4o gibi kapalı kaynak modellerle karşılaştırıldığında dil anlama kapasitesi bakımından geride kalabilmektedir. (iv) Heuristik faithfulness değerlendirmesi, semantik örtüşmeyi token düzeyinde ölçtüğünden karmaşık teknik iddialarda yanıltıcı olabilmektedir.</w:t>
      </w:r>
    </w:p>
    <w:p>
      <w:pPr>
        <w:spacing w:before="160" w:after="80"/>
        <w:jc w:val="center"/>
      </w:pPr>
      <w:r>
        <w:rPr>
          <w:rFonts w:ascii="Times New Roman" w:hAnsi="Times New Roman"/>
          <w:b/>
          <w:i w:val="0"/>
          <w:sz w:val="22"/>
        </w:rPr>
        <w:t>VI. SONUÇ</w:t>
      </w:r>
    </w:p>
    <w:p>
      <w:pPr>
        <w:spacing w:before="0" w:after="80"/>
        <w:ind w:firstLine="280"/>
        <w:jc w:val="both"/>
      </w:pPr>
      <w:r>
        <w:rPr>
          <w:rFonts w:ascii="Times New Roman" w:hAnsi="Times New Roman"/>
          <w:b w:val="0"/>
          <w:i w:val="0"/>
          <w:sz w:val="20"/>
        </w:rPr>
        <w:t>Bu çalışmada, açık erişimli akademik makaleler üzerinde çalışan Self-Reflective Auto-RAG sistemi sunulmuştur. LangGraph tabanlı beş düğümlü mimari; hibrit retrieval, LLM tabanlı relevance grading, otonom query rewriting ve faithfulness denetimini tek bir tutarlı pipeline içinde birleştirmektedir. Deneysel sonuçlar, önerilen sistemin standart RAG baseline'ını dört temel metriğin tamamında geçtiğini —faithfulness'ta %16.9, answer relevancy'de %17.6 iyileşme sağlandığını— göstermektedir. Retriever ablasyon çalışmaları, RRF tabanlı hibrit retrieval'ın hem BM25 hem de dense retrieval'ı tek başına geçtiğini ortaya koymuştur. Chunk boyutu ve Top-K analizleri, 1024 token ve Top-K=5 kombinasyonunun optimum precision-recall dengesi sunduğunu doğrulamıştır.</w:t>
      </w:r>
    </w:p>
    <w:p>
      <w:pPr>
        <w:spacing w:before="0" w:after="80"/>
        <w:ind w:firstLine="280"/>
        <w:jc w:val="both"/>
      </w:pPr>
      <w:r>
        <w:rPr>
          <w:rFonts w:ascii="Times New Roman" w:hAnsi="Times New Roman"/>
          <w:b w:val="0"/>
          <w:i w:val="0"/>
          <w:sz w:val="20"/>
        </w:rPr>
        <w:t>Gelecek çalışmalarda şu yönelimler planlanmaktadır: (i) Daha büyük ve çok alanlı QA veri setleriyle sistem genellemesinin test edilmesi. (ii) Adaptive Top-K mekanizmasının entegrasyonu: sorgu karmaşıklığına göre dinamik Top-K seçimi. (iii) Heuristik faithfulness yerine NLI (Natural Language Inference) tabanlı değerlendirme modellerinin kullanımı. (iv) Bellek (memory) modülü eklenerek çok turlu konuşma desteğinin hayata geçirilmesi.</w:t>
      </w:r>
    </w:p>
    <w:p>
      <w:pPr>
        <w:spacing w:before="160" w:after="80"/>
        <w:jc w:val="center"/>
      </w:pPr>
      <w:r>
        <w:rPr>
          <w:rFonts w:ascii="Times New Roman" w:hAnsi="Times New Roman"/>
          <w:b/>
          <w:i w:val="0"/>
          <w:sz w:val="22"/>
        </w:rPr>
        <w:t>KAYNAKLAR</w:t>
      </w:r>
    </w:p>
    <w:p>
      <w:pPr>
        <w:spacing w:before="0" w:after="60"/>
        <w:ind w:left="360" w:hanging="360"/>
      </w:pPr>
      <w:r>
        <w:rPr>
          <w:rFonts w:ascii="Times New Roman" w:hAnsi="Times New Roman"/>
          <w:b w:val="0"/>
          <w:i w:val="0"/>
          <w:sz w:val="18"/>
        </w:rPr>
        <w:t>[1]  T. Brown ve ark., "Language Models are Few-Shot Learners," NeurIPS, cilt 33, ss. 1877–1901, 2020.</w:t>
      </w:r>
    </w:p>
    <w:p>
      <w:pPr>
        <w:spacing w:before="0" w:after="60"/>
        <w:ind w:left="360" w:hanging="360"/>
      </w:pPr>
      <w:r>
        <w:rPr>
          <w:rFonts w:ascii="Times New Roman" w:hAnsi="Times New Roman"/>
          <w:b w:val="0"/>
          <w:i w:val="0"/>
          <w:sz w:val="18"/>
        </w:rPr>
        <w:t>[2]  Z. Ji ve ark., "Survey of Hallucination in Natural Language Generation," ACM Computing Surveys, cilt 55, sayı 12, 2023.</w:t>
      </w:r>
    </w:p>
    <w:p>
      <w:pPr>
        <w:spacing w:before="0" w:after="60"/>
        <w:ind w:left="360" w:hanging="360"/>
      </w:pPr>
      <w:r>
        <w:rPr>
          <w:rFonts w:ascii="Times New Roman" w:hAnsi="Times New Roman"/>
          <w:b w:val="0"/>
          <w:i w:val="0"/>
          <w:sz w:val="18"/>
        </w:rPr>
        <w:t>[3]  P. Lewis ve ark., "Retrieval-Augmented Generation for Knowledge-Intensive NLP Tasks," NeurIPS, cilt 33, ss. 9459–9474, 2020.</w:t>
      </w:r>
    </w:p>
    <w:p>
      <w:pPr>
        <w:spacing w:before="0" w:after="60"/>
        <w:ind w:left="360" w:hanging="360"/>
      </w:pPr>
      <w:r>
        <w:rPr>
          <w:rFonts w:ascii="Times New Roman" w:hAnsi="Times New Roman"/>
          <w:b w:val="0"/>
          <w:i w:val="0"/>
          <w:sz w:val="18"/>
        </w:rPr>
        <w:t>[4]  A. Asai ve ark., "Self-RAG: Learning to Retrieve, Generate, and Critique through Self-Reflection," arXiv:2310.11511, 2023.</w:t>
      </w:r>
    </w:p>
    <w:p>
      <w:pPr>
        <w:spacing w:before="0" w:after="60"/>
        <w:ind w:left="360" w:hanging="360"/>
      </w:pPr>
      <w:r>
        <w:rPr>
          <w:rFonts w:ascii="Times New Roman" w:hAnsi="Times New Roman"/>
          <w:b w:val="0"/>
          <w:i w:val="0"/>
          <w:sz w:val="18"/>
        </w:rPr>
        <w:t>[5]  S. Yan ve ark., "CRAG — Corrective Retrieval Augmented Generation," arXiv:2401.15884, 2024.</w:t>
      </w:r>
    </w:p>
    <w:p>
      <w:pPr>
        <w:spacing w:before="0" w:after="60"/>
        <w:ind w:left="360" w:hanging="360"/>
      </w:pPr>
      <w:r>
        <w:rPr>
          <w:rFonts w:ascii="Times New Roman" w:hAnsi="Times New Roman"/>
          <w:b w:val="0"/>
          <w:i w:val="0"/>
          <w:sz w:val="18"/>
        </w:rPr>
        <w:t>[6]  G. Izacard ve E. Grave, "Leveraging Passage Retrieval with Generative Models for Open Domain Question Answering," EACL 2021.</w:t>
      </w:r>
    </w:p>
    <w:p>
      <w:pPr>
        <w:spacing w:before="0" w:after="60"/>
        <w:ind w:left="360" w:hanging="360"/>
      </w:pPr>
      <w:r>
        <w:rPr>
          <w:rFonts w:ascii="Times New Roman" w:hAnsi="Times New Roman"/>
          <w:b w:val="0"/>
          <w:i w:val="0"/>
          <w:sz w:val="18"/>
        </w:rPr>
        <w:t>[7]  V. Karpukhin ve ark., "Dense Passage Retrieval for Open-Domain Question Answering," EMNLP 2020.</w:t>
      </w:r>
    </w:p>
    <w:p>
      <w:pPr>
        <w:spacing w:before="0" w:after="60"/>
        <w:ind w:left="360" w:hanging="360"/>
      </w:pPr>
      <w:r>
        <w:rPr>
          <w:rFonts w:ascii="Times New Roman" w:hAnsi="Times New Roman"/>
          <w:b w:val="0"/>
          <w:i w:val="0"/>
          <w:sz w:val="18"/>
        </w:rPr>
        <w:t>[8]  S. Robertson ve H. Zaragoza, "The Probabilistic Relevance Framework: BM25 and Beyond," Found. Trends Inf. Retr., cilt 3, sayı 4, ss. 333–389, 2009.</w:t>
      </w:r>
    </w:p>
    <w:p>
      <w:pPr>
        <w:spacing w:before="0" w:after="60"/>
        <w:ind w:left="360" w:hanging="360"/>
      </w:pPr>
      <w:r>
        <w:rPr>
          <w:rFonts w:ascii="Times New Roman" w:hAnsi="Times New Roman"/>
          <w:b w:val="0"/>
          <w:i w:val="0"/>
          <w:sz w:val="18"/>
        </w:rPr>
        <w:t>[9]  G. V. Cormack, C. L. A. Clarke ve S. Buettcher, "Reciprocal Rank Fusion Outperforms Condorcet and Individual Rank Learning Methods," SIGIR 2009.</w:t>
      </w:r>
    </w:p>
    <w:p>
      <w:pPr>
        <w:spacing w:before="0" w:after="60"/>
        <w:ind w:left="360" w:hanging="360"/>
      </w:pPr>
      <w:r>
        <w:rPr>
          <w:rFonts w:ascii="Times New Roman" w:hAnsi="Times New Roman"/>
          <w:b w:val="0"/>
          <w:i w:val="0"/>
          <w:sz w:val="18"/>
        </w:rPr>
        <w:t>[10] X. Ma ve ark., "Query Rewriting in Retrieval-Augmented Large Language Models," EMNLP 2023.</w:t>
      </w:r>
    </w:p>
    <w:p>
      <w:pPr>
        <w:spacing w:before="0" w:after="60"/>
        <w:ind w:left="360" w:hanging="360"/>
      </w:pPr>
      <w:r>
        <w:rPr>
          <w:rFonts w:ascii="Times New Roman" w:hAnsi="Times New Roman"/>
          <w:b w:val="0"/>
          <w:i w:val="0"/>
          <w:sz w:val="18"/>
        </w:rPr>
        <w:t>[11] S. Es ve ark., "RAGAS: Automated Evaluation of Retrieval Augmented Generation," EACL 2024.</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