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Str1Rad"/>
        <w:tabs>
          <w:tab w:val="clear" w:pos="7371"/>
          <w:tab w:val="clear" w:pos="9866"/>
          <w:tab w:val="left" w:pos="7080" w:leader="none"/>
          <w:tab w:val="right" w:pos="9923" w:leader="none"/>
        </w:tabs>
        <w:spacing w:before="0" w:after="60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EXTRAKT z české technické normy</w:t>
      </w:r>
    </w:p>
    <w:p>
      <w:pPr>
        <w:pStyle w:val="Textnormy"/>
        <w:rPr>
          <w:b/>
        </w:rPr>
      </w:pPr>
      <w:r>
        <w:rPr>
          <w:b/>
        </w:rPr>
        <w:t>Extrakt nenahrazuje samotnou technickou normu, je pouze informativním materiálem o normě.</w:t>
      </w:r>
    </w:p>
    <w:p>
      <w:pPr>
        <w:pStyle w:val="1Str1Rad"/>
        <w:tabs>
          <w:tab w:val="clear" w:pos="7371"/>
          <w:tab w:val="clear" w:pos="9866"/>
          <w:tab w:val="left" w:pos="7080" w:leader="none"/>
          <w:tab w:val="right" w:pos="9923" w:leader="none"/>
        </w:tabs>
        <w:spacing w:before="0" w:after="60"/>
        <w:rPr>
          <w:b/>
          <w:sz w:val="40"/>
          <w:szCs w:val="40"/>
        </w:rPr>
      </w:pPr>
      <w:r>
        <w:rPr>
          <w:b/>
          <w:sz w:val="40"/>
          <w:szCs w:val="40"/>
        </w:rPr>
        <w:t>ICS 35.240.60</w:t>
        <w:tab/>
      </w:r>
    </w:p>
    <w:tbl>
      <w:tblPr>
        <w:tblW w:w="9923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7371"/>
        <w:gridCol w:w="2552"/>
      </w:tblGrid>
      <w:tr>
        <w:trPr>
          <w:trHeight w:val="1701" w:hRule="atLeast"/>
          <w:cantSplit/>
        </w:trPr>
        <w:tc>
          <w:tcPr>
            <w:tcW w:w="7371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1StrCN"/>
              <w:spacing w:before="180" w:after="0"/>
              <w:rPr/>
            </w:pPr>
            <w:r>
              <w:rPr/>
              <w:t>Dopravní telematika – Automatická identifikace vozidel, zařízení a nákladů – Intermodální/multimodální přeprava – Specifikace systému</w:t>
            </w:r>
          </w:p>
        </w:tc>
        <w:tc>
          <w:tcPr>
            <w:tcW w:w="2552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1StrCN"/>
              <w:spacing w:before="180" w:after="0"/>
              <w:rPr>
                <w:b w:val="false"/>
                <w:sz w:val="28"/>
              </w:rPr>
            </w:pPr>
            <w:r>
              <w:rPr/>
              <w:t xml:space="preserve">ČSN EN </w:t>
              <w:br/>
              <w:t>ISO/TS 17263</w:t>
              <w:br/>
            </w:r>
          </w:p>
          <w:p>
            <w:pPr>
              <w:pStyle w:val="1StrTrZn"/>
              <w:spacing w:before="80" w:after="80"/>
              <w:rPr/>
            </w:pPr>
            <w:r>
              <w:rPr/>
              <w:t>01 8342</w:t>
            </w:r>
          </w:p>
        </w:tc>
      </w:tr>
    </w:tbl>
    <w:p>
      <w:pPr>
        <w:pStyle w:val="Shodnost"/>
        <w:tabs>
          <w:tab w:val="left" w:pos="7920" w:leader="none"/>
        </w:tabs>
        <w:rPr/>
      </w:pPr>
      <w:r>
        <w:rPr/>
        <w:t>Platí od 1.3.2005</w:t>
        <w:tab/>
        <w:t>14 stran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Úvod</w:t>
      </w:r>
    </w:p>
    <w:p>
      <w:pPr>
        <w:pStyle w:val="Textnormy"/>
        <w:rPr>
          <w:spacing w:val="-2"/>
        </w:rPr>
      </w:pPr>
      <w:r>
        <w:rPr>
          <w:spacing w:val="-2"/>
        </w:rPr>
        <w:t xml:space="preserve">Tato norma je součástí souboru norem zaměřených na automatickou identifikaci vozidla, nákladu či položky zařízení pro účely telematických aplikací. Jejím účelem je vytvořit specifikaci systému AVI/AEI a tím umožnit nominální interoperabilitu mezi různými systémy automatické identifikace nákladu a zařízení v multimodální/intermodální přepravě za použití bezdrátového rozhraní. 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Užití</w:t>
      </w:r>
    </w:p>
    <w:p>
      <w:pPr>
        <w:pStyle w:val="Textnormy"/>
        <w:rPr>
          <w:spacing w:val="-2"/>
        </w:rPr>
      </w:pPr>
      <w:r>
        <w:rPr>
          <w:spacing w:val="-2"/>
        </w:rPr>
        <w:t>Norma stanovuje požadavky na systém AVI/AEI a třídí podle nich systém do kategorií. To umožňuje nalézt parametry interoperability dvou různých systémů. Kategorie systému souvisí i s požadavky na jejich testování, hodnocení a certifikaci. Díky stanoveným kategoriím je možné si „sestavit“ vlastní systém AVI/AEI s vlastní požadovanou funkcionalitou.</w:t>
      </w:r>
    </w:p>
    <w:p>
      <w:pPr>
        <w:pStyle w:val="Textnormy"/>
        <w:rPr>
          <w:spacing w:val="-2"/>
        </w:rPr>
      </w:pPr>
      <w:r>
        <w:rPr>
          <w:b/>
        </w:rPr>
        <w:t xml:space="preserve">Pro orgány státní správy </w:t>
      </w:r>
      <w:r>
        <w:rPr>
          <w:spacing w:val="-2"/>
        </w:rPr>
        <w:t>tato norma stanovuje způsob, jak se rozhodnout, ve kterých kategoriích požadují maximální výkon (nejvyšší třída) a ve kterých zase nejnižší. Od takto stanovených požadavků na systém se potom odvíjí i jeho cena.</w:t>
      </w:r>
    </w:p>
    <w:p>
      <w:pPr>
        <w:pStyle w:val="Textnormy"/>
        <w:rPr>
          <w:spacing w:val="-2"/>
        </w:rPr>
      </w:pPr>
      <w:r>
        <w:rPr>
          <w:b/>
        </w:rPr>
        <w:t>Pro výrobce zařízení a dodavatele telematických systémů</w:t>
      </w:r>
      <w:r>
        <w:rPr/>
        <w:t xml:space="preserve"> </w:t>
      </w:r>
      <w:r>
        <w:rPr>
          <w:spacing w:val="-2"/>
        </w:rPr>
        <w:t>tato norma obsahuje důležité pokyny, aby mohli vyrábět systémy s různými požadavky na funkcionalitu. Stanovuje testy, kterými musí zařízení projít, aby spadalo do určitě kategorie, a v neposlední řadě stanovuje podmínky certifikace zařízení.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Souvisící normy</w:t>
      </w:r>
    </w:p>
    <w:p>
      <w:pPr>
        <w:pStyle w:val="Textnormy"/>
        <w:rPr/>
      </w:pPr>
      <w:r>
        <w:rPr/>
        <w:t>Vzhledem k charakteru této normy je jednoznačně požadována znalost nebo alespoň přístup k normám IEC na elektromagnetickou kompatibilitu a environmentální zkoušení.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1 Předmět normy</w:t>
      </w:r>
    </w:p>
    <w:p>
      <w:pPr>
        <w:pStyle w:val="Textnormy"/>
        <w:rPr/>
      </w:pPr>
      <w:r>
        <w:rPr/>
        <w:t xml:space="preserve">Charakteristický rys intermodální/multimodální přepravy je, že části nákladu jsou, více než jednou, nakládány či vykládány z/do přepravní jednotky či vozidla. Systémy AEI v tomto prostředí musí zabezpečit identifikaci během nakládky či vykládky tak, aby o tomto procesu byl proveden záznam.  </w:t>
      </w:r>
    </w:p>
    <w:p>
      <w:pPr>
        <w:pStyle w:val="Textnormy"/>
        <w:rPr/>
      </w:pPr>
      <w:r>
        <w:rPr/>
        <w:t>Cílem normy je stanovit, popsat a specifikovat parametry pro intermodální systémy AVI/AEI a umožnit tak potenciálnímu tvůrci systému vybrat zařízení podle výkonové kategorie a provozních podmínek. Proto tato norma stanovuje parametry a požadavky na vlastní systém identifikace, výkonová kritéria nezbytná pro zajištění konzistentní a spolehlivé služby, umístění a výkon tagů na zařízení a umístění a výkon čtecích zařízení podél infrastruktury.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3 Termíny a definice</w:t>
      </w:r>
    </w:p>
    <w:p>
      <w:pPr>
        <w:pStyle w:val="Textnormy"/>
        <w:rPr/>
      </w:pPr>
      <w:r>
        <w:rPr>
          <w:b/>
        </w:rPr>
        <w:t xml:space="preserve">3.5 intermodální přeprava </w:t>
      </w:r>
      <w:r>
        <w:rPr>
          <w:i/>
        </w:rPr>
        <w:t>(intermodal transport)</w:t>
      </w:r>
      <w:r>
        <w:rPr>
          <w:b/>
        </w:rPr>
        <w:t xml:space="preserve"> </w:t>
      </w:r>
      <w:r>
        <w:rPr/>
        <w:t>pohyb zboží v jedné nebo více přepravních jednotkách nebo vozidle, které postupně používá různé způsoby dopravy bez samotné manipulace se zbožím při procesu změny módu přepravy.</w:t>
      </w:r>
    </w:p>
    <w:p>
      <w:pPr>
        <w:pStyle w:val="Textnormy"/>
        <w:rPr/>
      </w:pPr>
      <w:r>
        <w:rPr>
          <w:b/>
        </w:rPr>
        <w:t xml:space="preserve">3.6 interoperabilita </w:t>
      </w:r>
      <w:r>
        <w:rPr>
          <w:i/>
        </w:rPr>
        <w:t>(interoperability)</w:t>
      </w:r>
      <w:r>
        <w:rPr>
          <w:b/>
        </w:rPr>
        <w:t xml:space="preserve"> </w:t>
      </w:r>
      <w:r>
        <w:rPr/>
        <w:t>schopnost systémů nabízet a přijímat služby z/do dalších systémů a použít přijímané/poskytované služby tak, aby jejich spolupráce byla efektivní.</w:t>
      </w:r>
    </w:p>
    <w:p>
      <w:pPr>
        <w:pStyle w:val="Textnormy"/>
        <w:rPr/>
      </w:pPr>
      <w:r>
        <w:rPr>
          <w:b/>
        </w:rPr>
        <w:t xml:space="preserve">3.10 stínění </w:t>
      </w:r>
      <w:r>
        <w:rPr>
          <w:i/>
        </w:rPr>
        <w:t>(shadowing)</w:t>
      </w:r>
      <w:r>
        <w:rPr>
          <w:b/>
        </w:rPr>
        <w:t xml:space="preserve"> </w:t>
      </w:r>
      <w:r>
        <w:rPr/>
        <w:t>stav, kde vozidlo/zařízení zakrývá signály mezi čtečkou a tagem, a tak zabraňuje úspěšné transakci AVI/AEI.</w:t>
      </w:r>
    </w:p>
    <w:p>
      <w:pPr>
        <w:pStyle w:val="Textnormy"/>
        <w:rPr/>
      </w:pPr>
      <w:r>
        <w:rPr>
          <w:b/>
        </w:rPr>
        <w:t xml:space="preserve">3.12 tag </w:t>
      </w:r>
      <w:r>
        <w:rPr>
          <w:i/>
        </w:rPr>
        <w:t xml:space="preserve">(tag) </w:t>
      </w:r>
      <w:r>
        <w:rPr/>
        <w:t>zařízení určené k identifikaci, zabudované do jednotky, vozidla nebo položky, které obsahuje jednoznačný identifikátor a v případě potřeby další doplňková data. Pro zvláštní účely může být tag nainstalovaný na pevném místě a pohyblivá bude čtečka.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Kapitola 5 Specifikace a architektura systému </w:t>
      </w:r>
    </w:p>
    <w:p>
      <w:pPr>
        <w:pStyle w:val="Textnormy"/>
        <w:rPr/>
      </w:pPr>
      <w:r>
        <w:rPr/>
        <w:t>V části obecná specifikace systémů AVI/AEI (čl. 5.1) je uvedeno, že pokud má být zachována interoperabilita vybavení, vozidel a nákladu, musí systém vyhovovat všem normám souboru 1726x.</w:t>
      </w:r>
    </w:p>
    <w:p>
      <w:pPr>
        <w:pStyle w:val="Textnormy"/>
        <w:rPr/>
      </w:pPr>
      <w:r>
        <w:rPr/>
        <w:t>Následující článek (architektura a datová struktura) přebírá schéma referenční architektury z normy 14814 a dále s ohledem na architekturu a datovou specifikaci odkazuje na normy 17261 resp. 17262.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Kapitola 6 Požadavky a parametry </w:t>
      </w:r>
    </w:p>
    <w:p>
      <w:pPr>
        <w:pStyle w:val="Textnormy"/>
        <w:rPr/>
      </w:pPr>
      <w:r>
        <w:rPr/>
        <w:t>Zde jsou stanoveny kategorie systému „záchytu“ dat, jehož hlavním cílem je zabezpečit jednoznačnou identifikaci zařízení, vozidla či nákladu v různých místech přepravního řetězce za různých environmentálních a provozních podmínek. Pro různé účely použití stanovuje tato norma následující kategorie systému záchytu dat (dále i SZD). Jsou to:</w:t>
      </w:r>
    </w:p>
    <w:p>
      <w:pPr>
        <w:pStyle w:val="BodyText"/>
        <w:widowControl w:val="false"/>
        <w:numPr>
          <w:ilvl w:val="0"/>
          <w:numId w:val="2"/>
        </w:numPr>
        <w:suppressAutoHyphens w:val="true"/>
        <w:jc w:val="both"/>
        <w:rPr/>
      </w:pPr>
      <w:r>
        <w:rPr/>
        <w:t>Pevně umístěný SZD (např. kontrola přístupu)</w:t>
      </w:r>
    </w:p>
    <w:p>
      <w:pPr>
        <w:pStyle w:val="BodyText"/>
        <w:widowControl w:val="false"/>
        <w:numPr>
          <w:ilvl w:val="0"/>
          <w:numId w:val="2"/>
        </w:numPr>
        <w:suppressAutoHyphens w:val="true"/>
        <w:jc w:val="both"/>
        <w:rPr/>
      </w:pPr>
      <w:r>
        <w:rPr/>
        <w:t>SZD umístěný v jízdním pruhu (identifikace na dálnici,…)</w:t>
      </w:r>
    </w:p>
    <w:p>
      <w:pPr>
        <w:pStyle w:val="BodyText"/>
        <w:widowControl w:val="false"/>
        <w:numPr>
          <w:ilvl w:val="0"/>
          <w:numId w:val="2"/>
        </w:numPr>
        <w:suppressAutoHyphens w:val="true"/>
        <w:jc w:val="both"/>
        <w:rPr/>
      </w:pPr>
      <w:r>
        <w:rPr/>
        <w:t>SZD pro dohlížení a manipulaci ve skladu (většinou pohyblivé čtečky)</w:t>
      </w:r>
    </w:p>
    <w:p>
      <w:pPr>
        <w:pStyle w:val="BodyText"/>
        <w:widowControl w:val="false"/>
        <w:numPr>
          <w:ilvl w:val="0"/>
          <w:numId w:val="2"/>
        </w:numPr>
        <w:suppressAutoHyphens w:val="true"/>
        <w:jc w:val="both"/>
        <w:rPr/>
      </w:pPr>
      <w:r>
        <w:rPr/>
        <w:t>Přenosný SZD (pro čtení na krátké vzdálenosti).</w:t>
      </w:r>
    </w:p>
    <w:p>
      <w:pPr>
        <w:pStyle w:val="Textnormy"/>
        <w:rPr/>
      </w:pPr>
      <w:r>
        <w:rPr/>
        <w:t>Pro zjednodušení prověřovacích procedur jsou parametry v této normě rozděleny podle snadno testovatelných požadavků. Cílem je stanovit pouze nejdůležitější a nejvíce relevantní parametry pro garanci interoperability a celkové funkčnosti systémů. Ze systematického hlediska jsou tyto požadavky rozděleny na požadavky na systém, tag a čtečku.</w:t>
      </w:r>
    </w:p>
    <w:p>
      <w:pPr>
        <w:pStyle w:val="Textnormy"/>
        <w:rPr>
          <w:b/>
        </w:rPr>
      </w:pPr>
      <w:r>
        <w:rPr>
          <w:b/>
        </w:rPr>
        <w:t>6.2 Provozní parametry a požadavky systému</w:t>
      </w:r>
    </w:p>
    <w:p>
      <w:pPr>
        <w:pStyle w:val="Textnormy"/>
        <w:rPr/>
      </w:pPr>
      <w:r>
        <w:rPr/>
        <w:t>V tomto článku jsou stanoveny základní parametry, mezi které patří automatické přečtení tagu procházejícího čtecí zónou, nominální poloha čtecího zařízení, seskupování přečtených údajů podle sounáležitosti s vozidlem (např. seskupit identifikátory jízdní soupravy tahače s návěsem a položkami nákladu), rozlišování mezi jízdními pruhy a směrem jízdy atd.</w:t>
      </w:r>
    </w:p>
    <w:p>
      <w:pPr>
        <w:pStyle w:val="Textnormy"/>
        <w:rPr/>
      </w:pPr>
      <w:r>
        <w:rPr/>
        <w:t>Také jsou zde stanoveny požadavky na spolehlivost a zabezpečení, tj. míru chybovosti v referenčních bodech alfa a delta (míru pokusů, při kterých nedošlo k úspěšnému čtení či došlo k chybnému čtení).</w:t>
      </w:r>
    </w:p>
    <w:p>
      <w:pPr>
        <w:pStyle w:val="Textnormy"/>
        <w:rPr>
          <w:b/>
        </w:rPr>
      </w:pPr>
      <w:r>
        <w:rPr>
          <w:b/>
        </w:rPr>
        <w:t>6.3 Specifické parametry a výkonnostní kritéria čteček</w:t>
      </w:r>
    </w:p>
    <w:p>
      <w:pPr>
        <w:pStyle w:val="Textnormy"/>
        <w:rPr/>
      </w:pPr>
      <w:r>
        <w:rPr/>
        <w:t>V tomto článku jsou pro jednotlivé kategorie SZD vyjmenované výše určena výkonnostní kritéria. Těmito kritérii jsou čtecí vzdálenost, separace tagů v čtecí zóně, povolené natočení tagu vůči čtečce a rychlost průchodu čtecí zónou. Ukázkou je část tabulky 1.</w:t>
      </w:r>
    </w:p>
    <w:p>
      <w:pPr>
        <w:pStyle w:val="NadpisTabObr"/>
        <w:rPr/>
      </w:pPr>
      <w:r>
        <w:rPr/>
        <w:t>Tabulka 1 – Určení provozních parametrů pro jednotlivé kategorie SZD</w:t>
      </w:r>
    </w:p>
    <w:tbl>
      <w:tblPr>
        <w:tblW w:w="921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42"/>
        <w:gridCol w:w="1842"/>
        <w:gridCol w:w="1842"/>
        <w:gridCol w:w="1843"/>
        <w:gridCol w:w="1843"/>
      </w:tblGrid>
      <w:tr>
        <w:trPr/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Texttabulky"/>
              <w:spacing w:before="60" w:after="60"/>
              <w:rPr>
                <w:b/>
              </w:rPr>
            </w:pPr>
            <w:r>
              <w:rPr>
                <w:b/>
              </w:rPr>
              <w:t>Kategorie aplikace</w:t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Texttabulky"/>
              <w:spacing w:before="60" w:after="60"/>
              <w:rPr>
                <w:b/>
              </w:rPr>
            </w:pPr>
            <w:r>
              <w:rPr>
                <w:b/>
              </w:rPr>
              <w:t>Čtecí vzdálenost</w:t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Texttabulky"/>
              <w:spacing w:before="60" w:after="60"/>
              <w:rPr>
                <w:b/>
              </w:rPr>
            </w:pPr>
            <w:r>
              <w:rPr>
                <w:b/>
              </w:rPr>
              <w:t>Separace tagů v čtecí zóně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Texttabulky"/>
              <w:spacing w:before="60" w:after="60"/>
              <w:rPr>
                <w:b/>
              </w:rPr>
            </w:pPr>
            <w:r>
              <w:rPr>
                <w:b/>
              </w:rPr>
              <w:t xml:space="preserve">Povolené natočení tagu vůči čtečce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8D8D8" w:val="clear"/>
          </w:tcPr>
          <w:p>
            <w:pPr>
              <w:pStyle w:val="Texttabulky"/>
              <w:spacing w:before="60" w:after="60"/>
              <w:rPr>
                <w:b/>
              </w:rPr>
            </w:pPr>
            <w:r>
              <w:rPr>
                <w:b/>
              </w:rPr>
              <w:t>Rychlost průchodu čtecí zónou</w:t>
            </w:r>
          </w:p>
        </w:tc>
      </w:tr>
      <w:tr>
        <w:trPr/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tabulky"/>
              <w:spacing w:before="60" w:after="60"/>
              <w:rPr/>
            </w:pPr>
            <w:r>
              <w:rPr/>
              <w:t>Pevně umístěný SZD</w:t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tabulky"/>
              <w:spacing w:before="60" w:after="60"/>
              <w:rPr/>
            </w:pPr>
            <w:r>
              <w:rPr/>
              <w:t>0,5 m – 5,0 m</w:t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tabulky"/>
              <w:spacing w:before="60" w:after="60"/>
              <w:rPr/>
            </w:pPr>
            <w:r>
              <w:rPr/>
              <w:t>vzdálenost 0,10 m mezi tagy v jakémkoliv směru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tabulky"/>
              <w:spacing w:before="60" w:after="60"/>
              <w:rPr/>
            </w:pPr>
            <w:r>
              <w:rPr/>
              <w:t xml:space="preserve">v konické oblasti v úhlu </w:t>
            </w:r>
            <w:r>
              <w:rPr>
                <w:rFonts w:cs="Arial"/>
                <w:i/>
              </w:rPr>
              <w:t>γ</w:t>
            </w:r>
            <w:r>
              <w:rPr/>
              <w:t xml:space="preserve"> do 20° od středu osy čtečky a od středu osy tagu do úhlu </w:t>
            </w:r>
            <w:r>
              <w:rPr>
                <w:rFonts w:cs="Arial"/>
                <w:i/>
              </w:rPr>
              <w:t>β</w:t>
            </w:r>
            <w:r>
              <w:rPr/>
              <w:t xml:space="preserve"> 20°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tabulky"/>
              <w:spacing w:before="60" w:after="60"/>
              <w:rPr/>
            </w:pPr>
            <w:r>
              <w:rPr/>
              <w:t>0,0 až 36,0 km/h</w:t>
            </w:r>
          </w:p>
        </w:tc>
      </w:tr>
      <w:tr>
        <w:trPr/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tabulky"/>
              <w:spacing w:before="60" w:after="60"/>
              <w:rPr/>
            </w:pPr>
            <w:r>
              <w:rPr/>
              <w:t>SZD umístěný v jízdním pruhu</w:t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tabulky"/>
              <w:spacing w:before="60" w:after="60"/>
              <w:rPr/>
            </w:pPr>
            <w:r>
              <w:rPr/>
              <w:t>1,0 m – 10,0 m</w:t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tabulky"/>
              <w:spacing w:before="60" w:after="60"/>
              <w:rPr/>
            </w:pPr>
            <w:r>
              <w:rPr/>
              <w:t>vzdálenost 0,10 m mezi tagy v jakémkoliv směru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tabulky"/>
              <w:spacing w:before="60" w:after="60"/>
              <w:rPr/>
            </w:pPr>
            <w:r>
              <w:rPr/>
              <w:t xml:space="preserve">v konické oblasti v úhlu </w:t>
            </w:r>
            <w:r>
              <w:rPr>
                <w:rFonts w:cs="Arial"/>
                <w:i/>
              </w:rPr>
              <w:t>γ</w:t>
            </w:r>
            <w:r>
              <w:rPr/>
              <w:t xml:space="preserve"> do 20° od středu osy čtečky a od středu osy tagu do úhlu </w:t>
            </w:r>
            <w:r>
              <w:rPr>
                <w:rFonts w:cs="Arial"/>
                <w:i/>
              </w:rPr>
              <w:t>β</w:t>
            </w:r>
            <w:r>
              <w:rPr/>
              <w:t xml:space="preserve"> 20°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tabulky"/>
              <w:spacing w:before="60" w:after="60"/>
              <w:rPr/>
            </w:pPr>
            <w:r>
              <w:rPr/>
              <w:t>0,0 až 160,0 km/h</w:t>
            </w:r>
          </w:p>
        </w:tc>
      </w:tr>
    </w:tbl>
    <w:p>
      <w:pPr>
        <w:pStyle w:val="Textnormy"/>
        <w:rPr/>
      </w:pPr>
      <w:r>
        <w:rPr/>
      </w:r>
    </w:p>
    <w:p>
      <w:pPr>
        <w:pStyle w:val="Textnormy"/>
        <w:rPr/>
      </w:pPr>
      <w:r>
        <w:rPr/>
      </w:r>
    </w:p>
    <w:p>
      <w:pPr>
        <w:pStyle w:val="Textnormy"/>
        <w:rPr/>
      </w:pPr>
      <w:r>
        <w:rPr/>
      </w:r>
    </w:p>
    <w:p>
      <w:pPr>
        <w:pStyle w:val="Textnormy"/>
        <w:rPr>
          <w:b/>
        </w:rPr>
      </w:pPr>
      <w:r>
        <w:rPr>
          <w:b/>
        </w:rPr>
        <w:t>6.4 Specifické provozní parametry a výkonnostní kritéria tagů</w:t>
      </w:r>
    </w:p>
    <w:p>
      <w:pPr>
        <w:pStyle w:val="Textnormy"/>
        <w:rPr/>
      </w:pPr>
      <w:r>
        <w:rPr/>
        <w:t xml:space="preserve">V tomto článku jsou stanoveny požadavky na datový obsah a kapacitu tagů s odkazem na povinný obsah specifikovaný v normě 17262. Dále tato norma předkládá požadavky na umístění tagu na standardizovaném kontejneru ITU. Pro ISO kontejnery řeší umístění tagu norma ISO 10374 a pro lehké kontejnery EN 13044. </w:t>
      </w:r>
    </w:p>
    <w:p>
      <w:pPr>
        <w:pStyle w:val="BodyText"/>
        <w:keepNext w:val="true"/>
        <w:jc w:val="center"/>
        <w:rPr/>
      </w:pPr>
      <w:r>
        <w:rPr/>
        <w:drawing>
          <wp:inline distT="0" distB="0" distL="0" distR="0">
            <wp:extent cx="4943475" cy="2314575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7" t="-16" r="-7" b="-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2314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adpisTabObr"/>
        <w:rPr/>
      </w:pPr>
      <w:r>
        <w:rPr/>
        <w:t>Obrázek 3 – Oblast umístění tagu na lehkém kontejneru (swap body)</w:t>
      </w:r>
    </w:p>
    <w:p>
      <w:pPr>
        <w:pStyle w:val="Textnormy"/>
        <w:spacing w:before="0" w:after="120"/>
        <w:rPr/>
      </w:pPr>
      <w:r>
        <w:rPr/>
      </w:r>
    </w:p>
    <w:sectPr>
      <w:footerReference w:type="default" r:id="rId3"/>
      <w:type w:val="nextPage"/>
      <w:pgSz w:w="11906" w:h="16838"/>
      <w:pgMar w:left="1417" w:right="1417" w:gutter="0" w:header="0" w:top="1417" w:footer="708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ee" w:characterSet="windows-1250"/>
    <w:family w:val="swiss"/>
    <w:pitch w:val="variable"/>
  </w:font>
  <w:font w:name="Cambria">
    <w:altName w:val="Palatino Linotype"/>
    <w:charset w:val="ee" w:characterSet="windows-1250"/>
    <w:family w:val="roman"/>
    <w:pitch w:val="variable"/>
  </w:font>
  <w:font w:name="Wingdings">
    <w:charset w:val="02"/>
    <w:family w:val="auto"/>
    <w:pitch w:val="variable"/>
  </w:font>
  <w:font w:name="Wingdings 2">
    <w:charset w:val="02"/>
    <w:family w:val="roman"/>
    <w:pitch w:val="variable"/>
  </w:font>
  <w:font w:name="StarSymbol">
    <w:altName w:val="Arial Unicode MS"/>
    <w:charset w:val="ee" w:characterSet="windows-1250"/>
    <w:family w:val="auto"/>
    <w:pitch w:val="default"/>
  </w:font>
  <w:font w:name="Times New Roman">
    <w:charset w:val="ee" w:characterSet="windows-1250"/>
    <w:family w:val="roman"/>
    <w:pitch w:val="variable"/>
  </w:font>
  <w:font w:name="Courier New">
    <w:charset w:val="ee" w:characterSet="windows-1250"/>
    <w:family w:val="modern"/>
    <w:pitch w:val="default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0" simplePos="0" relativeHeight="5" behindDoc="0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71120" cy="146050"/>
              <wp:effectExtent l="0" t="0" r="0" b="0"/>
              <wp:wrapSquare wrapText="bothSides"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1120" cy="14605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3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.6pt;height:11.5pt;mso-wrap-distance-left:0pt;mso-wrap-distance-right:0pt;mso-wrap-distance-top:0pt;mso-wrap-distance-bottom:0pt;margin-top:0.05pt;mso-position-vertical-relative:text;margin-left:224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3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Times New Roman" w:hAnsi="Times New Roman" w:cs="Times New Roman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Times New Roman" w:cs="Arial"/>
      <w:color w:val="auto"/>
      <w:sz w:val="20"/>
      <w:szCs w:val="20"/>
      <w:lang w:val="cs-CZ" w:bidi="ar-SA" w:eastAsia="zh-CN"/>
    </w:rPr>
  </w:style>
  <w:style w:type="paragraph" w:styleId="Heading1">
    <w:name w:val="heading 1"/>
    <w:basedOn w:val="Normal"/>
    <w:next w:val="BodyText"/>
    <w:qFormat/>
    <w:pPr>
      <w:keepNext w:val="true"/>
      <w:widowControl w:val="false"/>
      <w:numPr>
        <w:ilvl w:val="0"/>
        <w:numId w:val="1"/>
      </w:numPr>
      <w:suppressAutoHyphens w:val="true"/>
      <w:spacing w:before="240" w:after="120"/>
      <w:jc w:val="both"/>
      <w:outlineLvl w:val="0"/>
    </w:pPr>
    <w:rPr>
      <w:rFonts w:eastAsia="Lucida Sans Unicode" w:cs="Tahoma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spacing w:before="240" w:after="60"/>
      <w:outlineLvl w:val="1"/>
    </w:pPr>
    <w:rPr>
      <w:rFonts w:ascii="Cambria;Palatino Linotype" w:hAnsi="Cambria;Palatino Linotype" w:eastAsia="Times New Roman" w:cs="Times New Roman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spacing w:before="240" w:after="60"/>
      <w:outlineLvl w:val="2"/>
    </w:pPr>
    <w:rPr>
      <w:rFonts w:cs="Arial"/>
      <w:b/>
      <w:bCs/>
      <w:sz w:val="26"/>
      <w:szCs w:val="26"/>
    </w:rPr>
  </w:style>
  <w:style w:type="character" w:styleId="WW8Num2z0">
    <w:name w:val="WW8Num2z0"/>
    <w:qFormat/>
    <w:rPr>
      <w:rFonts w:ascii="Wingdings" w:hAnsi="Wingdings" w:cs="StarSymbol;Arial Unicode MS"/>
      <w:sz w:val="18"/>
      <w:szCs w:val="18"/>
    </w:rPr>
  </w:style>
  <w:style w:type="character" w:styleId="WW8Num2z1">
    <w:name w:val="WW8Num2z1"/>
    <w:qFormat/>
    <w:rPr>
      <w:rFonts w:ascii="Wingdings 2" w:hAnsi="Wingdings 2" w:cs="StarSymbol;Arial Unicode MS"/>
      <w:sz w:val="18"/>
      <w:szCs w:val="18"/>
    </w:rPr>
  </w:style>
  <w:style w:type="character" w:styleId="WW8Num2z2">
    <w:name w:val="WW8Num2z2"/>
    <w:qFormat/>
    <w:rPr>
      <w:rFonts w:ascii="StarSymbol;Arial Unicode MS" w:hAnsi="StarSymbol;Arial Unicode MS" w:cs="StarSymbol;Arial Unicode MS"/>
      <w:sz w:val="18"/>
      <w:szCs w:val="18"/>
    </w:rPr>
  </w:style>
  <w:style w:type="character" w:styleId="WW8Num3z0">
    <w:name w:val="WW8Num3z0"/>
    <w:qFormat/>
    <w:rPr>
      <w:rFonts w:ascii="Wingdings" w:hAnsi="Wingdings" w:cs="StarSymbol;Arial Unicode MS"/>
      <w:sz w:val="18"/>
      <w:szCs w:val="18"/>
    </w:rPr>
  </w:style>
  <w:style w:type="character" w:styleId="WW8Num3z1">
    <w:name w:val="WW8Num3z1"/>
    <w:qFormat/>
    <w:rPr>
      <w:rFonts w:ascii="Wingdings 2" w:hAnsi="Wingdings 2" w:cs="StarSymbol;Arial Unicode MS"/>
      <w:sz w:val="18"/>
      <w:szCs w:val="18"/>
    </w:rPr>
  </w:style>
  <w:style w:type="character" w:styleId="WW8Num3z2">
    <w:name w:val="WW8Num3z2"/>
    <w:qFormat/>
    <w:rPr>
      <w:rFonts w:ascii="StarSymbol;Arial Unicode MS" w:hAnsi="StarSymbol;Arial Unicode MS" w:cs="StarSymbol;Arial Unicode MS"/>
      <w:sz w:val="18"/>
      <w:szCs w:val="18"/>
    </w:rPr>
  </w:style>
  <w:style w:type="character" w:styleId="WW8Num4z0">
    <w:name w:val="WW8Num4z0"/>
    <w:qFormat/>
    <w:rPr>
      <w:rFonts w:ascii="Wingdings" w:hAnsi="Wingdings" w:cs="StarSymbol;Arial Unicode MS"/>
      <w:sz w:val="18"/>
      <w:szCs w:val="18"/>
    </w:rPr>
  </w:style>
  <w:style w:type="character" w:styleId="WW8Num4z1">
    <w:name w:val="WW8Num4z1"/>
    <w:qFormat/>
    <w:rPr>
      <w:rFonts w:ascii="Wingdings 2" w:hAnsi="Wingdings 2" w:cs="StarSymbol;Arial Unicode MS"/>
      <w:sz w:val="18"/>
      <w:szCs w:val="18"/>
    </w:rPr>
  </w:style>
  <w:style w:type="character" w:styleId="WW8Num4z2">
    <w:name w:val="WW8Num4z2"/>
    <w:qFormat/>
    <w:rPr>
      <w:rFonts w:ascii="StarSymbol;Arial Unicode MS" w:hAnsi="StarSymbol;Arial Unicode MS" w:cs="StarSymbol;Arial Unicode MS"/>
      <w:sz w:val="18"/>
      <w:szCs w:val="18"/>
    </w:rPr>
  </w:style>
  <w:style w:type="character" w:styleId="WW8Num5z0">
    <w:name w:val="WW8Num5z0"/>
    <w:qFormat/>
    <w:rPr>
      <w:rFonts w:ascii="Arial" w:hAnsi="Arial" w:cs="Arial"/>
      <w:sz w:val="18"/>
      <w:szCs w:val="18"/>
    </w:rPr>
  </w:style>
  <w:style w:type="character" w:styleId="WW8Num5z1">
    <w:name w:val="WW8Num5z1"/>
    <w:qFormat/>
    <w:rPr>
      <w:rFonts w:ascii="Wingdings 2" w:hAnsi="Wingdings 2" w:cs="StarSymbol;Arial Unicode MS"/>
      <w:sz w:val="18"/>
      <w:szCs w:val="18"/>
    </w:rPr>
  </w:style>
  <w:style w:type="character" w:styleId="WW8Num5z2">
    <w:name w:val="WW8Num5z2"/>
    <w:qFormat/>
    <w:rPr>
      <w:rFonts w:ascii="StarSymbol;Arial Unicode MS" w:hAnsi="StarSymbol;Arial Unicode MS" w:cs="StarSymbol;Arial Unicode MS"/>
      <w:sz w:val="18"/>
      <w:szCs w:val="18"/>
    </w:rPr>
  </w:style>
  <w:style w:type="character" w:styleId="WW8Num5z3">
    <w:name w:val="WW8Num5z3"/>
    <w:qFormat/>
    <w:rPr>
      <w:rFonts w:ascii="Wingdings" w:hAnsi="Wingdings" w:cs="StarSymbol;Arial Unicode MS"/>
      <w:sz w:val="18"/>
      <w:szCs w:val="18"/>
    </w:rPr>
  </w:style>
  <w:style w:type="character" w:styleId="WW8Num6z0">
    <w:name w:val="WW8Num6z0"/>
    <w:qFormat/>
    <w:rPr>
      <w:rFonts w:ascii="Arial" w:hAnsi="Arial" w:cs="Arial"/>
      <w:sz w:val="18"/>
      <w:szCs w:val="18"/>
    </w:rPr>
  </w:style>
  <w:style w:type="character" w:styleId="WW8Num6z1">
    <w:name w:val="WW8Num6z1"/>
    <w:qFormat/>
    <w:rPr>
      <w:rFonts w:ascii="Wingdings 2" w:hAnsi="Wingdings 2" w:cs="StarSymbol;Arial Unicode MS"/>
      <w:sz w:val="18"/>
      <w:szCs w:val="18"/>
    </w:rPr>
  </w:style>
  <w:style w:type="character" w:styleId="WW8Num6z2">
    <w:name w:val="WW8Num6z2"/>
    <w:qFormat/>
    <w:rPr>
      <w:rFonts w:ascii="StarSymbol;Arial Unicode MS" w:hAnsi="StarSymbol;Arial Unicode MS" w:cs="StarSymbol;Arial Unicode MS"/>
      <w:sz w:val="18"/>
      <w:szCs w:val="18"/>
    </w:rPr>
  </w:style>
  <w:style w:type="character" w:styleId="WW8Num6z3">
    <w:name w:val="WW8Num6z3"/>
    <w:qFormat/>
    <w:rPr>
      <w:rFonts w:ascii="Wingdings" w:hAnsi="Wingdings" w:cs="StarSymbol;Arial Unicode MS"/>
      <w:sz w:val="18"/>
      <w:szCs w:val="18"/>
    </w:rPr>
  </w:style>
  <w:style w:type="character" w:styleId="WW8Num7z0">
    <w:name w:val="WW8Num7z0"/>
    <w:qFormat/>
    <w:rPr>
      <w:rFonts w:ascii="Times New Roman" w:hAnsi="Times New Roman" w:eastAsia="Lucida Sans Unicode" w:cs="Times New Roman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7z3">
    <w:name w:val="WW8Num7z3"/>
    <w:qFormat/>
    <w:rPr>
      <w:rFonts w:ascii="Symbol" w:hAnsi="Symbol" w:cs="Symbol"/>
    </w:rPr>
  </w:style>
  <w:style w:type="character" w:styleId="Standardnpsmoodstavce">
    <w:name w:val="Standardní písmo odstavce"/>
    <w:qFormat/>
    <w:rPr/>
  </w:style>
  <w:style w:type="character" w:styleId="TextnormyChar1">
    <w:name w:val="Text normy Char1"/>
    <w:basedOn w:val="Standardnpsmoodstavce"/>
    <w:qFormat/>
    <w:rPr>
      <w:rFonts w:ascii="Arial" w:hAnsi="Arial" w:cs="Arial"/>
      <w:lang w:val="cs-CZ" w:bidi="ar-SA"/>
    </w:rPr>
  </w:style>
  <w:style w:type="character" w:styleId="Hyperlink">
    <w:name w:val="Hyperlink"/>
    <w:rPr>
      <w:color w:val="000080"/>
      <w:u w:val="single"/>
    </w:rPr>
  </w:style>
  <w:style w:type="character" w:styleId="PageNumber">
    <w:name w:val="page number"/>
    <w:basedOn w:val="Standardnpsmoodstavce"/>
    <w:rPr/>
  </w:style>
  <w:style w:type="character" w:styleId="Nadpis2Char">
    <w:name w:val="Nadpis 2 Char"/>
    <w:basedOn w:val="Standardnpsmoodstavce"/>
    <w:qFormat/>
    <w:rPr>
      <w:rFonts w:ascii="Cambria;Palatino Linotype" w:hAnsi="Cambria;Palatino Linotype" w:eastAsia="Times New Roman" w:cs="Times New Roman"/>
      <w:b/>
      <w:bCs/>
      <w:i/>
      <w:iCs/>
      <w:sz w:val="28"/>
      <w:szCs w:val="28"/>
    </w:rPr>
  </w:style>
  <w:style w:type="character" w:styleId="Odkaznakoment">
    <w:name w:val="Odkaz na komentář"/>
    <w:basedOn w:val="Standardnpsmoodstavce"/>
    <w:qFormat/>
    <w:rPr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Textnormy">
    <w:name w:val="Text normy"/>
    <w:qFormat/>
    <w:pPr>
      <w:widowControl/>
      <w:bidi w:val="0"/>
      <w:spacing w:before="0" w:after="120"/>
      <w:jc w:val="both"/>
    </w:pPr>
    <w:rPr>
      <w:rFonts w:ascii="Arial" w:hAnsi="Arial" w:eastAsia="Times New Roman" w:cs="Arial"/>
      <w:color w:val="auto"/>
      <w:sz w:val="20"/>
      <w:szCs w:val="20"/>
      <w:lang w:val="cs-CZ" w:bidi="ar-SA" w:eastAsia="zh-CN"/>
    </w:rPr>
  </w:style>
  <w:style w:type="paragraph" w:styleId="Nadpislnku">
    <w:name w:val="Nadpis článku"/>
    <w:basedOn w:val="Textnormy"/>
    <w:next w:val="Textnormy"/>
    <w:qFormat/>
    <w:pPr>
      <w:keepNext w:val="true"/>
      <w:keepLines/>
      <w:suppressAutoHyphens w:val="true"/>
      <w:spacing w:before="120" w:after="120"/>
      <w:jc w:val="start"/>
    </w:pPr>
    <w:rPr>
      <w:b/>
    </w:rPr>
  </w:style>
  <w:style w:type="paragraph" w:styleId="1StrTrZn">
    <w:name w:val="1StrTrZn"/>
    <w:basedOn w:val="Textnormy"/>
    <w:qFormat/>
    <w:pPr>
      <w:spacing w:lineRule="exact" w:line="340" w:before="80" w:after="80"/>
      <w:jc w:val="start"/>
    </w:pPr>
    <w:rPr>
      <w:sz w:val="28"/>
    </w:rPr>
  </w:style>
  <w:style w:type="paragraph" w:styleId="1StrNN-1-23">
    <w:name w:val="1StrNN-1-23"/>
    <w:basedOn w:val="Textnormy"/>
    <w:qFormat/>
    <w:pPr>
      <w:widowControl w:val="false"/>
      <w:suppressAutoHyphens w:val="true"/>
      <w:spacing w:lineRule="exact" w:line="340" w:before="640" w:after="0"/>
      <w:ind w:hanging="0" w:start="0" w:end="567"/>
      <w:jc w:val="start"/>
    </w:pPr>
    <w:rPr>
      <w:b/>
      <w:sz w:val="28"/>
    </w:rPr>
  </w:style>
  <w:style w:type="paragraph" w:styleId="Cizojazynnzev">
    <w:name w:val="Cizojazyčný název"/>
    <w:basedOn w:val="Textnormy"/>
    <w:qFormat/>
    <w:pPr>
      <w:widowControl w:val="false"/>
      <w:suppressAutoHyphens w:val="true"/>
      <w:jc w:val="start"/>
    </w:pPr>
    <w:rPr>
      <w:sz w:val="18"/>
    </w:rPr>
  </w:style>
  <w:style w:type="paragraph" w:styleId="Shodnost">
    <w:name w:val="Shodnost"/>
    <w:basedOn w:val="Textnormy"/>
    <w:next w:val="Textnormy"/>
    <w:qFormat/>
    <w:pPr>
      <w:keepNext w:val="true"/>
      <w:keepLines/>
      <w:tabs>
        <w:tab w:val="clear" w:pos="708"/>
        <w:tab w:val="right" w:pos="9923" w:leader="none"/>
      </w:tabs>
      <w:spacing w:before="240" w:after="360"/>
      <w:jc w:val="start"/>
    </w:pPr>
    <w:rPr>
      <w:sz w:val="28"/>
    </w:rPr>
  </w:style>
  <w:style w:type="paragraph" w:styleId="1Str1Rad">
    <w:name w:val="1Str1Rad"/>
    <w:basedOn w:val="Textnormy"/>
    <w:qFormat/>
    <w:pPr>
      <w:widowControl w:val="false"/>
      <w:tabs>
        <w:tab w:val="clear" w:pos="708"/>
        <w:tab w:val="left" w:pos="7371" w:leader="none"/>
        <w:tab w:val="right" w:pos="9866" w:leader="none"/>
      </w:tabs>
    </w:pPr>
    <w:rPr/>
  </w:style>
  <w:style w:type="paragraph" w:styleId="esknorma">
    <w:name w:val="Česká norma"/>
    <w:basedOn w:val="Textnormy"/>
    <w:next w:val="1Str1Rad"/>
    <w:qFormat/>
    <w:pPr>
      <w:spacing w:before="0" w:after="0"/>
      <w:jc w:val="start"/>
    </w:pPr>
    <w:rPr>
      <w:sz w:val="28"/>
    </w:rPr>
  </w:style>
  <w:style w:type="paragraph" w:styleId="1StrCN">
    <w:name w:val="1StrCN"/>
    <w:basedOn w:val="Textnormy"/>
    <w:next w:val="1StrTrZn"/>
    <w:qFormat/>
    <w:pPr>
      <w:spacing w:lineRule="exact" w:line="340" w:before="180" w:after="0"/>
      <w:jc w:val="start"/>
    </w:pPr>
    <w:rPr>
      <w:b/>
      <w:sz w:val="32"/>
      <w:lang w:val="en-US" w:eastAsia="en-US"/>
    </w:rPr>
  </w:style>
  <w:style w:type="paragraph" w:styleId="Tabulka">
    <w:name w:val="Tabulka"/>
    <w:basedOn w:val="Normal"/>
    <w:qFormat/>
    <w:pPr>
      <w:widowControl w:val="false"/>
      <w:suppressLineNumbers/>
      <w:suppressAutoHyphens w:val="true"/>
      <w:spacing w:before="120" w:after="120"/>
      <w:jc w:val="both"/>
    </w:pPr>
    <w:rPr>
      <w:rFonts w:ascii="Times New Roman" w:hAnsi="Times New Roman" w:eastAsia="Lucida Sans Unicode" w:cs="Tahoma"/>
      <w:i/>
      <w:iCs/>
      <w:kern w:val="2"/>
      <w:sz w:val="24"/>
      <w:szCs w:val="24"/>
    </w:rPr>
  </w:style>
  <w:style w:type="paragraph" w:styleId="Texttabulky">
    <w:name w:val="Text tabulky"/>
    <w:basedOn w:val="Textnormy"/>
    <w:qFormat/>
    <w:pPr>
      <w:suppressAutoHyphens w:val="true"/>
      <w:spacing w:before="60" w:after="60"/>
      <w:jc w:val="start"/>
    </w:pPr>
    <w:rPr>
      <w:rFonts w:eastAsia="Arial"/>
      <w:kern w:val="2"/>
      <w:sz w:val="18"/>
    </w:rPr>
  </w:style>
  <w:style w:type="paragraph" w:styleId="Ilustrace">
    <w:name w:val="Ilustrace"/>
    <w:basedOn w:val="Normal"/>
    <w:qFormat/>
    <w:pPr>
      <w:widowControl w:val="false"/>
      <w:suppressLineNumbers/>
      <w:suppressAutoHyphens w:val="true"/>
      <w:spacing w:before="120" w:after="120"/>
      <w:jc w:val="both"/>
    </w:pPr>
    <w:rPr>
      <w:rFonts w:ascii="Times New Roman" w:hAnsi="Times New Roman" w:eastAsia="Lucida Sans Unicode" w:cs="Tahoma"/>
      <w:i/>
      <w:iCs/>
      <w:kern w:val="2"/>
      <w:sz w:val="24"/>
      <w:szCs w:val="24"/>
    </w:rPr>
  </w:style>
  <w:style w:type="paragraph" w:styleId="NadpisTabObr">
    <w:name w:val="NadpisTabObr"/>
    <w:basedOn w:val="Nadpislnku"/>
    <w:next w:val="Textnormy"/>
    <w:qFormat/>
    <w:pPr>
      <w:keepNext w:val="false"/>
      <w:jc w:val="center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Textnormy"/>
    <w:pPr/>
    <w:rPr>
      <w:sz w:val="18"/>
    </w:rPr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Titulek">
    <w:name w:val="Titulek"/>
    <w:basedOn w:val="Normal"/>
    <w:next w:val="Normal"/>
    <w:qFormat/>
    <w:pPr>
      <w:widowControl w:val="false"/>
      <w:suppressAutoHyphens w:val="true"/>
      <w:spacing w:before="113" w:after="113"/>
      <w:jc w:val="both"/>
    </w:pPr>
    <w:rPr>
      <w:rFonts w:ascii="Times New Roman" w:hAnsi="Times New Roman" w:eastAsia="Lucida Sans Unicode" w:cs="Times New Roman"/>
      <w:b/>
      <w:bCs/>
      <w:kern w:val="2"/>
    </w:rPr>
  </w:style>
  <w:style w:type="paragraph" w:styleId="Textkomente">
    <w:name w:val="Text komentáře"/>
    <w:basedOn w:val="Normal"/>
    <w:qFormat/>
    <w:pPr/>
    <w:rPr/>
  </w:style>
  <w:style w:type="paragraph" w:styleId="Textbubliny">
    <w:name w:val="Text bubliny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emf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14</TotalTime>
  <Application>LibreOffice/26.2.6.3$Linux_X86_64 LibreOffice_project/620$Build-3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2008-11-14T14:30:00Z</dcterms:created>
  <dc:creator>David Bárta</dc:creator>
  <dc:description/>
  <cp:keywords/>
  <dc:language>en-US</dc:language>
  <cp:lastModifiedBy>David Bárta</cp:lastModifiedBy>
  <cp:lastPrinted>2008-11-18T12:51:00Z</cp:lastPrinted>
  <dcterms:modified xsi:type="dcterms:W3CDTF">2008-11-18T11:51:00Z</dcterms:modified>
  <cp:revision>5</cp:revision>
  <dc:subject/>
  <dc:title>ČESKÁ TECHNICKÁ NORMA</dc:title>
</cp:coreProperties>
</file>