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03.220.20,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 xml:space="preserve">Dopravní telematika – Automatická identifikace vozidel, zařízení a nákladů – Identifikace elektronické registrace (ERI) vozidel – Část 2: </w:t>
            </w:r>
            <w:r>
              <w:rPr>
                <w:rFonts w:cs="Arial"/>
              </w:rPr>
              <w:t>Provozní požadavky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24534-2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01 8338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ab/>
        <w:t>24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Koncept elektronické identifikace registrace (ERI), tedy zjištění jednoznačné identity vozidla použitím elektronických prostředků, nabývá v posledních letech na významu. ERI lze totiž využít nejen pro vlastní identifikaci, ale také pro potenciální aplikace jako je například monitorování a řízení dopravy. </w:t>
      </w:r>
    </w:p>
    <w:p>
      <w:pPr>
        <w:pStyle w:val="Textnormy"/>
        <w:rPr/>
      </w:pPr>
      <w:r>
        <w:rPr>
          <w:spacing w:val="-2"/>
        </w:rPr>
        <w:t>Vozidlo je v rámci ERI identifikováno svým jednoznačným identifikátorem (</w:t>
      </w:r>
      <w:r>
        <w:rPr/>
        <w:t xml:space="preserve">upřednostňovaný je VIN) který je uchováván v tagu elektronické registrace (ERT). ERT může navíc obsahovat dodatečná data. ERT komunikuje s čtečkou elektronické registrace ERR a volitelně s jinými palubními zařízeními vozidla.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vznikla řízeným rozdělením normy elektronická identifikace registrace na 5 samostatných částí. Každá z částí má pevně daný rozsah působnosti. Tato, druhá, část stanovuje </w:t>
      </w:r>
      <w:r>
        <w:rPr>
          <w:b/>
          <w:spacing w:val="-2"/>
        </w:rPr>
        <w:t>provozní požadavky</w:t>
      </w:r>
      <w:r>
        <w:rPr>
          <w:spacing w:val="-2"/>
        </w:rPr>
        <w:t xml:space="preserve"> na ERI. </w:t>
      </w:r>
    </w:p>
    <w:p>
      <w:pPr>
        <w:pStyle w:val="Textnormy"/>
        <w:rPr/>
      </w:pPr>
      <w:r>
        <w:rPr/>
        <w:t xml:space="preserve">Tato norma je použitelná dvěma způsoby. První způsob je určen předmětem normy a tedy klasifikací provozních parametrů tagu elektronické registrace. Ten je důležitý pro </w:t>
      </w:r>
      <w:r>
        <w:rPr>
          <w:b/>
        </w:rPr>
        <w:t>výrobce zařízení a dodavatele telematických systémů</w:t>
      </w:r>
      <w:r>
        <w:rPr/>
        <w:t xml:space="preserve">, z nichž jedni vyrábí různě „schopné“ jednotky roztříděné podle provozních požadavků a druzí vybavují systém těmito jednotkami opět podle provozních požadavků tentokráte ale skutečného provozu. Druhý a možná důležitější způsob použití jsou příklady uvedené v informativních dodatcích, které ukazují, jaké by mohly (měly) být požadavky na a role v systému ERI od jednotlivých aktérů a kdo tito aktéři jsou. Tento způsob použití je vhodný pro </w:t>
      </w:r>
      <w:r>
        <w:rPr>
          <w:b/>
        </w:rPr>
        <w:t>všechny,</w:t>
      </w:r>
      <w:r>
        <w:rPr/>
        <w:t xml:space="preserve"> kteří chtějí rychle pochopit základní myšlenku systému ERI tak jak je prosazován svými tvůrci.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Různé části ISO 24534 obsahují celkový rámec pro ERI a specifikace požadavků pro „plně vybavenou“ ERI, jsou to tyto normy:</w:t>
      </w:r>
    </w:p>
    <w:p>
      <w:pPr>
        <w:pStyle w:val="Textnormy"/>
        <w:numPr>
          <w:ilvl w:val="0"/>
          <w:numId w:val="5"/>
        </w:numPr>
        <w:rPr/>
      </w:pPr>
      <w:r>
        <w:rPr>
          <w:rFonts w:cs="Arial"/>
        </w:rPr>
        <w:t xml:space="preserve">Část 1: Architektura, Část 3: Data o vozidle, Část 4: </w:t>
      </w:r>
      <w:r>
        <w:rPr/>
        <w:t xml:space="preserve">Zabezpečení aplikační vrstvy použitím asymetrického šifrování a </w:t>
      </w:r>
      <w:r>
        <w:rPr>
          <w:rFonts w:cs="Arial"/>
        </w:rPr>
        <w:t xml:space="preserve">Část 5: </w:t>
      </w:r>
      <w:r>
        <w:rPr/>
        <w:t>Zabezpečení aplikační vrstvy použitím</w:t>
      </w:r>
      <w:r>
        <w:rPr>
          <w:rFonts w:cs="Arial"/>
        </w:rPr>
        <w:t xml:space="preserve"> symetrického šifrování</w:t>
      </w:r>
      <w:r>
        <w:rPr/>
        <w:t xml:space="preserve"> </w:t>
      </w:r>
    </w:p>
    <w:p>
      <w:pPr>
        <w:pStyle w:val="Textnormy"/>
        <w:rPr/>
      </w:pPr>
      <w:r>
        <w:rPr/>
        <w:t xml:space="preserve">Přidružená mezinárodní norma k tomuto souboru norem ERI, ISO 24535, obsahuje podskupinu těchto požadavků, zajišťující funkčnost „základní ERI”.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Tato mezinárodní norma poskytuje </w:t>
      </w:r>
      <w:r>
        <w:rPr>
          <w:b/>
        </w:rPr>
        <w:t>provozní</w:t>
      </w:r>
      <w:r>
        <w:rPr/>
        <w:t xml:space="preserve"> </w:t>
      </w:r>
      <w:r>
        <w:rPr>
          <w:b/>
        </w:rPr>
        <w:t>požadavky na</w:t>
      </w:r>
      <w:r>
        <w:rPr/>
        <w:t xml:space="preserve"> systém elektronické registrace ERI založené na jednoznačném identifikátoru, ten je zejména vhodný pro: </w:t>
      </w:r>
    </w:p>
    <w:p>
      <w:pPr>
        <w:pStyle w:val="Normal"/>
        <w:numPr>
          <w:ilvl w:val="0"/>
          <w:numId w:val="5"/>
        </w:numPr>
        <w:rPr/>
      </w:pPr>
      <w:r>
        <w:rPr/>
        <w:t>elektronickou identifikaci místních zahraničních vozidel národními správními orgány</w:t>
      </w:r>
    </w:p>
    <w:p>
      <w:pPr>
        <w:pStyle w:val="Normal"/>
        <w:numPr>
          <w:ilvl w:val="0"/>
          <w:numId w:val="5"/>
        </w:numPr>
        <w:rPr/>
      </w:pPr>
      <w:r>
        <w:rPr/>
        <w:t>výrobu vozidla, údržbu vozidla v době životnosti a identifikaci konce životnosti;</w:t>
      </w:r>
    </w:p>
    <w:p>
      <w:pPr>
        <w:pStyle w:val="Normal"/>
        <w:numPr>
          <w:ilvl w:val="0"/>
          <w:numId w:val="5"/>
        </w:numPr>
        <w:rPr/>
      </w:pPr>
      <w:r>
        <w:rPr/>
        <w:t>úpravu dat vozidla, účely spojené s bezpečností; snížení kriminality, a komerční služby.</w:t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  <w:t>Tato norma zavádí nejen provozní požadavky v rámci celého konceptu ERI ale z velké části také pro základní ERI. Dále jsou v této normě z důvodů přehlednosti uvedeni potenciální uživatelé systému ERI.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/>
        <w:t xml:space="preserve">Tato norma pracuje s 25 termíny ve vztahu s ERI. Některé z termínů již byly vysvětleny v extraktu první části toho souboru norem.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4 Značky a zkratky</w:t>
      </w:r>
    </w:p>
    <w:p>
      <w:pPr>
        <w:pStyle w:val="Textnormy"/>
        <w:rPr/>
      </w:pPr>
      <w:r>
        <w:rPr/>
        <w:t>Tato norma pracuje s 8 termíny ve vztahu s ERI se zaměřením na testování, vlastnosti a pojmenování zařízení pro elektronickou identifikaci vozidel.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5 Požadavky na systém</w:t>
      </w:r>
    </w:p>
    <w:p>
      <w:pPr>
        <w:pStyle w:val="Textnormy"/>
        <w:rPr/>
      </w:pPr>
      <w:r>
        <w:rPr/>
        <w:t xml:space="preserve">Tato kapitola nejprve ukazuje na obrázku 1 plný kontext systému ERI. Poté se již věnuje vlastnímu popisu požadavků na tag elektronické registrace i na identifikátor elektronické registrace (ERT). </w:t>
      </w:r>
    </w:p>
    <w:p>
      <w:pPr>
        <w:pStyle w:val="Textnormy"/>
        <w:jc w:val="center"/>
        <w:rPr/>
      </w:pPr>
      <w:r>
        <w:rPr>
          <w:lang w:val="en-US" w:eastAsia="en-US"/>
        </w:rPr>
        <w:drawing>
          <wp:inline distT="0" distB="0" distL="0" distR="0">
            <wp:extent cx="4356100" cy="2725420"/>
            <wp:effectExtent l="0" t="0" r="0" b="0"/>
            <wp:docPr id="1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 xml:space="preserve">Obrázek 1 – „Plně vybavený“ systém ERI s palubní komponentou ERT </w:t>
      </w:r>
    </w:p>
    <w:p>
      <w:pPr>
        <w:pStyle w:val="Normal"/>
        <w:rPr/>
      </w:pPr>
      <w:r>
        <w:rPr/>
        <w:t>Hlavní požadavky na  tag elektronické registrace ERT jsou tyto: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ERT </w:t>
      </w:r>
      <w:r>
        <w:rPr>
          <w:u w:val="single"/>
        </w:rPr>
        <w:t>musí</w:t>
      </w:r>
      <w:r>
        <w:rPr/>
        <w:t xml:space="preserve"> obsahovat identifikátor vozidla a </w:t>
      </w:r>
      <w:r>
        <w:rPr>
          <w:u w:val="single"/>
        </w:rPr>
        <w:t>může</w:t>
      </w:r>
      <w:r>
        <w:rPr/>
        <w:t xml:space="preserve"> obsahovat doplňková data o vozidle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ERT </w:t>
      </w:r>
      <w:r>
        <w:rPr>
          <w:u w:val="single"/>
        </w:rPr>
        <w:t>musí</w:t>
      </w:r>
      <w:r>
        <w:rPr/>
        <w:t xml:space="preserve"> přímo či nepřímo komunikovat s čtečkou elektronické registrace ERR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/>
      </w:pPr>
      <w:r>
        <w:rPr/>
        <w:t>V další části této kapitoly norma uvádí víceméně heslovitým způsobem striktní požadavky na:</w:t>
      </w:r>
    </w:p>
    <w:p>
      <w:pPr>
        <w:pStyle w:val="Normal"/>
        <w:numPr>
          <w:ilvl w:val="0"/>
          <w:numId w:val="3"/>
        </w:numPr>
        <w:rPr/>
      </w:pPr>
      <w:r>
        <w:rPr/>
        <w:t>komunikaci ERT s ERR,</w:t>
      </w:r>
    </w:p>
    <w:p>
      <w:pPr>
        <w:pStyle w:val="Normal"/>
        <w:numPr>
          <w:ilvl w:val="0"/>
          <w:numId w:val="3"/>
        </w:numPr>
        <w:rPr/>
      </w:pPr>
      <w:r>
        <w:rPr/>
        <w:t>čtecí vzdálenost mezi ERT a ERR,</w:t>
      </w:r>
    </w:p>
    <w:p>
      <w:pPr>
        <w:pStyle w:val="Normal"/>
        <w:numPr>
          <w:ilvl w:val="0"/>
          <w:numId w:val="3"/>
        </w:numPr>
        <w:rPr/>
      </w:pPr>
      <w:r>
        <w:rPr/>
        <w:t>interoperabilitu mezi různými systémy ERI,</w:t>
      </w:r>
    </w:p>
    <w:p>
      <w:pPr>
        <w:pStyle w:val="Normal"/>
        <w:numPr>
          <w:ilvl w:val="0"/>
          <w:numId w:val="3"/>
        </w:numPr>
        <w:rPr/>
      </w:pPr>
      <w:r>
        <w:rPr/>
        <w:t>vyhrazenou i nevyhrazenou interní paměť tagu ERT,</w:t>
      </w:r>
    </w:p>
    <w:p>
      <w:pPr>
        <w:pStyle w:val="Normal"/>
        <w:numPr>
          <w:ilvl w:val="0"/>
          <w:numId w:val="3"/>
        </w:numPr>
        <w:rPr/>
      </w:pPr>
      <w:r>
        <w:rPr/>
        <w:t>počet čtecích a zapisovacích cyklů,</w:t>
      </w:r>
    </w:p>
    <w:p>
      <w:pPr>
        <w:pStyle w:val="Normal"/>
        <w:numPr>
          <w:ilvl w:val="0"/>
          <w:numId w:val="3"/>
        </w:numPr>
        <w:rPr/>
      </w:pPr>
      <w:r>
        <w:rPr/>
        <w:t>zabezpečení přístupu datům ERI,</w:t>
      </w:r>
    </w:p>
    <w:p>
      <w:pPr>
        <w:pStyle w:val="Normal"/>
        <w:numPr>
          <w:ilvl w:val="0"/>
          <w:numId w:val="3"/>
        </w:numPr>
        <w:rPr/>
      </w:pPr>
      <w:r>
        <w:rPr/>
        <w:t>umístění tagu ERT,</w:t>
      </w:r>
    </w:p>
    <w:p>
      <w:pPr>
        <w:pStyle w:val="Normal"/>
        <w:numPr>
          <w:ilvl w:val="0"/>
          <w:numId w:val="3"/>
        </w:numPr>
        <w:rPr/>
      </w:pPr>
      <w:r>
        <w:rPr/>
        <w:t>mechanickou, elektrickou, visuální a uživatelskou bezpečnost palubního zařízení ERI,</w:t>
      </w:r>
    </w:p>
    <w:p>
      <w:pPr>
        <w:pStyle w:val="Normal"/>
        <w:numPr>
          <w:ilvl w:val="0"/>
          <w:numId w:val="3"/>
        </w:numPr>
        <w:rPr/>
      </w:pPr>
      <w:r>
        <w:rPr/>
        <w:t>parametry prostředí,</w:t>
      </w:r>
    </w:p>
    <w:p>
      <w:pPr>
        <w:pStyle w:val="Normal"/>
        <w:numPr>
          <w:ilvl w:val="0"/>
          <w:numId w:val="3"/>
        </w:numPr>
        <w:rPr/>
      </w:pPr>
      <w:r>
        <w:rPr/>
        <w:t>mechanické a elektronické zabezpečení a ochranu ERI dat a na</w:t>
      </w:r>
    </w:p>
    <w:p>
      <w:pPr>
        <w:pStyle w:val="Normal"/>
        <w:numPr>
          <w:ilvl w:val="0"/>
          <w:numId w:val="3"/>
        </w:numPr>
        <w:rPr/>
      </w:pPr>
      <w:r>
        <w:rPr/>
        <w:t>životnost ERT</w:t>
      </w:r>
    </w:p>
    <w:p>
      <w:pPr>
        <w:pStyle w:val="Normal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6 Klasifikace provozních požadavků</w:t>
      </w:r>
    </w:p>
    <w:p>
      <w:pPr>
        <w:pStyle w:val="Textnormy"/>
        <w:rPr/>
      </w:pPr>
      <w:r>
        <w:rPr/>
        <w:t>Z důvodu zajištění interoperability zařízení ERI, uvádí tato norma různé kategorie podle toho, v jaké míře zařízení vyhovuje daným požadavkům. Kategorie jsou specificky uvedeny pro:</w:t>
      </w:r>
    </w:p>
    <w:p>
      <w:pPr>
        <w:pStyle w:val="Textnormy"/>
        <w:numPr>
          <w:ilvl w:val="0"/>
          <w:numId w:val="4"/>
        </w:numPr>
        <w:rPr/>
      </w:pPr>
      <w:r>
        <w:rPr/>
        <w:t>životnost tagu ERT (7 kategorií od ERT-A0 [</w:t>
      </w:r>
      <w:r>
        <w:rPr>
          <w:lang w:val="en-US"/>
        </w:rPr>
        <w:t xml:space="preserve">&gt;30 let] </w:t>
      </w:r>
      <w:r>
        <w:rPr/>
        <w:t xml:space="preserve">až po ERT-A6 </w:t>
      </w:r>
      <w:r>
        <w:rPr>
          <w:lang w:val="en-US"/>
        </w:rPr>
        <w:t>[&lt;3 roky])</w:t>
      </w:r>
    </w:p>
    <w:p>
      <w:pPr>
        <w:pStyle w:val="Textnormy"/>
        <w:numPr>
          <w:ilvl w:val="0"/>
          <w:numId w:val="4"/>
        </w:numPr>
        <w:rPr/>
      </w:pPr>
      <w:r>
        <w:rPr/>
        <w:t>životnost napájecího zdroje ERT (7 kategorií od ERT-B0 [</w:t>
      </w:r>
      <w:r>
        <w:rPr>
          <w:lang w:val="en-US"/>
        </w:rPr>
        <w:t xml:space="preserve">&gt;15 let] </w:t>
      </w:r>
      <w:r>
        <w:rPr/>
        <w:t xml:space="preserve">až po ERT-B6 </w:t>
      </w:r>
      <w:r>
        <w:rPr>
          <w:lang w:val="en-US"/>
        </w:rPr>
        <w:t>[bez baterie])</w:t>
      </w:r>
    </w:p>
    <w:p>
      <w:pPr>
        <w:pStyle w:val="Textnormy"/>
        <w:numPr>
          <w:ilvl w:val="0"/>
          <w:numId w:val="4"/>
        </w:numPr>
        <w:rPr/>
      </w:pPr>
      <w:r>
        <w:rPr/>
        <w:t>čtecí vzdálenost (9 kategorií od ERT-C1 [1 000 m</w:t>
      </w:r>
      <w:r>
        <w:rPr>
          <w:lang w:val="en-US"/>
        </w:rPr>
        <w:t xml:space="preserve">] </w:t>
      </w:r>
      <w:r>
        <w:rPr/>
        <w:t xml:space="preserve">až po ERT-C9 </w:t>
      </w:r>
      <w:r>
        <w:rPr>
          <w:lang w:val="en-US"/>
        </w:rPr>
        <w:t xml:space="preserve">[0,004 m]) </w:t>
      </w:r>
      <w:r>
        <w:rPr/>
        <w:t>a</w:t>
      </w:r>
    </w:p>
    <w:p>
      <w:pPr>
        <w:pStyle w:val="Textnormy"/>
        <w:numPr>
          <w:ilvl w:val="0"/>
          <w:numId w:val="4"/>
        </w:numPr>
        <w:rPr/>
      </w:pPr>
      <w:r>
        <w:rPr/>
        <w:t>rychlost pojíždějících vozidel (6 kategorií od ERT-D1 [0-500 km/h</w:t>
      </w:r>
      <w:r>
        <w:rPr>
          <w:lang w:val="en-US"/>
        </w:rPr>
        <w:t xml:space="preserve">] </w:t>
      </w:r>
      <w:r>
        <w:rPr/>
        <w:t xml:space="preserve">až po ERT-D6 </w:t>
      </w:r>
      <w:r>
        <w:rPr>
          <w:lang w:val="en-US"/>
        </w:rPr>
        <w:t>[&lt;5 km/h])</w:t>
      </w:r>
      <w:r>
        <w:rPr/>
        <w:t>.</w:t>
      </w:r>
    </w:p>
    <w:p>
      <w:pPr>
        <w:pStyle w:val="Textnormy"/>
        <w:rPr/>
      </w:pPr>
      <w:r>
        <w:rPr/>
        <w:t>Dále v souladu s normou 14815 uvádí 5 kategorií interoperabilního palubního zařízení ERI a to od zodolněného zařízení (kategorie 1) po zařízení splňující vybrané třídy provozních parametrů a parametrů prostředí.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7 Organizační rámec systému ERI</w:t>
      </w:r>
    </w:p>
    <w:p>
      <w:pPr>
        <w:pStyle w:val="Textnormy"/>
        <w:rPr/>
      </w:pPr>
      <w:r>
        <w:rPr/>
        <w:t xml:space="preserve">Tato kapitola pouze odkazuje na dodatek C obsahující seznam stakeholders systému ERI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Dodatek A Příklady uživatelských požadavků a provozních scénářů</w:t>
      </w:r>
    </w:p>
    <w:p>
      <w:pPr>
        <w:pStyle w:val="Textnormy"/>
        <w:rPr/>
      </w:pPr>
      <w:r>
        <w:rPr/>
        <w:t>Tento informativní dodatek obsahuje důležité informace sloužící pro pochopení normy. Ukazuje, jaké by mohly být požadavky a zamýšlené použití (scénáře) systému ERI ze strany vlastníků vozidel, veřejných institucí, automobilového průmyslu a privátních poskytovatelů služeb.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Dodatek B Typické používání tagu ERT</w:t>
      </w:r>
    </w:p>
    <w:p>
      <w:pPr>
        <w:pStyle w:val="Textnormy"/>
        <w:rPr/>
      </w:pPr>
      <w:r>
        <w:rPr/>
        <w:t>Tento informativní dodatek uvádí výčet (posloupnost) typického používání tagu ERT. Na ukázku:</w:t>
      </w:r>
    </w:p>
    <w:p>
      <w:pPr>
        <w:pStyle w:val="Textnormy"/>
        <w:numPr>
          <w:ilvl w:val="0"/>
          <w:numId w:val="8"/>
        </w:numPr>
        <w:rPr/>
      </w:pPr>
      <w:r>
        <w:rPr/>
        <w:t>specifikace typu ERT,</w:t>
      </w:r>
    </w:p>
    <w:p>
      <w:pPr>
        <w:pStyle w:val="Textnormy"/>
        <w:numPr>
          <w:ilvl w:val="0"/>
          <w:numId w:val="8"/>
        </w:numPr>
        <w:rPr/>
      </w:pPr>
      <w:r>
        <w:rPr/>
        <w:t>…</w:t>
      </w:r>
    </w:p>
    <w:p>
      <w:pPr>
        <w:pStyle w:val="Textnormy"/>
        <w:numPr>
          <w:ilvl w:val="0"/>
          <w:numId w:val="8"/>
        </w:numPr>
        <w:rPr/>
      </w:pPr>
      <w:r>
        <w:rPr/>
        <w:t>Instalace ERT do vozidla,</w:t>
      </w:r>
    </w:p>
    <w:p>
      <w:pPr>
        <w:pStyle w:val="Textnormy"/>
        <w:numPr>
          <w:ilvl w:val="0"/>
          <w:numId w:val="8"/>
        </w:numPr>
        <w:rPr/>
      </w:pPr>
      <w:r>
        <w:rPr/>
        <w:t>…</w:t>
      </w:r>
    </w:p>
    <w:p>
      <w:pPr>
        <w:pStyle w:val="Textnormy"/>
        <w:numPr>
          <w:ilvl w:val="0"/>
          <w:numId w:val="8"/>
        </w:numPr>
        <w:rPr/>
      </w:pPr>
      <w:r>
        <w:rPr/>
        <w:t>provozování ERT</w:t>
      </w:r>
    </w:p>
    <w:p>
      <w:pPr>
        <w:pStyle w:val="Textnormy"/>
        <w:numPr>
          <w:ilvl w:val="0"/>
          <w:numId w:val="8"/>
        </w:numPr>
        <w:rPr/>
      </w:pPr>
      <w:r>
        <w:rPr/>
        <w:t>…</w:t>
      </w:r>
    </w:p>
    <w:p>
      <w:pPr>
        <w:pStyle w:val="Textnormy"/>
        <w:numPr>
          <w:ilvl w:val="0"/>
          <w:numId w:val="8"/>
        </w:numPr>
        <w:rPr/>
      </w:pPr>
      <w:r>
        <w:rPr/>
        <w:t>ukončení životnosti tagu ERT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Dodatek C Příklad stakeholdrů systému ERI</w:t>
      </w:r>
    </w:p>
    <w:p>
      <w:pPr>
        <w:pStyle w:val="Textnormy"/>
        <w:rPr/>
      </w:pPr>
      <w:r>
        <w:rPr/>
        <w:t>Tento informativní dodatek obsahuje výčet a pravděpodobné činnosti jednotlivých aktérů systému ERI.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Textnormy"/>
        <w:rPr/>
      </w:pPr>
      <w:r>
        <w:rPr>
          <w:b/>
          <w:sz w:val="22"/>
          <w:szCs w:val="22"/>
        </w:rPr>
      </w:r>
    </w:p>
    <w:p>
      <w:pPr>
        <w:pStyle w:val="Textnormy"/>
        <w:spacing w:before="0" w:after="120"/>
        <w:rPr/>
      </w:pPr>
      <w:r>
        <w:rPr/>
      </w:r>
    </w:p>
    <w:sectPr>
      <w:footerReference w:type="default" r:id="rId3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Wingdings" w:hAnsi="Wingdings" w:cs="StarSymbol;Times New Roman"/>
      <w:sz w:val="18"/>
      <w:szCs w:val="18"/>
    </w:rPr>
  </w:style>
  <w:style w:type="character" w:styleId="WW8Num11z1">
    <w:name w:val="WW8Num11z1"/>
    <w:qFormat/>
    <w:rPr>
      <w:rFonts w:ascii="Wingdings 2" w:hAnsi="Wingdings 2" w:cs="StarSymbol;Times New Roman"/>
      <w:sz w:val="18"/>
      <w:szCs w:val="18"/>
    </w:rPr>
  </w:style>
  <w:style w:type="character" w:styleId="WW8Num11z2">
    <w:name w:val="WW8Num11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0">
    <w:name w:val="WW8Num12z0"/>
    <w:qFormat/>
    <w:rPr>
      <w:rFonts w:ascii="Arial" w:hAnsi="Arial" w:cs="Arial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2z3">
    <w:name w:val="WW8Num12z3"/>
    <w:qFormat/>
    <w:rPr>
      <w:rFonts w:ascii="Wingdings" w:hAnsi="Wingdings" w:cs="StarSymbol;Times New Roman"/>
      <w:sz w:val="18"/>
      <w:szCs w:val="18"/>
    </w:rPr>
  </w:style>
  <w:style w:type="character" w:styleId="WW8Num13z0">
    <w:name w:val="WW8Num13z0"/>
    <w:qFormat/>
    <w:rPr>
      <w:rFonts w:ascii="Arial" w:hAnsi="Arial" w:cs="Arial"/>
      <w:sz w:val="18"/>
      <w:szCs w:val="18"/>
    </w:rPr>
  </w:style>
  <w:style w:type="character" w:styleId="WW8Num13z1">
    <w:name w:val="WW8Num13z1"/>
    <w:qFormat/>
    <w:rPr>
      <w:rFonts w:ascii="Wingdings 2" w:hAnsi="Wingdings 2" w:cs="StarSymbol;Times New Roman"/>
      <w:sz w:val="18"/>
      <w:szCs w:val="18"/>
    </w:rPr>
  </w:style>
  <w:style w:type="character" w:styleId="WW8Num13z2">
    <w:name w:val="WW8Num1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3z3">
    <w:name w:val="WW8Num13z3"/>
    <w:qFormat/>
    <w:rPr>
      <w:rFonts w:ascii="Wingdings" w:hAnsi="Wingdings" w:cs="StarSymbol;Times New Roman"/>
      <w:sz w:val="18"/>
      <w:szCs w:val="18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Nadpis2Char">
    <w:name w:val="Nadpis 2 Char"/>
    <w:basedOn w:val="Standardnpsmoodstavce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TextkomenteChar">
    <w:name w:val="Text komentáře Char"/>
    <w:basedOn w:val="Standardnpsmoodstavce"/>
    <w:qFormat/>
    <w:rPr>
      <w:rFonts w:ascii="Arial" w:hAnsi="Arial" w:cs="Arial"/>
    </w:rPr>
  </w:style>
  <w:style w:type="character" w:styleId="PedmtkomenteChar">
    <w:name w:val="Předmět komentáře Char"/>
    <w:basedOn w:val="TextkomenteChar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Seznamvnorm">
    <w:name w:val="Seznam v normě"/>
    <w:basedOn w:val="Textnormy"/>
    <w:qFormat/>
    <w:pPr>
      <w:numPr>
        <w:ilvl w:val="0"/>
        <w:numId w:val="2"/>
      </w:numPr>
    </w:pPr>
    <w:rPr/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slovanseznam">
    <w:name w:val="Číslovaný seznam"/>
    <w:basedOn w:val="Textnormy"/>
    <w:qFormat/>
    <w:pPr>
      <w:numPr>
        <w:ilvl w:val="0"/>
        <w:numId w:val="6"/>
      </w:numPr>
      <w:ind w:hanging="284" w:start="284" w:end="0"/>
    </w:pPr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2009-05-30T23:46:00Z</dcterms:created>
  <dc:creator>David Bárta</dc:creator>
  <dc:description/>
  <cp:keywords/>
  <dc:language>en-US</dc:language>
  <cp:lastModifiedBy>barta</cp:lastModifiedBy>
  <cp:lastPrinted>2008-08-26T00:25:00Z</cp:lastPrinted>
  <dcterms:modified xsi:type="dcterms:W3CDTF">2010-06-16T18:06:00Z</dcterms:modified>
  <cp:revision>25</cp:revision>
  <dc:subject/>
  <dc:title>ČESKÁ TECHNICKÁ NORMA</dc:title>
</cp:coreProperties>
</file>