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3: </w:t>
            </w:r>
            <w:r>
              <w:rPr>
                <w:rFonts w:cs="Arial"/>
              </w:rPr>
              <w:t>Data o vozidle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40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třetí, část stanovuje </w:t>
      </w:r>
      <w:r>
        <w:rPr>
          <w:b/>
          <w:spacing w:val="-2"/>
        </w:rPr>
        <w:t xml:space="preserve">data o vozidle </w:t>
      </w:r>
      <w:r>
        <w:rPr>
          <w:spacing w:val="-2"/>
        </w:rPr>
        <w:t xml:space="preserve">obsažená v tagu elektronické registrace ERT. </w:t>
      </w:r>
    </w:p>
    <w:p>
      <w:pPr>
        <w:pStyle w:val="Textnormy"/>
        <w:rPr/>
      </w:pPr>
      <w:r>
        <w:rPr/>
        <w:t xml:space="preserve">Tato norma je použitelná pro </w:t>
      </w:r>
      <w:r>
        <w:rPr>
          <w:b/>
        </w:rPr>
        <w:t>výrobce</w:t>
      </w:r>
      <w:r>
        <w:rPr/>
        <w:t xml:space="preserve"> tagů ERI pro to aby věděli, jaké údaje musí a může tag obsahovat. Uvádí jednoznačný identifikátor vozidla i strukturu doplňkových dat o vozidle, ale zároveň nechává mnoho prostoru pro použití vlastního identifikátoru vozidla a vlastních doplňkových dat v případě, že nebudou z některých důvodů v normě uvedené struktury vyhovovat výrobci, uživateli systému.</w:t>
      </w:r>
    </w:p>
    <w:p>
      <w:pPr>
        <w:pStyle w:val="Textnormy"/>
        <w:rPr/>
      </w:pPr>
      <w:r>
        <w:rPr/>
        <w:t xml:space="preserve">Norma je důležitá, díky tomu že stanoví strukturu dat ERI tag i s jednoznačným identifikátorem, i pro </w:t>
      </w:r>
      <w:r>
        <w:rPr>
          <w:b/>
        </w:rPr>
        <w:t>státní sféru</w:t>
      </w:r>
      <w:r>
        <w:rPr/>
        <w:t xml:space="preserve"> a to hlavně pro zadávání výběrových řízení potenciálního systému ERI. Struktura dat ERI ale umožňuje volbu (viz předchozí odstavec), která může vyústit v nejednoznačnost v implementaci. Tato </w:t>
      </w:r>
      <w:r>
        <w:rPr>
          <w:u w:val="single"/>
        </w:rPr>
        <w:t>nejednoznačnost</w:t>
      </w:r>
      <w:r>
        <w:rPr/>
        <w:t xml:space="preserve"> </w:t>
      </w:r>
      <w:r>
        <w:rPr>
          <w:u w:val="single"/>
        </w:rPr>
        <w:t>musí</w:t>
      </w:r>
      <w:r>
        <w:rPr/>
        <w:t xml:space="preserve"> být při použití této normy jako dokumentu k zadávací dokumentaci potenciálního systému ERI odstraněna například přesným udáním údajů, stanovených v normě, které musí tag ERT obsahovat.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3"/>
        </w:numPr>
        <w:rPr/>
      </w:pPr>
      <w:r>
        <w:rPr>
          <w:rFonts w:cs="Arial"/>
        </w:rPr>
        <w:t xml:space="preserve">Část 1: Architektura, Část 2: Provozní požadavky,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>Další souvisící normou je ISO IEC 8824 ASN.1 zápis abstraktní syntaxe.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zavádí jednoznačný identifikátor vozidla a další data o vozidle v rámci systému elektronické registrace ERI založené na jednoznačném identifikátoru, ten je zejména vhodný pro: </w:t>
      </w:r>
    </w:p>
    <w:p>
      <w:pPr>
        <w:pStyle w:val="Normal"/>
        <w:numPr>
          <w:ilvl w:val="0"/>
          <w:numId w:val="3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3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3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Veškerá doplňková data o vozidle jsou </w:t>
      </w:r>
      <w:r>
        <w:rPr>
          <w:b/>
        </w:rPr>
        <w:t>nepovinná</w:t>
      </w:r>
      <w:r>
        <w:rPr/>
        <w:t xml:space="preserve"> a je necháno na uvážení registračního orgánu či jiné „lokální“ autority použít či nepoužít ten který datový prvek stanovený v této normě. Norma uvádí pouze syntax těchto datových prvků.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10 termíny ve vztahu s ERI. Některé z termínů již byly vysvětleny v extraktu první části toho souboru norem.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4 Značky a zkratky</w:t>
      </w:r>
    </w:p>
    <w:p>
      <w:pPr>
        <w:pStyle w:val="Textnormy"/>
        <w:rPr/>
      </w:pPr>
      <w:r>
        <w:rPr/>
        <w:t>Tato norma pracuje s 10 termíny ve vztahu s ERI se zaměřením na syntax (ASN.1) a pojmenování zařízení pro elektronickou identifikaci vozidel (AEI/AVI).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</w:t>
      </w:r>
    </w:p>
    <w:p>
      <w:pPr>
        <w:pStyle w:val="Textnormy"/>
        <w:rPr/>
      </w:pPr>
      <w:r>
        <w:rPr/>
        <w:t xml:space="preserve">V informativní části této kapitoly je zmíněn požadavek na jednoznačný identifikátor vozidla. Běžně se v této situaci používá VIN (vehicle identification number) proto souží jako základní identifikátor. Toto číslo ale není zcela unikátní a může se po30 letech opakovat, jsou známy případy nejednoznačnosti v databázích administrátorů, proto je zde navržena varianta kombinující VIN a kód registrační autority. Tato kombinace by měla být globálně jednoznačná.  </w:t>
      </w:r>
    </w:p>
    <w:p>
      <w:pPr>
        <w:pStyle w:val="Textnormy"/>
        <w:rPr/>
      </w:pPr>
      <w:r>
        <w:rPr/>
        <w:t>Tato norma zavádí také doplňková data, (většinou ta která jsou obsažena v osvědčení registraci vozidla), která mohou být použita pro „navýšení“ důvěryhodnosti identifikátoru vozidla či jako ověřené informace o vozidle pro použití dalšími aplikacemi.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 Identifikátor vozidla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použit pro identifikaci vozidla, jeho definice dle ASN.1 je uvedena na následujícím schématu, ze kterého je zřejmé, že tento datový element může nabývat dvou tvarů. Prvním z nich je samotné VIN odpovídající kódovému schématu CS5, tak jak je stanoveno v normě ISO 14816. Druhým je specifický identifikátor složený z identifikátoru výrobce WMI a jednoznačného (ale blíže nespecifikovaného), řetězce znaků. Norma říká, že tento druhý identifikátor musí být jednoznačný, ale nestanovuje ani jeho strukturu ani jak toho docílit.</w:t>
      </w:r>
    </w:p>
    <w:p>
      <w:pPr>
        <w:pStyle w:val="Textnormy"/>
        <w:rPr/>
      </w:pPr>
      <w:r>
        <w:rPr/>
        <w:drawing>
          <wp:inline distT="0" distB="0" distL="0" distR="0">
            <wp:extent cx="5749925" cy="9620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18" r="-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ASN.1 definice jednoznačného identifikátoru vozidla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</w:p>
    <w:p>
      <w:pPr>
        <w:pStyle w:val="Textnormy"/>
        <w:rPr/>
      </w:pPr>
      <w:r>
        <w:rPr/>
        <w:t xml:space="preserve">V poznámce norma uvádí, že při čtení identifikátoru vozidla externím zařízením z tagu elektronické registrace ERT se vždy předávají také identifikátor registrační autority a jednoznačný kód ERT. Tyto kódy pak „prý“ (není řečeno jak) použity pro rozhodnutí potenciálních pří o VIN vozidla. 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5.3 Datový typ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EriData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data ERI. Norma uvádí sekvenci, dle ASN.1 identifikátoru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a volitelné struktury doplňkových dat o vozidle „</w:t>
      </w:r>
      <w:r>
        <w:rPr>
          <w:rFonts w:cs="Courier New" w:ascii="Courier New" w:hAnsi="Courier New"/>
          <w:i/>
        </w:rPr>
        <w:t>additionallEriData“</w:t>
      </w:r>
      <w:r>
        <w:rPr/>
        <w:t>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539105" cy="5435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0" r="-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54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ASN.1 definice datové struktury používané v ERI nejen pro identifikaci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5.4 Datový typ doplňková data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AdditionalEriData</w:t>
      </w:r>
      <w:r>
        <w:rPr/>
        <w:t>“ je volitelný a stejně jako identifikátor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obsahuje volbu mezi v normě stanovenou strukturou doplňkových dat ERI o registraci a v normě nestanovenou, neznámou, strukturu omezenou pouze velikostí. Tato nestanovená struktura opět dává možnost k použití vlastních dat o vozidle a to pravděpodobně z důvodů zachování kompatibility s místě specifickými systémy.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5.5 Datový typ doplňková data ERI o registraci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AdditionalEriRegistrationData</w:t>
      </w:r>
      <w:r>
        <w:rPr/>
        <w:t>“ obsahuje sekvenci informací o vozidle tak jak jsou uvedeny v osvědčení o registraci. Všechny části datové struktury, která je (pouze, nikoliv strukturálně) logicky rozčleněna na:</w:t>
      </w:r>
    </w:p>
    <w:p>
      <w:pPr>
        <w:pStyle w:val="Textnormy"/>
        <w:numPr>
          <w:ilvl w:val="0"/>
          <w:numId w:val="5"/>
        </w:numPr>
        <w:rPr/>
      </w:pPr>
      <w:r>
        <w:rPr/>
        <w:t>administrativní údaje (registrační úřad, datum registrace, číslo karosérie, RZ,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typu vozidla (model, typ, popis, barva, kategorie,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tvaru vozidla (výška, šířka, délka, typ podle ISO 3833,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počtu pasažérů, os a váze a</w:t>
      </w:r>
    </w:p>
    <w:p>
      <w:pPr>
        <w:pStyle w:val="Textnormy"/>
        <w:numPr>
          <w:ilvl w:val="0"/>
          <w:numId w:val="5"/>
        </w:numPr>
        <w:rPr/>
      </w:pPr>
      <w:r>
        <w:rPr/>
        <w:t>parametry prostředí (emise, euro typ, hluk, a další) a</w:t>
      </w:r>
    </w:p>
    <w:p>
      <w:pPr>
        <w:pStyle w:val="Textnormy"/>
        <w:numPr>
          <w:ilvl w:val="0"/>
          <w:numId w:val="5"/>
        </w:numPr>
        <w:rPr/>
      </w:pPr>
      <w:r>
        <w:rPr/>
        <w:t>další nezatříděné údaje</w:t>
      </w:r>
    </w:p>
    <w:p>
      <w:pPr>
        <w:pStyle w:val="Textnormy"/>
        <w:rPr/>
      </w:pPr>
      <w:r>
        <w:rPr/>
        <w:t>jsou volitelné. Popis těchto údajů, jejich význam a hodnoty jakých mohou nabývat je uveden v další části této kapitoly. K zjednodušení interpretace nejčastěji používaných údajů jsou do této kapitoly začleněny stanovení z jiných odkazovaných norem. Pokud by, ale čtenář potřeboval podrobně „rozklíčovat“ všechny údaje uvedené v struktuře „</w:t>
      </w:r>
      <w:r>
        <w:rPr>
          <w:rFonts w:cs="Courier New" w:ascii="Courier New" w:hAnsi="Courier New"/>
          <w:i/>
        </w:rPr>
        <w:t xml:space="preserve">AdditionalEriRegistrationData“ </w:t>
      </w:r>
      <w:r>
        <w:rPr/>
        <w:t>musí použít i další normy.</w:t>
      </w:r>
      <w:r>
        <w:rPr>
          <w:rFonts w:cs="Courier New" w:ascii="Courier New" w:hAnsi="Courier New"/>
          <w:i/>
        </w:rPr>
        <w:t xml:space="preserve">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5.6 Kódování</w:t>
      </w:r>
    </w:p>
    <w:p>
      <w:pPr>
        <w:pStyle w:val="Textnormy"/>
        <w:rPr/>
      </w:pPr>
      <w:r>
        <w:rPr/>
        <w:t xml:space="preserve">Při výměně informací mezi ERR a ERT musí být ERI data zakódována podle kanonických pravidel pro kódování (CANONICAL-PER) varianty ZAROVNANÉ, tak jak je stanoveno v ISO/IEC 8825-2.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Dodatek A Modul ASN.1 </w:t>
      </w:r>
    </w:p>
    <w:p>
      <w:pPr>
        <w:pStyle w:val="Textnormy"/>
        <w:rPr/>
      </w:pPr>
      <w:r>
        <w:rPr/>
        <w:t>Tento normativní dodatek obsahuje všechny deklarace typů uvedené v této normě ve formě modulu ASN.1. Tato forma umožňuje snadný import struktury do softwarových nástrojů používaných pro vývoj, validaci a výrobu ERI systémů, (či v jiných normách jiných systémů). Požadavek na zahrnutí Modulu ASN.1 do každé normy je standardní.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Propojení dat ERI a požadavků „lokální“ registrace</w:t>
      </w:r>
    </w:p>
    <w:p>
      <w:pPr>
        <w:pStyle w:val="Textnormy"/>
        <w:rPr/>
      </w:pPr>
      <w:r>
        <w:rPr/>
        <w:t xml:space="preserve">Tento informativní dodatek ukazuje mapování mezi daty ERI a ustanovením pro osvědčení o registraci vozidel na dvou konkrétních případech z EU a Japonska. Jedná se o mapování (harmonizaci) dvou datových struktur. </w:t>
      </w:r>
    </w:p>
    <w:p>
      <w:pPr>
        <w:pStyle w:val="Textnormy"/>
        <w:rPr/>
      </w:pPr>
      <w:r>
        <w:rPr/>
        <w:t>Například pod harmonizovaným kódem D. 1, evropského osvědčení o registraci vozidel, se nachází datový prvek „</w:t>
      </w:r>
      <w:r>
        <w:rPr>
          <w:rFonts w:cs="Courier New" w:ascii="Courier New" w:hAnsi="Courier New"/>
          <w:i/>
        </w:rPr>
        <w:t>Make</w:t>
      </w:r>
      <w:r>
        <w:rPr/>
        <w:t>“, který odpovídá datovému prvku „</w:t>
      </w:r>
      <w:r>
        <w:rPr>
          <w:rFonts w:cs="Courier New" w:ascii="Courier New" w:hAnsi="Courier New"/>
          <w:i/>
        </w:rPr>
        <w:t>vehicleMake</w:t>
      </w:r>
      <w:r>
        <w:rPr/>
        <w:t>“ ve struktuře ERI dat.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 </w:t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4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2010-06-16T18:07:00Z</dcterms:modified>
  <cp:revision>36</cp:revision>
  <dc:subject/>
  <dc:title>ČESKÁ TECHNICKÁ NORMA</dc:title>
</cp:coreProperties>
</file>