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spacing w:before="0" w:after="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EXTRAKT z technické specifikace ISO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16"/>
        </w:rPr>
      </w:pPr>
      <w:r>
        <w:rPr>
          <w:b/>
          <w:sz w:val="16"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sz w:val="16"/>
        </w:rPr>
      </w:pPr>
      <w:r>
        <w:rPr>
          <w:sz w:val="16"/>
        </w:rPr>
        <w:t>ICS 35.240.60; 03.220.01</w:t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 xml:space="preserve">Dopravní a cestovní informace (TTI) – Zprávy TTI předávané označovacím jazykem </w:t>
              <w:br/>
              <w:t xml:space="preserve">s možností rozšíření Expertní skupiny </w:t>
              <w:br/>
              <w:t xml:space="preserve">protokolů pro dopravu (TPEG) </w:t>
            </w:r>
          </w:p>
          <w:p>
            <w:pPr>
              <w:pStyle w:val="1StrCN"/>
              <w:rPr/>
            </w:pPr>
            <w:r>
              <w:rPr/>
              <w:t>Část 8: Aplikace pro informace o kongescích a době jízdy (TPEG-CTT)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br/>
              <w:t>ISO/DTS 18234-8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01 8256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ab/>
        <w:t>25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>Tato osmá část technické specifikace je součástí technických specifikací zaměřených na inteligentní dopravní systémy a poskytování dopravních informací. ISO/TS 18234 se skládá z následujících dílčích částí, pod obecným názvem Inteligentní Dopravní Systémy - Dopravní a cestovní informace (TTI) – Zprávy TTI předávané označovacím jazykem s možností rozšíření Expertní skupiny protokolů pro dopravu (TPEG), část 8: Aplikace pro informace o kongescích a době jízdy (TPEG-CTT), formát binárních dat: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>
          <w:rFonts w:cs="Arial"/>
        </w:rPr>
      </w:pPr>
      <w:r>
        <w:rPr>
          <w:rFonts w:cs="Arial"/>
        </w:rPr>
        <w:t>Část 1: Úvod, číslování a verze (TPEG-INV)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/>
      </w:pPr>
      <w:r>
        <w:rPr>
          <w:rFonts w:cs="Arial"/>
        </w:rPr>
        <w:t>Část 2: Syntax, sémantika a rámování struktura (TPEG-SSF)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/>
      </w:pPr>
      <w:r>
        <w:rPr>
          <w:rFonts w:cs="Arial"/>
        </w:rPr>
        <w:t>Část 3: Aplikace služeb a informační sítě (TPEG-SNI)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/>
      </w:pPr>
      <w:r>
        <w:rPr>
          <w:rFonts w:cs="Arial"/>
        </w:rPr>
        <w:t>Část 4: Použití zpráv silniční dopravy (TPEG-RTM)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/>
      </w:pPr>
      <w:r>
        <w:rPr>
          <w:rFonts w:cs="Arial"/>
        </w:rPr>
        <w:t xml:space="preserve">Část 5: </w:t>
      </w:r>
      <w:r>
        <w:rPr>
          <w:rStyle w:val="def"/>
        </w:rPr>
        <w:t>Informace o veřejné dopravě</w:t>
      </w:r>
      <w:r>
        <w:rPr/>
        <w:t xml:space="preserve"> (TPEG-PTI)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/>
      </w:pPr>
      <w:r>
        <w:rPr>
          <w:rFonts w:cs="Arial"/>
        </w:rPr>
        <w:t>Část 6: Odkazování na polohu, používané v souvislosti s ostatními způsoby využití (TPEG</w:t>
        <w:noBreakHyphen/>
        <w:t>LOC)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/>
      </w:pPr>
      <w:r>
        <w:rPr>
          <w:rFonts w:cs="Arial"/>
        </w:rPr>
        <w:t>Část 7: Informace o parkování (TPEG-PKI)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>
          <w:b/>
        </w:rPr>
      </w:pPr>
      <w:r>
        <w:rPr>
          <w:b/>
        </w:rPr>
        <w:t>Část 8: Aplikace pro informace o kongescích a době jízdy (TPEG-CTT)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/>
      </w:pPr>
      <w:r>
        <w:rPr>
          <w:rFonts w:cs="Arial"/>
        </w:rPr>
        <w:t xml:space="preserve">Část 9: </w:t>
      </w:r>
      <w:r>
        <w:rPr/>
        <w:t>Stručné dopravní události</w:t>
      </w:r>
      <w:r>
        <w:rPr>
          <w:rFonts w:cs="Arial"/>
        </w:rPr>
        <w:t xml:space="preserve"> (TPEG-TEC)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/>
      </w:pPr>
      <w:r>
        <w:rPr>
          <w:rFonts w:cs="Arial"/>
        </w:rPr>
        <w:t xml:space="preserve">Část 10: </w:t>
      </w:r>
      <w:r>
        <w:rPr/>
        <w:t>Podmíněný přístup k informacím</w:t>
      </w:r>
      <w:r>
        <w:rPr>
          <w:rFonts w:cs="Arial"/>
        </w:rPr>
        <w:t xml:space="preserve"> (TPEG-CAI)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/>
      </w:pPr>
      <w:r>
        <w:rPr/>
        <w:t>Část 11: Lokace označených kontejnerů (TPEG-LRC)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/>
      </w:pPr>
      <w:r>
        <w:rPr/>
        <w:t>Tato technická specifikace stanoví způsob doručení zpráv o dopravní kongesci a cestovních časů v rámci služby protokolu TPEG.</w:t>
      </w:r>
    </w:p>
    <w:p>
      <w:pPr>
        <w:pStyle w:val="Textnormy"/>
        <w:rPr/>
      </w:pPr>
      <w:r>
        <w:rPr/>
        <w:t>Dopravní zácpy jsou dnes vážným problémem v městských oblastech. Dopravní zácpy jsou především způsobeny nedostatečným informováním řidičů a stavu dopravy. Včasné informování řidičů a všeobecně účastníků provozu o cestovním čase dokáže snížit riziko vzniku dopravních kongescí a  poskytování informací o samotné dopravní kongesci dokáže omezit následky tohoto dopravního excesu.</w:t>
      </w:r>
    </w:p>
    <w:p>
      <w:pPr>
        <w:pStyle w:val="Textnormy"/>
        <w:rPr/>
      </w:pPr>
      <w:r>
        <w:rPr/>
        <w:t xml:space="preserve">TPEG zprávy o kongesci a cestovním čase jsou navrženy tak, aby poskytly informace různým druhům přijímačů s využitím digitálního vysílání a internetových technologií. Informace o dopravních kongescích a cestovním čase mohou být prezentovány uživateli mnoha různými způsoby v podobě textu, zvuku, nebo graficky pomocí standardizovaných formátů. Tato aplikace slouží jako nezávislý efektivní jazyk pro poskytování silničních informací přímo od poskytovatele služeb konečným uživatelům.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Tato technická specifikace informuje o možnostech poskytování informací účastníkům silničního a  veřejného provozu. Tato technická specifikace se nezabývá technickou částí možností přenosu informací, ale definuje způsob komprese informací o definovaných dopravních excesech a jiných dopravních informacích. Definuje způsob zpracování a předání dopravních informací pro rychlé a  srozumitelné předání informace od poskytovatele, až koncovému uživateli. Technická zpráva je určena především společnosti zabývající se přenosem informací a dopravní telematikou, ale také společnostem a vlastníkům spravujícím pozemní komunikace a dopravně informační centra.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Souvisící normy</w:t>
      </w:r>
    </w:p>
    <w:p>
      <w:pPr>
        <w:pStyle w:val="Textnormy"/>
        <w:rPr/>
      </w:pPr>
      <w:r>
        <w:rPr>
          <w:rStyle w:val="hps"/>
        </w:rPr>
        <w:t>Následující dokumenty</w:t>
      </w:r>
      <w:r>
        <w:rPr/>
        <w:t xml:space="preserve"> </w:t>
      </w:r>
      <w:r>
        <w:rPr>
          <w:rStyle w:val="hps"/>
        </w:rPr>
        <w:t>jsou</w:t>
      </w:r>
      <w:r>
        <w:rPr/>
        <w:t xml:space="preserve"> </w:t>
      </w:r>
      <w:r>
        <w:rPr>
          <w:rStyle w:val="hps"/>
        </w:rPr>
        <w:t>nepostradatelné pro používání</w:t>
      </w:r>
      <w:r>
        <w:rPr/>
        <w:t xml:space="preserve"> </w:t>
      </w:r>
      <w:r>
        <w:rPr>
          <w:rStyle w:val="hps"/>
        </w:rPr>
        <w:t>technické zprávy</w:t>
      </w:r>
      <w:r>
        <w:rPr/>
        <w:t xml:space="preserve"> ISO/TS 18234-1, ISO/TS 18234-2, ISO/TS 18234-3, ISO/TS 18234-4, ISO/TS 18234-5, ISO/TS 18234-6, ISO 17572-2, ISO/IEC 7498-1.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 </w:t>
        <w:tab/>
        <w:t>Předmět normy</w:t>
      </w:r>
    </w:p>
    <w:p>
      <w:pPr>
        <w:pStyle w:val="Textnormy"/>
        <w:rPr/>
      </w:pPr>
      <w:r>
        <w:rPr/>
        <w:t>Tato technická specifikace definuje formu předávaných informací pomocí definovaného protokolu TPEG. Je pevně stanovena struktura zprávy, která jsou podávány a jsou striktně definovány způsoby komprese předávané informace do binární formy dat, která dále přenáší zmiňovanou strukturou samotné zprávy. Samotné komunikační rozhraní po technické stránce není řešeno. Technická specifikace obsahuje i základní tabulky pro práci s informacemi a zpětné dekomprese komprimované informace ve zprávě u uživatele.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 </w:t>
        <w:tab/>
        <w:t>Termíny a definice</w:t>
      </w:r>
    </w:p>
    <w:p>
      <w:pPr>
        <w:pStyle w:val="Textnormy"/>
        <w:rPr/>
      </w:pPr>
      <w:r>
        <w:rPr/>
        <w:t>Definice v této technické specifikaci jsou odvozeny z definic datového slovníku DATEX (ENV 13106) až na následující výjimky:</w:t>
      </w:r>
    </w:p>
    <w:p>
      <w:pPr>
        <w:pStyle w:val="Textnormy"/>
        <w:rPr>
          <w:b/>
        </w:rPr>
      </w:pPr>
      <w:r>
        <w:rPr>
          <w:b/>
        </w:rPr>
        <w:t>4.1 CRI - cross reference informatik</w:t>
      </w:r>
    </w:p>
    <w:p>
      <w:pPr>
        <w:pStyle w:val="Textnormy"/>
        <w:rPr/>
      </w:pPr>
      <w:r>
        <w:rPr>
          <w:rStyle w:val="hps"/>
        </w:rPr>
        <w:t>Odkaz na</w:t>
      </w:r>
      <w:r>
        <w:rPr/>
        <w:t xml:space="preserve"> </w:t>
      </w:r>
      <w:r>
        <w:rPr>
          <w:rStyle w:val="hps"/>
        </w:rPr>
        <w:t>jedno nebo</w:t>
      </w:r>
      <w:r>
        <w:rPr/>
        <w:t xml:space="preserve"> </w:t>
      </w:r>
      <w:r>
        <w:rPr>
          <w:rStyle w:val="hps"/>
        </w:rPr>
        <w:t>více zpráv</w:t>
      </w:r>
      <w:r>
        <w:rPr/>
        <w:t xml:space="preserve"> </w:t>
      </w:r>
      <w:r>
        <w:rPr>
          <w:rStyle w:val="hps"/>
        </w:rPr>
        <w:t>ve stejné</w:t>
      </w:r>
      <w:r>
        <w:rPr/>
        <w:t xml:space="preserve">, </w:t>
      </w:r>
      <w:r>
        <w:rPr>
          <w:rStyle w:val="hps"/>
        </w:rPr>
        <w:t>nebo</w:t>
      </w:r>
      <w:r>
        <w:rPr/>
        <w:t xml:space="preserve"> </w:t>
      </w:r>
      <w:r>
        <w:rPr>
          <w:rStyle w:val="hps"/>
        </w:rPr>
        <w:t>jiné</w:t>
      </w:r>
      <w:r>
        <w:rPr/>
        <w:t xml:space="preserve"> </w:t>
      </w:r>
      <w:r>
        <w:rPr>
          <w:rStyle w:val="hps"/>
        </w:rPr>
        <w:t>TPEG</w:t>
      </w:r>
      <w:r>
        <w:rPr/>
        <w:t xml:space="preserve"> </w:t>
      </w:r>
      <w:r>
        <w:rPr>
          <w:rStyle w:val="hps"/>
        </w:rPr>
        <w:t>službě</w:t>
      </w:r>
      <w:r>
        <w:rPr/>
        <w:t>.</w:t>
      </w:r>
    </w:p>
    <w:p>
      <w:pPr>
        <w:pStyle w:val="Textnormy"/>
        <w:rPr>
          <w:b/>
        </w:rPr>
      </w:pPr>
      <w:r>
        <w:rPr>
          <w:b/>
        </w:rPr>
        <w:t>4.2 EVE - event description</w:t>
      </w:r>
    </w:p>
    <w:p>
      <w:pPr>
        <w:pStyle w:val="Textnormy"/>
        <w:rPr>
          <w:b/>
        </w:rPr>
      </w:pPr>
      <w:r>
        <w:rPr>
          <w:rStyle w:val="hps"/>
        </w:rPr>
        <w:t>Část</w:t>
      </w:r>
      <w:r>
        <w:rPr/>
        <w:t xml:space="preserve"> </w:t>
      </w:r>
      <w:r>
        <w:rPr>
          <w:rStyle w:val="hps"/>
        </w:rPr>
        <w:t>zprávy</w:t>
      </w:r>
      <w:r>
        <w:rPr/>
        <w:t xml:space="preserve"> </w:t>
      </w:r>
      <w:r>
        <w:rPr>
          <w:rStyle w:val="hps"/>
        </w:rPr>
        <w:t>popisující</w:t>
      </w:r>
      <w:r>
        <w:rPr/>
        <w:t xml:space="preserve"> </w:t>
      </w:r>
      <w:r>
        <w:rPr>
          <w:rStyle w:val="hps"/>
        </w:rPr>
        <w:t>událost</w:t>
      </w:r>
      <w:r>
        <w:rPr/>
        <w:t xml:space="preserve">, </w:t>
      </w:r>
      <w:r>
        <w:rPr>
          <w:rStyle w:val="hps"/>
        </w:rPr>
        <w:t>neplánované</w:t>
      </w:r>
      <w:r>
        <w:rPr/>
        <w:t xml:space="preserve"> </w:t>
      </w:r>
      <w:r>
        <w:rPr>
          <w:rStyle w:val="hps"/>
        </w:rPr>
        <w:t>či plánované</w:t>
      </w:r>
      <w:r>
        <w:rPr/>
        <w:t xml:space="preserve"> dopravního </w:t>
      </w:r>
      <w:r>
        <w:rPr>
          <w:rStyle w:val="hps"/>
        </w:rPr>
        <w:t>omezení na</w:t>
      </w:r>
      <w:r>
        <w:rPr/>
        <w:t xml:space="preserve"> silniční komunikační síti nebo </w:t>
      </w:r>
      <w:r>
        <w:rPr>
          <w:rStyle w:val="hps"/>
        </w:rPr>
        <w:t>informace o stavu dopravy</w:t>
      </w:r>
      <w:r>
        <w:rPr/>
        <w:t xml:space="preserve">, </w:t>
      </w:r>
      <w:r>
        <w:rPr>
          <w:rStyle w:val="hps"/>
        </w:rPr>
        <w:t>včetně</w:t>
      </w:r>
      <w:r>
        <w:rPr/>
        <w:t xml:space="preserve"> </w:t>
      </w:r>
      <w:r>
        <w:rPr>
          <w:rStyle w:val="hps"/>
        </w:rPr>
        <w:t>kvalifikantů</w:t>
      </w:r>
      <w:r>
        <w:rPr/>
        <w:t xml:space="preserve"> </w:t>
      </w:r>
      <w:r>
        <w:rPr>
          <w:rStyle w:val="hps"/>
        </w:rPr>
        <w:t>a kvantifikátorů</w:t>
      </w:r>
      <w:r>
        <w:rPr/>
        <w:t>.</w:t>
      </w:r>
    </w:p>
    <w:p>
      <w:pPr>
        <w:pStyle w:val="Textnormy"/>
        <w:rPr>
          <w:b/>
        </w:rPr>
      </w:pPr>
      <w:r>
        <w:rPr>
          <w:b/>
        </w:rPr>
        <w:t>4.3 Location referencing</w:t>
      </w:r>
    </w:p>
    <w:p>
      <w:pPr>
        <w:pStyle w:val="Textnormy"/>
        <w:rPr>
          <w:rStyle w:val="hps"/>
        </w:rPr>
      </w:pPr>
      <w:r>
        <w:rPr/>
        <w:t xml:space="preserve">Metoda </w:t>
      </w:r>
      <w:r>
        <w:rPr>
          <w:rStyle w:val="hps"/>
        </w:rPr>
        <w:t>odkazování na</w:t>
      </w:r>
      <w:r>
        <w:rPr/>
        <w:t xml:space="preserve"> </w:t>
      </w:r>
      <w:r>
        <w:rPr>
          <w:rStyle w:val="hps"/>
        </w:rPr>
        <w:t>umístění</w:t>
      </w:r>
      <w:r>
        <w:rPr/>
        <w:t xml:space="preserve"> </w:t>
      </w:r>
      <w:r>
        <w:rPr>
          <w:rStyle w:val="hps"/>
        </w:rPr>
        <w:t>s cílem usnadnit</w:t>
      </w:r>
      <w:r>
        <w:rPr/>
        <w:t xml:space="preserve"> </w:t>
      </w:r>
      <w:r>
        <w:rPr>
          <w:rStyle w:val="hps"/>
        </w:rPr>
        <w:t>výměnu</w:t>
      </w:r>
      <w:r>
        <w:rPr/>
        <w:t xml:space="preserve"> </w:t>
      </w:r>
      <w:r>
        <w:rPr>
          <w:rStyle w:val="hps"/>
        </w:rPr>
        <w:t>informací týkajících se</w:t>
      </w:r>
      <w:r>
        <w:rPr/>
        <w:t xml:space="preserve"> </w:t>
      </w:r>
      <w:r>
        <w:rPr>
          <w:rStyle w:val="hps"/>
        </w:rPr>
        <w:t>umístění</w:t>
      </w:r>
      <w:r>
        <w:rPr/>
        <w:t xml:space="preserve"> </w:t>
      </w:r>
      <w:r>
        <w:rPr>
          <w:rStyle w:val="hps"/>
        </w:rPr>
        <w:t>mezi různými systémy.</w:t>
      </w:r>
    </w:p>
    <w:p>
      <w:pPr>
        <w:pStyle w:val="Textnormy"/>
        <w:rPr>
          <w:b/>
        </w:rPr>
      </w:pPr>
      <w:r>
        <w:rPr>
          <w:b/>
        </w:rPr>
        <w:t>4.4 Message</w:t>
      </w:r>
    </w:p>
    <w:p>
      <w:pPr>
        <w:pStyle w:val="Textnormy"/>
        <w:rPr/>
      </w:pPr>
      <w:r>
        <w:rPr/>
        <w:t xml:space="preserve">Sbírka </w:t>
      </w:r>
      <w:r>
        <w:rPr>
          <w:rStyle w:val="hps"/>
        </w:rPr>
        <w:t>konzistentních informací</w:t>
      </w:r>
      <w:r>
        <w:rPr/>
        <w:t xml:space="preserve"> </w:t>
      </w:r>
      <w:r>
        <w:rPr>
          <w:rStyle w:val="hps"/>
        </w:rPr>
        <w:t>odeslána</w:t>
      </w:r>
      <w:r>
        <w:rPr/>
        <w:t xml:space="preserve"> </w:t>
      </w:r>
      <w:r>
        <w:rPr>
          <w:rStyle w:val="hps"/>
        </w:rPr>
        <w:t>prostřednictvím informačního</w:t>
      </w:r>
      <w:r>
        <w:rPr/>
        <w:t xml:space="preserve"> </w:t>
      </w:r>
      <w:r>
        <w:rPr>
          <w:rStyle w:val="hps"/>
        </w:rPr>
        <w:t>kanálu</w:t>
      </w:r>
      <w:r>
        <w:rPr/>
        <w:t xml:space="preserve">. </w:t>
      </w:r>
      <w:r>
        <w:rPr>
          <w:rStyle w:val="hps"/>
        </w:rPr>
        <w:t>Popisuje</w:t>
      </w:r>
      <w:r>
        <w:rPr/>
        <w:t xml:space="preserve"> </w:t>
      </w:r>
      <w:r>
        <w:rPr>
          <w:rStyle w:val="hps"/>
        </w:rPr>
        <w:t>událost nebo</w:t>
      </w:r>
      <w:r>
        <w:rPr/>
        <w:t xml:space="preserve"> </w:t>
      </w:r>
      <w:r>
        <w:rPr>
          <w:rStyle w:val="hps"/>
        </w:rPr>
        <w:t>sbírku událostí</w:t>
      </w:r>
      <w:r>
        <w:rPr/>
        <w:t xml:space="preserve">, </w:t>
      </w:r>
      <w:r>
        <w:rPr>
          <w:rStyle w:val="hps"/>
        </w:rPr>
        <w:t>nebo</w:t>
      </w:r>
      <w:r>
        <w:rPr/>
        <w:t xml:space="preserve"> </w:t>
      </w:r>
      <w:r>
        <w:rPr>
          <w:rStyle w:val="hps"/>
        </w:rPr>
        <w:t>informace o dopravě obsahující informaci o dopravním opatření, které je obsaženo v</w:t>
      </w:r>
      <w:r>
        <w:rPr/>
        <w:t xml:space="preserve"> </w:t>
      </w:r>
      <w:r>
        <w:rPr>
          <w:rStyle w:val="hps"/>
        </w:rPr>
        <w:t>záhlaví zprávy</w:t>
      </w:r>
      <w:r>
        <w:rPr/>
        <w:t>.</w:t>
      </w:r>
    </w:p>
    <w:p>
      <w:pPr>
        <w:pStyle w:val="Textnormy"/>
        <w:rPr>
          <w:b/>
        </w:rPr>
      </w:pPr>
      <w:r>
        <w:rPr>
          <w:b/>
        </w:rPr>
        <w:t xml:space="preserve">4.5 MET  - message expiry time </w:t>
      </w:r>
    </w:p>
    <w:p>
      <w:pPr>
        <w:pStyle w:val="Textnormy"/>
        <w:rPr/>
      </w:pPr>
      <w:r>
        <w:rPr/>
        <w:t>Datum a čas v souladu s EN ISO 8601, kdy má být zpráva odstraněna ze všech TPEG-dekodérů</w:t>
      </w:r>
    </w:p>
    <w:p>
      <w:pPr>
        <w:pStyle w:val="Textnormy"/>
        <w:rPr>
          <w:b/>
        </w:rPr>
      </w:pPr>
      <w:r>
        <w:rPr>
          <w:b/>
        </w:rPr>
        <w:t>4.6 MGT  - message generation time</w:t>
      </w:r>
    </w:p>
    <w:p>
      <w:pPr>
        <w:pStyle w:val="Textnormy"/>
        <w:rPr/>
      </w:pPr>
      <w:r>
        <w:rPr/>
        <w:t>Razítko data a času v souladu s EN ISO 8601 vzniku zprávy</w:t>
      </w:r>
    </w:p>
    <w:p>
      <w:pPr>
        <w:pStyle w:val="Textnormy"/>
        <w:rPr>
          <w:b/>
        </w:rPr>
      </w:pPr>
      <w:r>
        <w:rPr>
          <w:b/>
        </w:rPr>
        <w:t xml:space="preserve">4.7 MID  - message identifier </w:t>
      </w:r>
    </w:p>
    <w:p>
      <w:pPr>
        <w:pStyle w:val="Textnormy"/>
        <w:rPr/>
      </w:pPr>
      <w:r>
        <w:rPr/>
        <w:t>Jedinečný identifikátor pro posloupnost verzí jedné zprávy týkající se konkrétního případu.</w:t>
      </w:r>
    </w:p>
    <w:p>
      <w:pPr>
        <w:pStyle w:val="Textnormy"/>
        <w:rPr>
          <w:b/>
        </w:rPr>
      </w:pPr>
      <w:r>
        <w:rPr>
          <w:b/>
        </w:rPr>
        <w:t>4.8 Position</w:t>
      </w:r>
    </w:p>
    <w:p>
      <w:pPr>
        <w:pStyle w:val="Textnormy"/>
        <w:rPr/>
      </w:pPr>
      <w:r>
        <w:rPr/>
        <w:t>Definice místa vzniku vzhledem k návrhovým vlastnostem řezu komunikace v místě události.</w:t>
      </w:r>
    </w:p>
    <w:p>
      <w:pPr>
        <w:pStyle w:val="Textnormy"/>
        <w:rPr>
          <w:b/>
        </w:rPr>
      </w:pPr>
      <w:r>
        <w:rPr>
          <w:b/>
        </w:rPr>
        <w:t xml:space="preserve">4.9 SEV - severity factor </w:t>
      </w:r>
    </w:p>
    <w:p>
      <w:pPr>
        <w:pStyle w:val="Textnormy"/>
        <w:rPr/>
      </w:pPr>
      <w:r>
        <w:rPr/>
        <w:t>Výše narušení provozu.</w:t>
      </w:r>
    </w:p>
    <w:p>
      <w:pPr>
        <w:pStyle w:val="Textnormy"/>
        <w:rPr>
          <w:b/>
        </w:rPr>
      </w:pPr>
      <w:r>
        <w:rPr>
          <w:b/>
        </w:rPr>
        <w:t xml:space="preserve">4.10 STA - start time </w:t>
      </w:r>
    </w:p>
    <w:p>
      <w:pPr>
        <w:pStyle w:val="Textnormy"/>
        <w:rPr/>
      </w:pPr>
      <w:r>
        <w:rPr/>
        <w:t>Datum a čas v souladu s EN ISO 8601, ve které událost, nebo informace o stavu dopravy, začala nebo má či by měla být zahájena</w:t>
      </w:r>
    </w:p>
    <w:p>
      <w:pPr>
        <w:pStyle w:val="Textnormy"/>
        <w:rPr>
          <w:b/>
        </w:rPr>
      </w:pPr>
      <w:r>
        <w:rPr>
          <w:b/>
        </w:rPr>
        <w:t>4.11 Status</w:t>
      </w:r>
    </w:p>
    <w:p>
      <w:pPr>
        <w:pStyle w:val="Textnormy"/>
        <w:rPr/>
      </w:pPr>
      <w:r>
        <w:rPr/>
        <w:t>Charakteristika prvku dopravního systému</w:t>
      </w:r>
    </w:p>
    <w:p>
      <w:pPr>
        <w:pStyle w:val="Textnormy"/>
        <w:rPr>
          <w:b/>
        </w:rPr>
      </w:pPr>
      <w:r>
        <w:rPr>
          <w:b/>
        </w:rPr>
        <w:t>4.12 STO - stop time</w:t>
      </w:r>
    </w:p>
    <w:p>
      <w:pPr>
        <w:pStyle w:val="Textnormy"/>
        <w:rPr>
          <w:rFonts w:eastAsia="Batang;바탕" w:cs="Arial"/>
          <w:color w:val="000000"/>
          <w:sz w:val="18"/>
          <w:szCs w:val="18"/>
          <w:lang w:eastAsia="ko-KR"/>
        </w:rPr>
      </w:pPr>
      <w:r>
        <w:rPr/>
        <w:t xml:space="preserve">Datum a čas </w:t>
      </w:r>
      <w:r>
        <w:rPr>
          <w:rStyle w:val="hps"/>
        </w:rPr>
        <w:t>v souladu s EN</w:t>
      </w:r>
      <w:r>
        <w:rPr/>
        <w:t xml:space="preserve"> </w:t>
      </w:r>
      <w:r>
        <w:rPr>
          <w:rStyle w:val="hps"/>
        </w:rPr>
        <w:t>ISO</w:t>
      </w:r>
      <w:r>
        <w:rPr/>
        <w:t xml:space="preserve"> </w:t>
      </w:r>
      <w:r>
        <w:rPr>
          <w:rStyle w:val="hps"/>
        </w:rPr>
        <w:t>8601</w:t>
      </w:r>
      <w:r>
        <w:rPr/>
        <w:t xml:space="preserve">, ve kterém </w:t>
      </w:r>
      <w:r>
        <w:rPr>
          <w:rStyle w:val="hps"/>
        </w:rPr>
        <w:t>událost</w:t>
      </w:r>
      <w:r>
        <w:rPr/>
        <w:t xml:space="preserve">, </w:t>
      </w:r>
      <w:r>
        <w:rPr>
          <w:rStyle w:val="hps"/>
        </w:rPr>
        <w:t>nebo</w:t>
      </w:r>
      <w:r>
        <w:rPr/>
        <w:t xml:space="preserve"> </w:t>
      </w:r>
      <w:r>
        <w:rPr>
          <w:rStyle w:val="hps"/>
        </w:rPr>
        <w:t>informace o stavu</w:t>
      </w:r>
      <w:r>
        <w:rPr/>
        <w:t xml:space="preserve">, </w:t>
      </w:r>
      <w:r>
        <w:rPr>
          <w:rStyle w:val="hps"/>
        </w:rPr>
        <w:t>skončila</w:t>
      </w:r>
      <w:r>
        <w:rPr/>
        <w:t xml:space="preserve"> </w:t>
      </w:r>
      <w:r>
        <w:rPr>
          <w:rStyle w:val="hps"/>
        </w:rPr>
        <w:t>nebo je</w:t>
      </w:r>
      <w:r>
        <w:rPr/>
        <w:br/>
      </w:r>
      <w:r>
        <w:rPr>
          <w:rStyle w:val="hps"/>
        </w:rPr>
        <w:t>naplánován jejich konec</w:t>
      </w:r>
      <w:r>
        <w:rPr>
          <w:rFonts w:eastAsia="Batang;바탕" w:cs="Arial"/>
          <w:color w:val="000000"/>
          <w:sz w:val="18"/>
          <w:szCs w:val="18"/>
          <w:lang w:eastAsia="ko-KR"/>
        </w:rPr>
        <w:t>.</w:t>
      </w:r>
    </w:p>
    <w:p>
      <w:pPr>
        <w:pStyle w:val="Normal"/>
        <w:rPr>
          <w:b/>
        </w:rPr>
      </w:pPr>
      <w:r>
        <w:rPr>
          <w:b/>
        </w:rPr>
        <w:t>4.13 TSI - time schedule information</w:t>
      </w:r>
    </w:p>
    <w:p>
      <w:pPr>
        <w:pStyle w:val="Textnormy"/>
        <w:rPr/>
      </w:pPr>
      <w:r>
        <w:rPr/>
        <w:t>Informace o časovém harmonogramu pro opakující se události.</w:t>
      </w:r>
    </w:p>
    <w:p>
      <w:pPr>
        <w:pStyle w:val="Textnormy"/>
        <w:rPr>
          <w:b/>
        </w:rPr>
      </w:pPr>
      <w:r>
        <w:rPr>
          <w:b/>
        </w:rPr>
        <w:t xml:space="preserve">4.14 UNV -  unverified information </w:t>
      </w:r>
    </w:p>
    <w:p>
      <w:pPr>
        <w:pStyle w:val="Textnormy"/>
        <w:rPr/>
      </w:pPr>
      <w:r>
        <w:rPr/>
        <w:t>Zpráva obsahuje informace z neověřených zdrojů.</w:t>
      </w:r>
    </w:p>
    <w:p>
      <w:pPr>
        <w:pStyle w:val="Textnormy"/>
        <w:rPr>
          <w:b/>
        </w:rPr>
      </w:pPr>
      <w:r>
        <w:rPr>
          <w:b/>
        </w:rPr>
        <w:t>4.15 VER - version number</w:t>
      </w:r>
    </w:p>
    <w:p>
      <w:pPr>
        <w:pStyle w:val="Textnormy"/>
        <w:rPr/>
      </w:pPr>
      <w:r>
        <w:rPr/>
        <w:t xml:space="preserve">Pořadové číslo k rozlišení </w:t>
      </w:r>
      <w:r>
        <w:rPr>
          <w:rStyle w:val="hps"/>
        </w:rPr>
        <w:t>zpráv</w:t>
      </w:r>
      <w:r>
        <w:rPr/>
        <w:t xml:space="preserve">, které mají </w:t>
      </w:r>
      <w:r>
        <w:rPr>
          <w:rStyle w:val="hps"/>
        </w:rPr>
        <w:t>zvláštní</w:t>
      </w:r>
      <w:r>
        <w:rPr/>
        <w:t xml:space="preserve"> </w:t>
      </w:r>
      <w:r>
        <w:rPr>
          <w:rStyle w:val="hps"/>
        </w:rPr>
        <w:t>identifikátor</w:t>
      </w:r>
      <w:r>
        <w:rPr/>
        <w:t>.</w:t>
      </w:r>
    </w:p>
    <w:p>
      <w:pPr>
        <w:pStyle w:val="Textnormy"/>
        <w:rPr/>
      </w:pPr>
      <w:r>
        <w:rPr/>
        <w:t xml:space="preserve">Kapitola 5 technické specifikace obsahuje 34 zkratek týkající se symbolů a  definic zasílaných zpráv pomocí protokolu TPEG.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 </w:t>
        <w:tab/>
        <w:t>Důvod standardizace</w:t>
      </w:r>
    </w:p>
    <w:p>
      <w:pPr>
        <w:pStyle w:val="Textnormy"/>
        <w:rPr/>
      </w:pPr>
      <w:r>
        <w:rPr/>
        <w:t xml:space="preserve">Hlavními důvody pro vývoj norem v této oblasti je zvýšení interoperability koncových zařízení uživatelů, jimiž jsou účastníci silničního provozu. Protokolová standardizace, kterou je popisovaný dokument, je základem pro samotnou technologickou standardizaci vybavení pro příjem a poskytování informací.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 </w:t>
        <w:tab/>
        <w:t xml:space="preserve">Aplikace CTT </w:t>
      </w:r>
    </w:p>
    <w:p>
      <w:pPr>
        <w:pStyle w:val="Textnormy"/>
        <w:rPr/>
      </w:pPr>
      <w:r>
        <w:rPr/>
        <w:t>Je nutné zdůraznit, že TPEG je svázán s datovým formátem DATEX, který není určen pro přenos ke koncovým uživatelům. Z tohoto důvodu je konfigurován datový formát TPEG.</w:t>
      </w:r>
    </w:p>
    <w:p>
      <w:pPr>
        <w:pStyle w:val="Textnormy"/>
        <w:jc w:val="start"/>
        <w:rPr>
          <w:rStyle w:val="hps"/>
        </w:rPr>
      </w:pPr>
      <w:r>
        <w:rPr/>
        <w:t xml:space="preserve">TPEG </w:t>
      </w:r>
      <w:r>
        <w:rPr>
          <w:rStyle w:val="atn"/>
        </w:rPr>
        <w:t>-</w:t>
      </w:r>
      <w:r>
        <w:rPr/>
        <w:t xml:space="preserve"> Aplikace dopravní kongesce a cestovní čas</w:t>
      </w:r>
      <w:r>
        <w:rPr>
          <w:rStyle w:val="hps"/>
        </w:rPr>
        <w:t xml:space="preserve"> umožňuje</w:t>
      </w:r>
      <w:r>
        <w:rPr/>
        <w:t xml:space="preserve"> </w:t>
      </w:r>
      <w:r>
        <w:rPr>
          <w:rStyle w:val="hps"/>
        </w:rPr>
        <w:t>širokou škálu</w:t>
      </w:r>
      <w:r>
        <w:rPr/>
        <w:t xml:space="preserve"> podpory </w:t>
      </w:r>
      <w:r>
        <w:rPr>
          <w:rStyle w:val="hps"/>
        </w:rPr>
        <w:t>TPEG</w:t>
      </w:r>
      <w:r>
        <w:rPr>
          <w:rStyle w:val="atn"/>
        </w:rPr>
        <w:t>-</w:t>
      </w:r>
      <w:r>
        <w:rPr/>
        <w:t xml:space="preserve">dekódovacích </w:t>
      </w:r>
      <w:r>
        <w:rPr>
          <w:rStyle w:val="hps"/>
        </w:rPr>
        <w:t>typů a</w:t>
      </w:r>
      <w:r>
        <w:rPr/>
        <w:t xml:space="preserve"> </w:t>
      </w:r>
      <w:r>
        <w:rPr>
          <w:rStyle w:val="hps"/>
        </w:rPr>
        <w:t>prezentačních</w:t>
      </w:r>
      <w:r>
        <w:rPr/>
        <w:t xml:space="preserve"> </w:t>
      </w:r>
      <w:r>
        <w:rPr>
          <w:rStyle w:val="hps"/>
        </w:rPr>
        <w:t>možností</w:t>
      </w:r>
      <w:r>
        <w:rPr/>
        <w:t xml:space="preserve">. </w:t>
      </w:r>
      <w:r>
        <w:rPr>
          <w:rStyle w:val="hps"/>
        </w:rPr>
        <w:t>TPEG</w:t>
      </w:r>
      <w:r>
        <w:rPr>
          <w:rStyle w:val="atn"/>
        </w:rPr>
        <w:t xml:space="preserve"> definuje</w:t>
      </w:r>
      <w:r>
        <w:rPr>
          <w:rStyle w:val="hps"/>
        </w:rPr>
        <w:t xml:space="preserve"> širokou škálu dekodérů od</w:t>
      </w:r>
      <w:r>
        <w:rPr/>
        <w:t xml:space="preserve"> </w:t>
      </w:r>
      <w:r>
        <w:rPr>
          <w:rStyle w:val="hps"/>
        </w:rPr>
        <w:t>sofistikovaných</w:t>
      </w:r>
      <w:r>
        <w:rPr/>
        <w:t xml:space="preserve"> </w:t>
      </w:r>
      <w:r>
        <w:rPr>
          <w:rStyle w:val="hps"/>
        </w:rPr>
        <w:t>TPEG</w:t>
      </w:r>
      <w:r>
        <w:rPr>
          <w:rStyle w:val="atn"/>
        </w:rPr>
        <w:t>-</w:t>
      </w:r>
      <w:r>
        <w:rPr/>
        <w:t xml:space="preserve">dekodérů </w:t>
      </w:r>
      <w:r>
        <w:rPr>
          <w:rStyle w:val="hps"/>
        </w:rPr>
        <w:t>s</w:t>
      </w:r>
      <w:r>
        <w:rPr/>
        <w:t xml:space="preserve"> </w:t>
      </w:r>
      <w:r>
        <w:rPr>
          <w:rStyle w:val="hps"/>
        </w:rPr>
        <w:t>navigačními systémy</w:t>
      </w:r>
      <w:r>
        <w:rPr/>
        <w:t xml:space="preserve">, </w:t>
      </w:r>
      <w:r>
        <w:rPr>
          <w:rStyle w:val="hps"/>
        </w:rPr>
        <w:t>až po</w:t>
      </w:r>
      <w:r>
        <w:rPr/>
        <w:t xml:space="preserve"> </w:t>
      </w:r>
      <w:r>
        <w:rPr>
          <w:rStyle w:val="hps"/>
        </w:rPr>
        <w:t>jednoduché</w:t>
      </w:r>
      <w:r>
        <w:rPr/>
        <w:t xml:space="preserve"> </w:t>
      </w:r>
      <w:r>
        <w:rPr>
          <w:rStyle w:val="hps"/>
        </w:rPr>
        <w:t>TPEG</w:t>
      </w:r>
      <w:r>
        <w:rPr/>
        <w:t>-</w:t>
      </w:r>
      <w:r>
        <w:rPr>
          <w:rStyle w:val="hps"/>
        </w:rPr>
        <w:t>dekodéry</w:t>
      </w:r>
      <w:r>
        <w:rPr/>
        <w:t xml:space="preserve"> </w:t>
      </w:r>
      <w:r>
        <w:rPr>
          <w:rStyle w:val="hps"/>
        </w:rPr>
        <w:t>schopné</w:t>
      </w:r>
      <w:r>
        <w:rPr/>
        <w:t xml:space="preserve"> </w:t>
      </w:r>
      <w:r>
        <w:rPr>
          <w:rStyle w:val="hps"/>
        </w:rPr>
        <w:t>dekódovat</w:t>
      </w:r>
      <w:r>
        <w:rPr/>
        <w:t xml:space="preserve"> pouze </w:t>
      </w:r>
      <w:r>
        <w:rPr>
          <w:rStyle w:val="hps"/>
        </w:rPr>
        <w:t>základní informace</w:t>
      </w:r>
      <w:r>
        <w:rPr/>
        <w:t xml:space="preserve">. </w:t>
      </w:r>
      <w:r>
        <w:rPr>
          <w:rStyle w:val="hps"/>
        </w:rPr>
        <w:t>CTT zprávy mohou být</w:t>
      </w:r>
      <w:r>
        <w:rPr/>
        <w:t xml:space="preserve"> </w:t>
      </w:r>
      <w:r>
        <w:rPr>
          <w:rStyle w:val="hps"/>
        </w:rPr>
        <w:t>prezentovány uživateli</w:t>
      </w:r>
      <w:r>
        <w:rPr/>
        <w:t xml:space="preserve"> </w:t>
      </w:r>
      <w:r>
        <w:rPr>
          <w:rStyle w:val="hps"/>
        </w:rPr>
        <w:t>mnoha</w:t>
      </w:r>
      <w:r>
        <w:rPr/>
        <w:t xml:space="preserve"> </w:t>
      </w:r>
      <w:r>
        <w:rPr>
          <w:rStyle w:val="hps"/>
        </w:rPr>
        <w:t>různými způsoby</w:t>
      </w:r>
      <w:r>
        <w:rPr/>
        <w:t xml:space="preserve">, včetně </w:t>
      </w:r>
      <w:r>
        <w:rPr>
          <w:rStyle w:val="hps"/>
        </w:rPr>
        <w:t>textu,</w:t>
      </w:r>
      <w:r>
        <w:rPr/>
        <w:t xml:space="preserve"> </w:t>
      </w:r>
      <w:r>
        <w:rPr>
          <w:rStyle w:val="hps"/>
        </w:rPr>
        <w:t>syntetizované řeči</w:t>
      </w:r>
      <w:r>
        <w:rPr/>
        <w:t xml:space="preserve">, </w:t>
      </w:r>
      <w:r>
        <w:rPr>
          <w:rStyle w:val="hps"/>
        </w:rPr>
        <w:t>graficky</w:t>
      </w:r>
      <w:r>
        <w:rPr/>
        <w:t xml:space="preserve">, </w:t>
      </w:r>
      <w:r>
        <w:rPr>
          <w:rStyle w:val="hps"/>
        </w:rPr>
        <w:t>nebo</w:t>
      </w:r>
      <w:r>
        <w:rPr/>
        <w:t xml:space="preserve"> </w:t>
      </w:r>
      <w:r>
        <w:rPr>
          <w:rStyle w:val="hps"/>
        </w:rPr>
        <w:t>při plánování trasy v GPS</w:t>
      </w:r>
      <w:r>
        <w:rPr/>
        <w:t>.</w:t>
        <w:br/>
      </w:r>
      <w:r>
        <w:rPr>
          <w:rStyle w:val="hps"/>
        </w:rPr>
        <w:t>Každá zpráva</w:t>
      </w:r>
      <w:r>
        <w:rPr/>
        <w:t xml:space="preserve"> </w:t>
      </w:r>
      <w:r>
        <w:rPr>
          <w:rStyle w:val="hps"/>
        </w:rPr>
        <w:t>musí zahrnovat</w:t>
      </w:r>
      <w:r>
        <w:rPr/>
        <w:t xml:space="preserve"> </w:t>
      </w:r>
      <w:r>
        <w:rPr>
          <w:rStyle w:val="hps"/>
        </w:rPr>
        <w:t>alespoň některé</w:t>
      </w:r>
      <w:r>
        <w:rPr/>
        <w:t xml:space="preserve"> </w:t>
      </w:r>
      <w:r>
        <w:rPr>
          <w:rStyle w:val="hps"/>
        </w:rPr>
        <w:t>z následujících</w:t>
      </w:r>
      <w:r>
        <w:rPr/>
        <w:t xml:space="preserve"> </w:t>
      </w:r>
      <w:r>
        <w:rPr>
          <w:rStyle w:val="hps"/>
        </w:rPr>
        <w:t>prvků</w:t>
      </w:r>
      <w:r>
        <w:rPr/>
        <w:t xml:space="preserve">, splňující </w:t>
      </w:r>
      <w:r>
        <w:rPr>
          <w:rStyle w:val="hps"/>
        </w:rPr>
        <w:t>požadavky uživatelů</w:t>
      </w:r>
      <w:r>
        <w:rPr/>
        <w:t>: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>
          <w:rFonts w:cs="Arial"/>
        </w:rPr>
      </w:pPr>
      <w:r>
        <w:rPr>
          <w:rFonts w:cs="Arial"/>
        </w:rPr>
        <w:t>Cíl uživatele pro informaci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>
          <w:rFonts w:cs="Arial"/>
        </w:rPr>
      </w:pPr>
      <w:r>
        <w:rPr>
          <w:rFonts w:cs="Arial"/>
        </w:rPr>
        <w:t>Zeměpisná poloha, ke kterému se informace týká,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>
          <w:rFonts w:cs="Arial"/>
        </w:rPr>
      </w:pPr>
      <w:r>
        <w:rPr>
          <w:rFonts w:cs="Arial"/>
        </w:rPr>
        <w:t>Pozice na silnici, nebo přilehlé oblasti, kde dochází k excesu,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>
          <w:rFonts w:cs="Arial"/>
        </w:rPr>
      </w:pPr>
      <w:r>
        <w:rPr>
          <w:rFonts w:cs="Arial"/>
        </w:rPr>
        <w:t>Zda informace byly ověřeny,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>
          <w:rFonts w:cs="Arial"/>
        </w:rPr>
      </w:pPr>
      <w:r>
        <w:rPr>
          <w:rFonts w:cs="Arial"/>
        </w:rPr>
        <w:t>Doba, po kterou zpráva zůstává v platnosti,</w:t>
      </w:r>
    </w:p>
    <w:p>
      <w:pPr>
        <w:pStyle w:val="Textnormy"/>
        <w:numPr>
          <w:ilvl w:val="0"/>
          <w:numId w:val="2"/>
        </w:numPr>
        <w:spacing w:before="0" w:after="0"/>
        <w:jc w:val="start"/>
        <w:rPr>
          <w:rFonts w:cs="Arial"/>
        </w:rPr>
      </w:pPr>
      <w:r>
        <w:rPr>
          <w:rFonts w:cs="Arial"/>
        </w:rPr>
        <w:t>Predikovaný cestovní čas,- Další související informace.</w:t>
      </w:r>
    </w:p>
    <w:p>
      <w:pPr>
        <w:pStyle w:val="Textnormy"/>
        <w:spacing w:before="0" w:after="0"/>
        <w:ind w:start="720" w:end="0"/>
        <w:jc w:val="start"/>
        <w:rPr>
          <w:rFonts w:cs="Arial"/>
        </w:rPr>
      </w:pPr>
      <w:r>
        <w:rPr>
          <w:rFonts w:cs="Arial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5 </w:t>
        <w:tab/>
        <w:t>Struktura CTT</w:t>
      </w:r>
    </w:p>
    <w:p>
      <w:pPr>
        <w:pStyle w:val="Textnormy"/>
        <w:rPr/>
      </w:pPr>
      <w:r>
        <w:rPr>
          <w:rStyle w:val="hps"/>
        </w:rPr>
        <w:t>Definuje strukturu</w:t>
      </w:r>
      <w:r>
        <w:rPr/>
        <w:t xml:space="preserve"> </w:t>
      </w:r>
      <w:r>
        <w:rPr>
          <w:rStyle w:val="hps"/>
        </w:rPr>
        <w:t>TPEG zpráv kongesce</w:t>
      </w:r>
      <w:r>
        <w:rPr/>
        <w:t xml:space="preserve"> </w:t>
      </w:r>
      <w:r>
        <w:rPr>
          <w:rStyle w:val="hps"/>
        </w:rPr>
        <w:t>a</w:t>
      </w:r>
      <w:r>
        <w:rPr/>
        <w:t xml:space="preserve"> </w:t>
      </w:r>
      <w:r>
        <w:rPr>
          <w:rStyle w:val="hps"/>
        </w:rPr>
        <w:t>cestovního</w:t>
      </w:r>
      <w:r>
        <w:rPr/>
        <w:t xml:space="preserve"> </w:t>
      </w:r>
      <w:r>
        <w:rPr>
          <w:rStyle w:val="hps"/>
        </w:rPr>
        <w:t>času v hierarchickém</w:t>
      </w:r>
      <w:r>
        <w:rPr/>
        <w:t xml:space="preserve"> </w:t>
      </w:r>
      <w:r>
        <w:rPr>
          <w:rStyle w:val="hps"/>
        </w:rPr>
        <w:t>smyslu</w:t>
      </w:r>
      <w:r>
        <w:rPr/>
        <w:t xml:space="preserve"> </w:t>
      </w:r>
      <w:r>
        <w:rPr>
          <w:rStyle w:val="hps"/>
        </w:rPr>
        <w:t>a</w:t>
      </w:r>
      <w:r>
        <w:rPr/>
        <w:t xml:space="preserve"> </w:t>
      </w:r>
      <w:r>
        <w:rPr>
          <w:rStyle w:val="hps"/>
        </w:rPr>
        <w:t>"vnitřní</w:t>
      </w:r>
      <w:r>
        <w:rPr/>
        <w:t xml:space="preserve"> </w:t>
      </w:r>
      <w:r>
        <w:rPr>
          <w:rStyle w:val="hps"/>
        </w:rPr>
        <w:t>hierarchický</w:t>
      </w:r>
      <w:r>
        <w:rPr/>
        <w:t xml:space="preserve"> </w:t>
      </w:r>
      <w:r>
        <w:rPr>
          <w:rStyle w:val="hps"/>
        </w:rPr>
        <w:t>index</w:t>
      </w:r>
      <w:r>
        <w:rPr/>
        <w:t xml:space="preserve">".  V </w:t>
      </w:r>
      <w:r>
        <w:rPr>
          <w:rStyle w:val="hps"/>
        </w:rPr>
        <w:t>obsahu zprávy je</w:t>
      </w:r>
      <w:r>
        <w:rPr/>
        <w:t xml:space="preserve"> </w:t>
      </w:r>
      <w:r>
        <w:rPr>
          <w:rStyle w:val="hps"/>
        </w:rPr>
        <w:t>-</w:t>
      </w:r>
      <w:r>
        <w:rPr/>
        <w:t xml:space="preserve"> </w:t>
      </w:r>
      <w:r>
        <w:rPr>
          <w:rStyle w:val="hps"/>
        </w:rPr>
        <w:t>zpráva</w:t>
      </w:r>
      <w:r>
        <w:rPr/>
        <w:t xml:space="preserve"> </w:t>
      </w:r>
      <w:r>
        <w:rPr>
          <w:rStyle w:val="hps"/>
        </w:rPr>
        <w:t>řízení</w:t>
      </w:r>
      <w:r>
        <w:rPr/>
        <w:t xml:space="preserve">, </w:t>
      </w:r>
      <w:r>
        <w:rPr>
          <w:rStyle w:val="hps"/>
        </w:rPr>
        <w:t>popis události</w:t>
      </w:r>
      <w:r>
        <w:rPr/>
        <w:t xml:space="preserve"> </w:t>
      </w:r>
      <w:r>
        <w:rPr>
          <w:rStyle w:val="hps"/>
        </w:rPr>
        <w:t>-</w:t>
      </w:r>
      <w:r>
        <w:rPr/>
        <w:t xml:space="preserve"> </w:t>
      </w:r>
      <w:r>
        <w:rPr>
          <w:rStyle w:val="hps"/>
        </w:rPr>
        <w:t>konstrukce</w:t>
      </w:r>
      <w:r>
        <w:rPr/>
        <w:t xml:space="preserve"> </w:t>
      </w:r>
      <w:r>
        <w:rPr>
          <w:rStyle w:val="hps"/>
        </w:rPr>
        <w:t>a</w:t>
      </w:r>
      <w:r>
        <w:rPr/>
        <w:t xml:space="preserve"> </w:t>
      </w:r>
      <w:r>
        <w:rPr>
          <w:rStyle w:val="hps"/>
        </w:rPr>
        <w:t>konečně</w:t>
      </w:r>
      <w:r>
        <w:rPr/>
        <w:t xml:space="preserve"> </w:t>
      </w:r>
      <w:r>
        <w:rPr>
          <w:rStyle w:val="hps"/>
        </w:rPr>
        <w:t>kódování</w:t>
      </w:r>
      <w:r>
        <w:rPr/>
        <w:t xml:space="preserve">, </w:t>
      </w:r>
      <w:r>
        <w:rPr>
          <w:rStyle w:val="hps"/>
        </w:rPr>
        <w:t>pro</w:t>
      </w:r>
      <w:r>
        <w:rPr/>
        <w:t xml:space="preserve"> </w:t>
      </w:r>
      <w:r>
        <w:rPr>
          <w:rStyle w:val="hps"/>
        </w:rPr>
        <w:t>zprávy</w:t>
      </w:r>
      <w:r>
        <w:rPr/>
        <w:t xml:space="preserve"> </w:t>
      </w:r>
      <w:r>
        <w:rPr>
          <w:rStyle w:val="hps"/>
        </w:rPr>
        <w:t>vedení</w:t>
      </w:r>
      <w:r>
        <w:rPr/>
        <w:t xml:space="preserve"> </w:t>
      </w:r>
      <w:r>
        <w:rPr>
          <w:rStyle w:val="hps"/>
        </w:rPr>
        <w:t>a</w:t>
      </w:r>
      <w:r>
        <w:rPr/>
        <w:t xml:space="preserve"> </w:t>
      </w:r>
      <w:r>
        <w:rPr>
          <w:rStyle w:val="hps"/>
        </w:rPr>
        <w:t>CTT</w:t>
      </w:r>
      <w:r>
        <w:rPr>
          <w:rStyle w:val="atn"/>
        </w:rPr>
        <w:t>-</w:t>
      </w:r>
      <w:r>
        <w:rPr>
          <w:rStyle w:val="hps"/>
        </w:rPr>
        <w:t>události, jak je znázorněno</w:t>
      </w:r>
      <w:r>
        <w:rPr/>
        <w:t xml:space="preserve"> </w:t>
      </w:r>
      <w:r>
        <w:rPr>
          <w:rStyle w:val="hps"/>
        </w:rPr>
        <w:t>na následujícím obrázku</w:t>
      </w:r>
      <w:r>
        <w:rPr/>
        <w:t>.</w:t>
      </w:r>
    </w:p>
    <w:p>
      <w:pPr>
        <w:pStyle w:val="Textnormy"/>
        <w:keepNext w:val="true"/>
        <w:jc w:val="center"/>
        <w:rPr/>
      </w:pPr>
      <w:r>
        <w:rPr>
          <w:lang w:val="en-US" w:eastAsia="en-US"/>
        </w:rPr>
        <w:drawing>
          <wp:inline distT="0" distB="0" distL="0" distR="0">
            <wp:extent cx="3571240" cy="1371600"/>
            <wp:effectExtent l="0" t="0" r="0" b="0"/>
            <wp:docPr id="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9" r="-9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ulek"/>
        <w:jc w:val="center"/>
        <w:rPr/>
      </w:pPr>
      <w:r>
        <w:rPr/>
        <w:t xml:space="preserve">Obrázek </w:t>
      </w:r>
      <w:r>
        <w:rPr/>
        <w:fldChar w:fldCharType="begin"/>
      </w:r>
      <w:r>
        <w:rPr/>
        <w:instrText xml:space="preserve"> SEQ Obrázek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TPEG CTT struktura</w:t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6</w:t>
        <w:tab/>
        <w:t>Zpráva řízení</w:t>
      </w:r>
    </w:p>
    <w:p>
      <w:pPr>
        <w:pStyle w:val="Textnormy"/>
        <w:rPr>
          <w:b/>
          <w:sz w:val="22"/>
          <w:szCs w:val="22"/>
        </w:rPr>
      </w:pPr>
      <w:r>
        <w:rPr>
          <w:rStyle w:val="hps"/>
        </w:rPr>
        <w:t>Tato kapitola definuje dva</w:t>
      </w:r>
      <w:r>
        <w:rPr/>
        <w:t xml:space="preserve"> </w:t>
      </w:r>
      <w:r>
        <w:rPr>
          <w:rStyle w:val="hps"/>
        </w:rPr>
        <w:t>povinné prvky,</w:t>
      </w:r>
      <w:r>
        <w:rPr/>
        <w:t xml:space="preserve"> </w:t>
      </w:r>
      <w:r>
        <w:rPr>
          <w:rStyle w:val="hps"/>
        </w:rPr>
        <w:t>identifikátor zprávy</w:t>
      </w:r>
      <w:r>
        <w:rPr/>
        <w:t xml:space="preserve"> </w:t>
      </w:r>
      <w:r>
        <w:rPr>
          <w:rStyle w:val="hps"/>
        </w:rPr>
        <w:t>a číslo verze pomocí rekurzivních tabulek a definovaných binárních kódů vztažených k povinným prvkům zprávy.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7</w:t>
        <w:tab/>
        <w:t>Status</w:t>
      </w:r>
    </w:p>
    <w:p>
      <w:pPr>
        <w:pStyle w:val="Textnormy"/>
        <w:rPr>
          <w:b/>
          <w:sz w:val="22"/>
          <w:szCs w:val="22"/>
        </w:rPr>
      </w:pPr>
      <w:r>
        <w:rPr>
          <w:rStyle w:val="hps"/>
        </w:rPr>
        <w:t>Kapitola popisující hierarchický přístup k definování postavení informace v několika úrovních zprávy</w:t>
      </w:r>
      <w:r>
        <w:rPr/>
        <w:t xml:space="preserve">, </w:t>
      </w:r>
      <w:r>
        <w:rPr>
          <w:rStyle w:val="hps"/>
        </w:rPr>
        <w:t>což umožňuje</w:t>
      </w:r>
      <w:r>
        <w:rPr/>
        <w:t xml:space="preserve"> </w:t>
      </w:r>
      <w:r>
        <w:rPr>
          <w:rStyle w:val="hps"/>
        </w:rPr>
        <w:t>rekurzivní</w:t>
      </w:r>
      <w:r>
        <w:rPr/>
        <w:t xml:space="preserve"> </w:t>
      </w:r>
      <w:r>
        <w:rPr>
          <w:rStyle w:val="hps"/>
        </w:rPr>
        <w:t>kódování</w:t>
      </w:r>
      <w:r>
        <w:rPr/>
        <w:t>. Tabulky rekurzivního kódování jsou definovány pro vybrané druhy zpráv.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8</w:t>
        <w:tab/>
        <w:t>TPEG CTT tabulky</w:t>
      </w:r>
    </w:p>
    <w:p>
      <w:pPr>
        <w:pStyle w:val="Textnormy"/>
        <w:rPr/>
      </w:pPr>
      <w:r>
        <w:rPr/>
        <w:t>Tato kapitola definuje převodní kongesční tabulky pro kompresi a dekompresi informací z binární zprávy.</w:t>
      </w:r>
    </w:p>
    <w:tbl>
      <w:tblPr>
        <w:tblW w:w="978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65"/>
        <w:gridCol w:w="2697"/>
        <w:gridCol w:w="3608"/>
        <w:gridCol w:w="2311"/>
      </w:tblGrid>
      <w:tr>
        <w:trPr>
          <w:trHeight w:val="475" w:hRule="atLeast"/>
        </w:trPr>
        <w:tc>
          <w:tcPr>
            <w:tcW w:w="9781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B3B3B3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TPEG Table CTT 02 (CTT 02): Congestion Tendency</w:t>
            </w:r>
          </w:p>
        </w:tc>
      </w:tr>
      <w:tr>
        <w:trPr>
          <w:trHeight w:val="475" w:hRule="atLeast"/>
        </w:trPr>
        <w:tc>
          <w:tcPr>
            <w:tcW w:w="11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Code</w:t>
            </w:r>
          </w:p>
        </w:tc>
        <w:tc>
          <w:tcPr>
            <w:tcW w:w="2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CEN-English ‘Word’</w:t>
            </w:r>
          </w:p>
        </w:tc>
        <w:tc>
          <w:tcPr>
            <w:tcW w:w="3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Comments</w:t>
            </w:r>
          </w:p>
        </w:tc>
        <w:tc>
          <w:tcPr>
            <w:tcW w:w="2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3F3F3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Examples</w:t>
            </w:r>
          </w:p>
        </w:tc>
      </w:tr>
      <w:tr>
        <w:trPr>
          <w:trHeight w:val="475" w:hRule="atLeast"/>
        </w:trPr>
        <w:tc>
          <w:tcPr>
            <w:tcW w:w="11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0</w:t>
            </w:r>
          </w:p>
        </w:tc>
        <w:tc>
          <w:tcPr>
            <w:tcW w:w="2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unknown</w:t>
            </w:r>
          </w:p>
        </w:tc>
        <w:tc>
          <w:tcPr>
            <w:tcW w:w="3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  <w:tc>
          <w:tcPr>
            <w:tcW w:w="2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</w:tr>
      <w:tr>
        <w:trPr>
          <w:trHeight w:val="475" w:hRule="atLeast"/>
        </w:trPr>
        <w:tc>
          <w:tcPr>
            <w:tcW w:w="11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1</w:t>
            </w:r>
          </w:p>
        </w:tc>
        <w:tc>
          <w:tcPr>
            <w:tcW w:w="2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Increasing congestion</w:t>
            </w:r>
          </w:p>
        </w:tc>
        <w:tc>
          <w:tcPr>
            <w:tcW w:w="3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  <w:tc>
          <w:tcPr>
            <w:tcW w:w="2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</w:tr>
      <w:tr>
        <w:trPr>
          <w:trHeight w:val="475" w:hRule="atLeast"/>
        </w:trPr>
        <w:tc>
          <w:tcPr>
            <w:tcW w:w="11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2</w:t>
            </w:r>
          </w:p>
        </w:tc>
        <w:tc>
          <w:tcPr>
            <w:tcW w:w="2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Decreasing congestion</w:t>
            </w:r>
          </w:p>
        </w:tc>
        <w:tc>
          <w:tcPr>
            <w:tcW w:w="3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  <w:tc>
          <w:tcPr>
            <w:tcW w:w="2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</w:tr>
      <w:tr>
        <w:trPr>
          <w:trHeight w:val="475" w:hRule="atLeast"/>
        </w:trPr>
        <w:tc>
          <w:tcPr>
            <w:tcW w:w="11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3</w:t>
            </w:r>
          </w:p>
        </w:tc>
        <w:tc>
          <w:tcPr>
            <w:tcW w:w="2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Static congestion</w:t>
            </w:r>
          </w:p>
        </w:tc>
        <w:tc>
          <w:tcPr>
            <w:tcW w:w="3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  <w:tc>
          <w:tcPr>
            <w:tcW w:w="2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</w:tr>
      <w:tr>
        <w:trPr>
          <w:trHeight w:val="475" w:hRule="atLeast"/>
        </w:trPr>
        <w:tc>
          <w:tcPr>
            <w:tcW w:w="11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..</w:t>
            </w:r>
          </w:p>
        </w:tc>
        <w:tc>
          <w:tcPr>
            <w:tcW w:w="2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End of 1.00</w:t>
            </w:r>
          </w:p>
        </w:tc>
        <w:tc>
          <w:tcPr>
            <w:tcW w:w="3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  <w:tc>
          <w:tcPr>
            <w:tcW w:w="2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</w:tr>
      <w:tr>
        <w:trPr>
          <w:trHeight w:val="475" w:hRule="atLeast"/>
        </w:trPr>
        <w:tc>
          <w:tcPr>
            <w:tcW w:w="11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..</w:t>
            </w:r>
          </w:p>
        </w:tc>
        <w:tc>
          <w:tcPr>
            <w:tcW w:w="2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</w:r>
          </w:p>
        </w:tc>
        <w:tc>
          <w:tcPr>
            <w:tcW w:w="3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  <w:tc>
          <w:tcPr>
            <w:tcW w:w="2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</w:tr>
      <w:tr>
        <w:trPr>
          <w:trHeight w:val="475" w:hRule="atLeast"/>
        </w:trPr>
        <w:tc>
          <w:tcPr>
            <w:tcW w:w="11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  <w:t>255</w:t>
            </w:r>
          </w:p>
        </w:tc>
        <w:tc>
          <w:tcPr>
            <w:tcW w:w="2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b/>
                <w:bCs/>
                <w:color w:val="000000"/>
                <w:lang w:eastAsia="ko-KR"/>
              </w:rPr>
            </w:r>
          </w:p>
        </w:tc>
        <w:tc>
          <w:tcPr>
            <w:tcW w:w="36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  <w:tc>
          <w:tcPr>
            <w:tcW w:w="23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</w:r>
          </w:p>
        </w:tc>
      </w:tr>
    </w:tbl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A (informativní)</w:t>
      </w:r>
    </w:p>
    <w:p>
      <w:pPr>
        <w:pStyle w:val="Textnormy"/>
        <w:spacing w:before="0" w:after="120"/>
        <w:rPr>
          <w:b/>
          <w:sz w:val="22"/>
          <w:szCs w:val="22"/>
        </w:rPr>
      </w:pPr>
      <w:r>
        <w:rPr/>
        <w:t>Tato technická specifikace obsahuje informativní přílohu A, ve které jsou popsány vzorce konverze, které by měly být používány v dekodérech, aby bylo zajištěno, že,</w:t>
      </w:r>
      <w:r>
        <w:rPr>
          <w:b/>
        </w:rPr>
      </w:r>
      <w:r>
        <w:rPr>
          <w:b/>
        </w:rPr>
      </w:r>
      <w:r>
        <w:rPr>
          <w:b/>
        </w:rPr>
      </w:r>
      <w:r>
        <w:rPr/>
        <w:t>všechny dekodéry, které obdrží zvláštní vstup, zobrazí stejný výsledek. To dovolí poskytovatelům služeb generování deterministických hodnot.</w:t>
      </w:r>
    </w:p>
    <w:sectPr>
      <w:footerReference w:type="default" r:id="rId3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Cambria">
    <w:charset w:val="ee" w:characterSet="windows-125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Arial">
    <w:altName w:val="Bold"/>
    <w:charset w:val="00" w:characterSet="windows-1252"/>
    <w:family w:val="swiss"/>
    <w:pitch w:val="default"/>
  </w:font>
  <w:font w:name="Tahoma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1z0">
    <w:name w:val="WW8Num1z0"/>
    <w:qFormat/>
    <w:rPr>
      <w:rFonts w:cs="Times New Roman"/>
    </w:rPr>
  </w:style>
  <w:style w:type="character" w:styleId="WW8Num3z0">
    <w:name w:val="WW8Num3z0"/>
    <w:qFormat/>
    <w:rPr>
      <w:rFonts w:ascii="Wingdings" w:hAnsi="Wingdings" w:cs="StarSymbol;Arial Unicode MS"/>
      <w:sz w:val="18"/>
      <w:szCs w:val="18"/>
    </w:rPr>
  </w:style>
  <w:style w:type="character" w:styleId="WW8Num3z1">
    <w:name w:val="WW8Num3z1"/>
    <w:qFormat/>
    <w:rPr>
      <w:rFonts w:ascii="Wingdings 2" w:hAnsi="Wingdings 2" w:cs="StarSymbol;Arial Unicode MS"/>
      <w:sz w:val="18"/>
      <w:szCs w:val="18"/>
    </w:rPr>
  </w:style>
  <w:style w:type="character" w:styleId="WW8Num3z2">
    <w:name w:val="WW8Num3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4z0">
    <w:name w:val="WW8Num4z0"/>
    <w:qFormat/>
    <w:rPr>
      <w:rFonts w:ascii="Wingdings" w:hAnsi="Wingdings" w:cs="StarSymbol;Arial Unicode MS"/>
      <w:sz w:val="18"/>
      <w:szCs w:val="18"/>
    </w:rPr>
  </w:style>
  <w:style w:type="character" w:styleId="WW8Num4z1">
    <w:name w:val="WW8Num4z1"/>
    <w:qFormat/>
    <w:rPr>
      <w:rFonts w:ascii="Wingdings 2" w:hAnsi="Wingdings 2" w:cs="StarSymbol;Arial Unicode MS"/>
      <w:sz w:val="18"/>
      <w:szCs w:val="18"/>
    </w:rPr>
  </w:style>
  <w:style w:type="character" w:styleId="WW8Num4z2">
    <w:name w:val="WW8Num4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Arial" w:hAnsi="Arial" w:eastAsia="Times New Roman" w:cs="Aria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StarSymbol;Arial Unicode MS"/>
      <w:sz w:val="18"/>
      <w:szCs w:val="18"/>
    </w:rPr>
  </w:style>
  <w:style w:type="character" w:styleId="WW8Num8z1">
    <w:name w:val="WW8Num8z1"/>
    <w:qFormat/>
    <w:rPr>
      <w:rFonts w:ascii="Wingdings 2" w:hAnsi="Wingdings 2" w:cs="StarSymbol;Arial Unicode MS"/>
      <w:sz w:val="18"/>
      <w:szCs w:val="18"/>
    </w:rPr>
  </w:style>
  <w:style w:type="character" w:styleId="WW8Num8z2">
    <w:name w:val="WW8Num8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9z0">
    <w:name w:val="WW8Num9z0"/>
    <w:qFormat/>
    <w:rPr>
      <w:rFonts w:ascii="Arial" w:hAnsi="Arial" w:cs="Arial"/>
      <w:sz w:val="18"/>
      <w:szCs w:val="18"/>
    </w:rPr>
  </w:style>
  <w:style w:type="character" w:styleId="WW8Num9z1">
    <w:name w:val="WW8Num9z1"/>
    <w:qFormat/>
    <w:rPr>
      <w:rFonts w:ascii="Wingdings 2" w:hAnsi="Wingdings 2" w:cs="StarSymbol;Arial Unicode MS"/>
      <w:sz w:val="18"/>
      <w:szCs w:val="18"/>
    </w:rPr>
  </w:style>
  <w:style w:type="character" w:styleId="WW8Num9z2">
    <w:name w:val="WW8Num9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9z3">
    <w:name w:val="WW8Num9z3"/>
    <w:qFormat/>
    <w:rPr>
      <w:rFonts w:ascii="Wingdings" w:hAnsi="Wingdings" w:cs="StarSymbol;Arial Unicode MS"/>
      <w:sz w:val="18"/>
      <w:szCs w:val="18"/>
    </w:rPr>
  </w:style>
  <w:style w:type="character" w:styleId="WW8Num10z0">
    <w:name w:val="WW8Num10z0"/>
    <w:qFormat/>
    <w:rPr>
      <w:rFonts w:ascii="Arial" w:hAnsi="Arial" w:cs="Arial"/>
      <w:sz w:val="18"/>
      <w:szCs w:val="18"/>
    </w:rPr>
  </w:style>
  <w:style w:type="character" w:styleId="WW8Num10z1">
    <w:name w:val="WW8Num10z1"/>
    <w:qFormat/>
    <w:rPr>
      <w:rFonts w:ascii="Wingdings 2" w:hAnsi="Wingdings 2" w:cs="StarSymbol;Arial Unicode MS"/>
      <w:sz w:val="18"/>
      <w:szCs w:val="18"/>
    </w:rPr>
  </w:style>
  <w:style w:type="character" w:styleId="WW8Num10z2">
    <w:name w:val="WW8Num10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10z3">
    <w:name w:val="WW8Num10z3"/>
    <w:qFormat/>
    <w:rPr>
      <w:rFonts w:ascii="Wingdings" w:hAnsi="Wingdings" w:cs="StarSymbol;Arial Unicode MS"/>
      <w:sz w:val="18"/>
      <w:szCs w:val="18"/>
    </w:rPr>
  </w:style>
  <w:style w:type="character" w:styleId="WW8Num11z0">
    <w:name w:val="WW8Num11z0"/>
    <w:qFormat/>
    <w:rPr>
      <w:rFonts w:ascii="Arial,Bold;Arial" w:hAnsi="Arial,Bold;Arial" w:eastAsia="Batang;바탕" w:cs="Arial,Bold;Aria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def">
    <w:name w:val="def"/>
    <w:basedOn w:val="Standardnpsmoodstavce"/>
    <w:qFormat/>
    <w:rPr/>
  </w:style>
  <w:style w:type="character" w:styleId="tcz">
    <w:name w:val="tcz"/>
    <w:basedOn w:val="Standardnpsmoodstavce"/>
    <w:qFormat/>
    <w:rPr/>
  </w:style>
  <w:style w:type="character" w:styleId="hps">
    <w:name w:val="hps"/>
    <w:basedOn w:val="Standardnpsmoodstavce"/>
    <w:qFormat/>
    <w:rPr/>
  </w:style>
  <w:style w:type="character" w:styleId="atn">
    <w:name w:val="atn"/>
    <w:basedOn w:val="Standardnpsmoodstavce"/>
    <w:qFormat/>
    <w:rPr/>
  </w:style>
  <w:style w:type="character" w:styleId="Nadpis2Char">
    <w:name w:val="Nadpis 2 Char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shorttext">
    <w:name w:val="short_text"/>
    <w:basedOn w:val="Standardnpsmoodstavce"/>
    <w:qFormat/>
    <w:rPr/>
  </w:style>
  <w:style w:type="character" w:styleId="TextbublinyChar">
    <w:name w:val="Text bubliny Char"/>
    <w:qFormat/>
    <w:rPr>
      <w:rFonts w:ascii="Tahoma" w:hAnsi="Tahoma" w:cs="Tahoma"/>
      <w:sz w:val="16"/>
      <w:szCs w:val="16"/>
    </w:rPr>
  </w:style>
  <w:style w:type="character" w:styleId="Odkaznakoment">
    <w:name w:val="Odkaz na komentář"/>
    <w:qFormat/>
    <w:rPr>
      <w:sz w:val="16"/>
      <w:szCs w:val="16"/>
    </w:rPr>
  </w:style>
  <w:style w:type="character" w:styleId="TextkomenteChar">
    <w:name w:val="Text komentáře Char"/>
    <w:qFormat/>
    <w:rPr>
      <w:rFonts w:ascii="Arial" w:hAnsi="Arial" w:cs="Arial"/>
    </w:rPr>
  </w:style>
  <w:style w:type="character" w:styleId="PedmtkomenteChar">
    <w:name w:val="Předmět komentáře Char"/>
    <w:qFormat/>
    <w:rPr>
      <w:rFonts w:ascii="Arial" w:hAnsi="Arial" w:cs="Arial"/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a2">
    <w:name w:val="a2"/>
    <w:basedOn w:val="Heading2"/>
    <w:next w:val="Normal"/>
    <w:qFormat/>
    <w:pPr>
      <w:tabs>
        <w:tab w:val="clear" w:pos="708"/>
        <w:tab w:val="left" w:pos="500" w:leader="none"/>
        <w:tab w:val="left" w:pos="720" w:leader="none"/>
      </w:tabs>
      <w:suppressAutoHyphens w:val="true"/>
      <w:spacing w:lineRule="exact" w:line="270" w:before="270" w:after="240"/>
    </w:pPr>
    <w:rPr>
      <w:rFonts w:ascii="Arial" w:hAnsi="Arial" w:eastAsia="Times New Roman" w:cs="Times New Roman"/>
      <w:bCs w:val="false"/>
      <w:i w:val="false"/>
      <w:iCs w:val="false"/>
      <w:sz w:val="24"/>
      <w:szCs w:val="20"/>
      <w:lang w:val="en-GB"/>
    </w:rPr>
  </w:style>
  <w:style w:type="paragraph" w:styleId="ANNEX">
    <w:name w:val="ANNEX"/>
    <w:basedOn w:val="Normal"/>
    <w:next w:val="Normal"/>
    <w:qFormat/>
    <w:pPr>
      <w:keepNext w:val="true"/>
      <w:pageBreakBefore/>
      <w:spacing w:lineRule="auto" w:line="310" w:before="0" w:after="760"/>
      <w:jc w:val="center"/>
    </w:pPr>
    <w:rPr>
      <w:rFonts w:eastAsia="Times New Roman"/>
      <w:b/>
      <w:sz w:val="28"/>
      <w:lang w:val="en-GB"/>
    </w:rPr>
  </w:style>
  <w:style w:type="paragraph" w:styleId="Titulek">
    <w:name w:val="Titulek"/>
    <w:basedOn w:val="Normal"/>
    <w:next w:val="Normal"/>
    <w:qFormat/>
    <w:pPr/>
    <w:rPr>
      <w:b/>
      <w:bCs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Textkomente">
    <w:name w:val="Text komentáře"/>
    <w:basedOn w:val="Normal"/>
    <w:qFormat/>
    <w:pPr/>
    <w:rPr>
      <w:lang w:val="en-US"/>
    </w:rPr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Seznamvnorm">
    <w:name w:val="Seznam v normě"/>
    <w:basedOn w:val="Textnormy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2008-08-25T22:31:00Z</dcterms:created>
  <dc:creator>David Bárta</dc:creator>
  <dc:description/>
  <cp:keywords/>
  <dc:language>en-US</dc:language>
  <cp:lastModifiedBy>lens</cp:lastModifiedBy>
  <cp:lastPrinted>2008-09-09T16:39:00Z</cp:lastPrinted>
  <dcterms:modified xsi:type="dcterms:W3CDTF">2012-11-21T20:05:00Z</dcterms:modified>
  <cp:revision>42</cp:revision>
  <dc:subject/>
  <dc:title>ČESKÁ TECHNICKÁ NORMA</dc:title>
</cp:coreProperties>
</file>