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0"/>
        </w:tabs>
        <w:spacing w:after="6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EXTRAKT z technické specifikace ISO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Extrakt nenahrazuje samotnou technickou normu, je pouze informativním materiálem o normě.</w:t>
      </w:r>
    </w:p>
    <w:tbl>
      <w:tblPr>
        <w:tblStyle w:val="Table1"/>
        <w:tblW w:w="9923.0" w:type="dxa"/>
        <w:jc w:val="left"/>
        <w:tblBorders>
          <w:top w:color="000000" w:space="0" w:sz="12" w:val="single"/>
          <w:bottom w:color="000000" w:space="0" w:sz="12" w:val="single"/>
        </w:tblBorders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cantSplit w:val="0"/>
          <w:trHeight w:val="17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40" w:lineRule="auto"/>
              <w:ind w:left="0" w:right="56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Inteligentní dopravní systémy – </w:t>
              <w:br w:type="textWrapping"/>
              <w:t xml:space="preserve">Dopravní a cestovní informace v dopravním protokolu expertní skupiny, druhá generace (TPEG2) – Část 10: Informace o podmíněném přístupu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3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3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ISO/TS 21219-10</w:t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01 8259</w:t>
            </w:r>
          </w:p>
        </w:tc>
      </w:tr>
    </w:tbl>
    <w:p w:rsidR="00000000" w:rsidDel="00000000" w:rsidP="00000000" w:rsidRDefault="00000000" w:rsidRPr="00000000" w14:paraId="00000008">
      <w:pPr>
        <w:keepNext w:val="1"/>
        <w:keepLines w:val="1"/>
        <w:pageBreakBefore w:val="0"/>
        <w:tabs>
          <w:tab w:val="right" w:leader="none" w:pos="9923"/>
        </w:tabs>
        <w:spacing w:after="360" w:before="240" w:lineRule="auto"/>
        <w:jc w:val="right"/>
        <w:rPr>
          <w:sz w:val="28"/>
          <w:szCs w:val="28"/>
        </w:rPr>
      </w:pPr>
      <w:bookmarkStart w:colFirst="0" w:colLast="0" w:name="_gjdgxs" w:id="0"/>
      <w:bookmarkEnd w:id="0"/>
      <w:r>
        <w:rPr>
          <w:sz w:val="28"/>
          <w:szCs w:val="28"/>
          <w:rtl w:val="0"/>
        </w:rPr>
        <w:t xml:space="preserve">	Vydána 2015, 19 stran</w:t>
      </w:r>
    </w:p>
    <w:p w:rsidR="00000000" w:rsidDel="00000000" w:rsidP="00000000" w:rsidRDefault="00000000" w:rsidRPr="00000000" w14:paraId="00000009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B">
      <w:pPr>
        <w:pageBreakBefore w:val="0"/>
        <w:spacing w:after="120" w:lineRule="auto"/>
        <w:jc w:val="both"/>
        <w:rPr/>
      </w:pPr>
      <w:r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:rsidR="00000000" w:rsidDel="00000000" w:rsidP="00000000" w:rsidRDefault="00000000" w:rsidRPr="00000000" w14:paraId="0000000C">
      <w:pPr>
        <w:pageBreakBefore w:val="0"/>
        <w:spacing w:after="120" w:lineRule="auto"/>
        <w:jc w:val="both"/>
        <w:rPr/>
      </w:pPr>
      <w:r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:rsidR="00000000" w:rsidDel="00000000" w:rsidP="00000000" w:rsidRDefault="00000000" w:rsidRPr="00000000" w14:paraId="0000000D">
      <w:pPr>
        <w:pageBreakBefore w:val="0"/>
        <w:spacing w:after="120" w:lineRule="auto"/>
        <w:jc w:val="both"/>
        <w:rPr/>
      </w:pPr>
      <w:r>
        <w:rPr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14">
      <w:pPr>
        <w:pageBreakBefore w:val="0"/>
        <w:spacing w:after="120" w:lineRule="auto"/>
        <w:jc w:val="both"/>
        <w:rPr/>
      </w:pPr>
      <w:r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:rsidR="00000000" w:rsidDel="00000000" w:rsidP="00000000" w:rsidRDefault="00000000" w:rsidRPr="00000000" w14:paraId="00000015">
      <w:pPr>
        <w:pageBreakBefore w:val="0"/>
        <w:spacing w:after="120" w:lineRule="auto"/>
        <w:jc w:val="both"/>
        <w:rPr/>
      </w:pPr>
      <w:r>
        <w:rPr>
          <w:rtl w:val="0"/>
        </w:rPr>
        <w:t xml:space="preserve">Tento extrakt (dále jen “popisovaný dokument”) popisuje část 10 normy TPEG, která specifikuje obálku komponenty CAI a popisuje vhodnost linkování komponent CAI se zašifrovaným obsahem v jiných komponentách služby.</w:t>
      </w:r>
    </w:p>
    <w:p w:rsidR="00000000" w:rsidDel="00000000" w:rsidP="00000000" w:rsidRDefault="00000000" w:rsidRPr="00000000" w14:paraId="00000016">
      <w:pPr>
        <w:pageBreakBefore w:val="0"/>
        <w:spacing w:after="200" w:before="80" w:lineRule="auto"/>
        <w:jc w:val="both"/>
        <w:rPr>
          <w:sz w:val="18"/>
          <w:szCs w:val="18"/>
        </w:rPr>
      </w:pPr>
      <w:r>
        <w:rPr>
          <w:sz w:val="18"/>
          <w:szCs w:val="18"/>
          <w:rtl w:val="0"/>
          <w:i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8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Části přenášených informací mohou být zašifrovány a tím podmíněně zpřístupněné pouze odběratelům vlastnícím dešifrovací klíč. Tato část se zabývá poskytnutím informací o tom, které části služby jsou nějakým způsobem zašifrovány (a tím podmíněně přístupné).</w:t>
      </w:r>
    </w:p>
    <w:p w:rsidR="00000000" w:rsidDel="00000000" w:rsidP="00000000" w:rsidRDefault="00000000" w:rsidRPr="00000000" w14:paraId="00000019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Popisovaný dokument stanovuje obálku pro informace o podmíněném přístupu. Obálka je v rámci služby přenášena současně s ostatními komponentami služby a informuje o zašifrovaných komponentách. Dokument odkazuje na TPEG2-SNI a TPEG2-SWF, které stanovují, jak mají vypadat zašifrované komponenty služby a jak na ně odkazovat. Konkrétní struktura kontejneru aplikace CAI není v tomto dokumentu stanovena.</w:t>
      </w:r>
    </w:p>
    <w:p w:rsidR="00000000" w:rsidDel="00000000" w:rsidP="00000000" w:rsidRDefault="00000000" w:rsidRPr="00000000" w14:paraId="0000001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Popisovaný dokument je vhodný pro programátory a tvůrce zašifrovaných služeb, které informuje o způsobu předávání informací o podmíněném přístupu (zašifrovaných částech služby). Pro samotnou implementaci podmíněného přístupu nestačí, zde jsou potřeba další normy, viz výše.</w:t>
      </w:r>
    </w:p>
    <w:p w:rsidR="00000000" w:rsidDel="00000000" w:rsidP="00000000" w:rsidRDefault="00000000" w:rsidRPr="00000000" w14:paraId="0000001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Souvisící normy (výběr)</w:t>
      </w:r>
    </w:p>
    <w:p w:rsidR="00000000" w:rsidDel="00000000" w:rsidP="00000000" w:rsidRDefault="00000000" w:rsidRPr="00000000" w14:paraId="0000001C">
      <w:pPr>
        <w:pageBreakBefore w:val="0"/>
        <w:spacing w:after="120" w:lineRule="auto"/>
        <w:jc w:val="both"/>
        <w:rPr/>
      </w:pPr>
      <w:r>
        <w:rPr>
          <w:rtl w:val="0"/>
        </w:rPr>
        <w:t xml:space="preserve">Tento dokument uvádí 7 normativních odkazů na normu TPEG2 ISO 21219 části 1-6 a 9. Důležité jsou zejména TPEG2-SNI (část 5) a TPEG2-SWF (část 9).</w:t>
      </w:r>
    </w:p>
    <w:p w:rsidR="00000000" w:rsidDel="00000000" w:rsidP="00000000" w:rsidRDefault="00000000" w:rsidRPr="00000000" w14:paraId="0000001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1 Předmět</w:t>
      </w:r>
    </w:p>
    <w:p w:rsidR="00000000" w:rsidDel="00000000" w:rsidP="00000000" w:rsidRDefault="00000000" w:rsidRPr="00000000" w14:paraId="0000001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Popisovaný dokument definuje aplikaci TPEG2-CAI „podmíněného přístupu“ na úrovni komponenty služby. Ta umožňuje chránit obsah služby TPEG před neoprávněným přístupem. Dále zmiňuje správu informací o odběratelích na klientských zařízeních za účelem nastavení, prodloužení nebo zrušení předplatného na daném klientském zařízení.</w:t>
      </w:r>
    </w:p>
    <w:p w:rsidR="00000000" w:rsidDel="00000000" w:rsidP="00000000" w:rsidRDefault="00000000" w:rsidRPr="00000000" w14:paraId="0000001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3 Termíny a definice</w:t>
      </w:r>
    </w:p>
    <w:p w:rsidR="00000000" w:rsidDel="00000000" w:rsidP="00000000" w:rsidRDefault="00000000" w:rsidRPr="00000000" w14:paraId="0000002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definuje dva termíny, služba a komponenta služby.</w:t>
      </w:r>
    </w:p>
    <w:p w:rsidR="00000000" w:rsidDel="00000000" w:rsidP="00000000" w:rsidRDefault="00000000" w:rsidRPr="00000000" w14:paraId="00000021">
      <w:pPr>
        <w:pageBreakBefore w:val="0"/>
        <w:spacing w:after="120" w:lineRule="auto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rtl w:val="0"/>
        </w:rPr>
        <w:t xml:space="preserve">služba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(service) </w:t>
      </w:r>
      <w:r w:rsidDel="00000000" w:rsidR="00000000" w:rsidRPr="00000000">
        <w:rPr>
          <w:rtl w:val="0"/>
        </w:rPr>
        <w:t xml:space="preserve">– sbírka různých informačních toků (aplikací) logicky spojených a dodaných od poskytovatele služeb koncovému uživateli </w:t>
      </w:r>
    </w:p>
    <w:p w:rsidR="00000000" w:rsidDel="00000000" w:rsidP="00000000" w:rsidRDefault="00000000" w:rsidRPr="00000000" w14:paraId="00000022">
      <w:pPr>
        <w:pageBreakBefore w:val="0"/>
        <w:spacing w:after="120" w:lineRule="auto"/>
        <w:jc w:val="both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komponenta služby </w:t>
      </w:r>
      <w:r w:rsidDel="00000000" w:rsidR="00000000" w:rsidRPr="00000000">
        <w:rPr>
          <w:i w:val="1"/>
          <w:iCs w:val="1"/>
          <w:rtl w:val="0"/>
        </w:rPr>
        <w:t xml:space="preserve">(service component) </w:t>
      </w:r>
      <w:r w:rsidDel="00000000" w:rsidR="00000000" w:rsidRPr="00000000">
        <w:rPr>
          <w:rtl w:val="0"/>
        </w:rPr>
        <w:t xml:space="preserve">– součást služby ze kterých může být služba poskládána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4 Zkratky</w:t>
      </w:r>
    </w:p>
    <w:p w:rsidR="00000000" w:rsidDel="00000000" w:rsidP="00000000" w:rsidRDefault="00000000" w:rsidRPr="00000000" w14:paraId="00000024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stanoví 16 zkratek. V kapitole jsou uvedeny pouze některé zkratky částí normy TPEG. Tyto zkratky uvádíme v úvodu tohoto extraktu, proto je zde dále neuvádíme.</w:t>
      </w:r>
    </w:p>
    <w:p w:rsidR="00000000" w:rsidDel="00000000" w:rsidP="00000000" w:rsidRDefault="00000000" w:rsidRPr="00000000" w14:paraId="0000002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TPEG</w:t>
      </w:r>
      <w:r w:rsidDel="00000000" w:rsidR="00000000" w:rsidRPr="00000000">
        <w:rPr>
          <w:rtl w:val="0"/>
        </w:rPr>
        <w:tab/>
        <w:t xml:space="preserve">dopravní protokol expertní skupiny </w:t>
      </w:r>
      <w:r w:rsidDel="00000000" w:rsidR="00000000" w:rsidRPr="00000000">
        <w:rPr>
          <w:i w:val="1"/>
          <w:iCs w:val="1"/>
          <w:rtl w:val="0"/>
        </w:rPr>
        <w:t xml:space="preserve">(transport protocol experts 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EncID</w:t>
        <w:tab/>
      </w:r>
      <w:r w:rsidDel="00000000" w:rsidR="00000000" w:rsidRPr="00000000">
        <w:rPr>
          <w:rtl w:val="0"/>
        </w:rPr>
        <w:t xml:space="preserve">identifikace šifrování </w:t>
      </w:r>
      <w:r w:rsidDel="00000000" w:rsidR="00000000" w:rsidRPr="00000000">
        <w:rPr>
          <w:i w:val="1"/>
          <w:iCs w:val="1"/>
          <w:rtl w:val="0"/>
        </w:rPr>
        <w:t xml:space="preserve">(encryption identifier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AID</w:t>
        <w:tab/>
      </w:r>
      <w:r w:rsidDel="00000000" w:rsidR="00000000" w:rsidRPr="00000000">
        <w:rPr>
          <w:rtl w:val="0"/>
        </w:rPr>
        <w:t xml:space="preserve">identifikace aplikace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application identification)</w:t>
      </w:r>
    </w:p>
    <w:p w:rsidR="00000000" w:rsidDel="00000000" w:rsidP="00000000" w:rsidRDefault="00000000" w:rsidRPr="00000000" w14:paraId="00000028">
      <w:pPr>
        <w:pageBreakBefore w:val="0"/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CAI</w:t>
        <w:tab/>
      </w:r>
      <w:r w:rsidDel="00000000" w:rsidR="00000000" w:rsidRPr="00000000">
        <w:rPr>
          <w:rtl w:val="0"/>
        </w:rPr>
        <w:t xml:space="preserve">informace o podmíněném přístupu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conditional access information)</w:t>
      </w:r>
    </w:p>
    <w:p w:rsidR="00000000" w:rsidDel="00000000" w:rsidP="00000000" w:rsidRDefault="00000000" w:rsidRPr="00000000" w14:paraId="00000029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Další termíny a zkratky z oboru ITS jsou obsaženy ve slovníku ITS terminology (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www.itsterminology.org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5 Podmínky a omezení aplikace</w:t>
      </w:r>
    </w:p>
    <w:p w:rsidR="00000000" w:rsidDel="00000000" w:rsidP="00000000" w:rsidRDefault="00000000" w:rsidRPr="00000000" w14:paraId="0000002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(rozsah 1/2 strany) nejprve vymezuje použití identifikátoru aplikace (AID) v rámci informací o službě; každá „aplikace“ TPEG má svůj identifikátor stanovený v části 1 normy (TPEG-INV). AID je použit v TPEG2-SNI k indikaci, jakým způsobem má dekodér pracovat s předávaným obsahem.</w:t>
      </w:r>
    </w:p>
    <w:p w:rsidR="00000000" w:rsidDel="00000000" w:rsidP="00000000" w:rsidRDefault="00000000" w:rsidRPr="00000000" w14:paraId="0000002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Dále se věnuje způsobu předání informace o verzi aplikace. Verze je klíčová z pohledu dekodéru, jednotlivé verze stejné aplikace se totiž mohou od sebe lišit strukturou, obsahem, atp. Princip přidělování verzí je stanoven v popisovaném dokumentu.</w:t>
      </w:r>
    </w:p>
    <w:p w:rsidR="00000000" w:rsidDel="00000000" w:rsidP="00000000" w:rsidRDefault="00000000" w:rsidRPr="00000000" w14:paraId="0000002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CAI používá rámec komponent služby TPEG s CRC daty dle specifikace v TPEG2-UXCR.</w:t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6 Metodika podmíněného přístupu</w:t>
      </w:r>
    </w:p>
    <w:p w:rsidR="00000000" w:rsidDel="00000000" w:rsidP="00000000" w:rsidRDefault="00000000" w:rsidRPr="00000000" w14:paraId="0000002F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(rozsah 1 strana) uvádí, že podmíněný přístup je stanoven v normách TEPG2-SFW a TPEG2-SNI jako funkce aplikovaná na úrovni rámce služby či komponent služby. Šifrovací metoda je indikovaná pomocí identifikátoru šifrování (EncID) přímo v rámci služby či pro její komponenty prostřednictvím tabulky GST1.</w:t>
      </w:r>
    </w:p>
    <w:p w:rsidR="00000000" w:rsidDel="00000000" w:rsidP="00000000" w:rsidRDefault="00000000" w:rsidRPr="00000000" w14:paraId="0000003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Kapitola dále uvádí, že k dešifrování zašifrovaného obsahu je zapotřebí někde přenášet informace o použitém způsobu šifrování, o tom, co je a co není zašifrováno nezávisle na zašifrovaném obsahu. Ideálním způsobem, jak tyto informace přenášet, je prostřednictvím další komponenty služby s vyhrazeným AID.</w:t>
      </w:r>
    </w:p>
    <w:p w:rsidR="00000000" w:rsidDel="00000000" w:rsidP="00000000" w:rsidRDefault="00000000" w:rsidRPr="00000000" w14:paraId="00000031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Některé komponenty služby mohou být zašifrovány jedním (stejným) klíčem, zatímco jiné komponenty jiným. To umožňuje prodávat „balíčky“ služeb (pro všechny komponenty „balíčku“ je použit stejný šifrovací klíč). </w:t>
      </w:r>
    </w:p>
    <w:p w:rsidR="00000000" w:rsidDel="00000000" w:rsidP="00000000" w:rsidRDefault="00000000" w:rsidRPr="00000000" w14:paraId="0000003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Každá zašifrovaná komponenta služby musí být propojena s relevantní komponentou CAI nesoucí informace o podmíněném přístupu. Toto se řeší prostřednictvím tabulky GST-6 Odkazy CAI.</w:t>
      </w:r>
    </w:p>
    <w:p w:rsidR="00000000" w:rsidDel="00000000" w:rsidP="00000000" w:rsidRDefault="00000000" w:rsidRPr="00000000" w14:paraId="00000033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Dále tato kapitola uvádí příklad, kdy rámec služby obsahuje 9 komponent. Komponentu SNI, dále jednu nezašifrovanou komponentu TEC a 2 zašifrované TEC (stejným klíčem), jednu zašifrovanou a nezašifrovanou komponentu PKI a dále 3 komponenty CAI. První pro indikaci skupiny TEC, druhou pro indikaci komponenty PKI a třetí pro všechny zašifrované komponenty dohromady.</w:t>
      </w:r>
    </w:p>
    <w:p w:rsidR="00000000" w:rsidDel="00000000" w:rsidP="00000000" w:rsidRDefault="00000000" w:rsidRPr="00000000" w14:paraId="00000034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Metodika dále uvádí, že popisovaný dokument stanovuje obálku, do které musí být teprve vložen obsah specifický dle použitého způsobu podmíněného přístupu (dle indikace pomocí EncID).</w:t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7 Struktura CAI</w:t>
      </w:r>
    </w:p>
    <w:p w:rsidR="00000000" w:rsidDel="00000000" w:rsidP="00000000" w:rsidRDefault="00000000" w:rsidRPr="00000000" w14:paraId="00000036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(rozsah 1 obrázek) uvádí strukturu CAI. Na rozdíl od dalších aplikací TPEG nemá aplikace CAI kontejnery pro popis polohy a řízení zprávy, skládá se pouze z jedné generické komponenty, jejíž obsah v dokumentu není stanoven.</w:t>
      </w:r>
    </w:p>
    <w:p w:rsidR="00000000" w:rsidDel="00000000" w:rsidP="00000000" w:rsidRDefault="00000000" w:rsidRPr="00000000" w14:paraId="00000037">
      <w:pPr>
        <w:pageBreakBefore w:val="0"/>
        <w:spacing w:after="120" w:lineRule="auto"/>
        <w:ind w:left="709"/>
        <w:jc w:val="center"/>
        <w:rPr/>
      </w:pPr>
      <w:r w:rsidDel="00000000" w:rsidR="00000000" w:rsidRPr="00000000">
        <w:rPr/>
        <w:drawing>
          <wp:inline distB="0" distT="0" distL="0" distR="0">
            <wp:extent cx="1705927" cy="16980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927" cy="169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20" w:before="120" w:lineRule="auto"/>
        <w:jc w:val="center"/>
        <w:rPr>
          <w:b w:val="1"/>
          <w:bCs w:val="1"/>
        </w:rPr>
      </w:pPr>
      <w:r>
        <w:rPr>
          <w:rtl w:val="0"/>
        </w:rPr>
        <w:t xml:space="preserve">Obrázek 1 – </w:t>
      </w:r>
      <w:r>
        <w:rPr>
          <w:rtl w:val="0"/>
        </w:rPr>
        <w:t xml:space="preserve">Struktura zprávy CAI (obr. 1 dokumentu)</w:t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8 Komponenty CAI zprávy</w:t>
      </w:r>
    </w:p>
    <w:p w:rsidR="00000000" w:rsidDel="00000000" w:rsidP="00000000" w:rsidRDefault="00000000" w:rsidRPr="00000000" w14:paraId="0000003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(rozsah 1 odstavec) popisuje komponenty zprávy CAI. </w:t>
      </w:r>
    </w:p>
    <w:p w:rsidR="00000000" w:rsidDel="00000000" w:rsidP="00000000" w:rsidRDefault="00000000" w:rsidRPr="00000000" w14:paraId="0000003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Uvádí, že zpráva CAI obsahuje pouze jeden kontejner, jehož struktura je definována v jiných dokumentech (normách) pro ten který systém podmíněného přístupu. Systém podmíněného přístupu je určen indikátorem šifrování (EncID) signalizovaným v SNI.</w:t>
      </w:r>
    </w:p>
    <w:p w:rsidR="00000000" w:rsidDel="00000000" w:rsidP="00000000" w:rsidRDefault="00000000" w:rsidRPr="00000000" w14:paraId="0000003C">
      <w:pPr>
        <w:pStyle w:val="Heading1"/>
        <w:pageBreakBefore w:val="0"/>
        <w:rPr/>
      </w:pPr>
      <w:r>
        <w:rPr>
          <w:rtl w:val="0"/>
        </w:rPr>
        <w:t xml:space="preserve">9 Literatura</w:t>
      </w:r>
    </w:p>
    <w:p w:rsidR="00000000" w:rsidDel="00000000" w:rsidP="00000000" w:rsidRDefault="00000000" w:rsidRPr="00000000" w14:paraId="0000003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kapitola uvádí dva odkazy, první na předchozí verzi CAI v TPEG1 a druhý na definici XML schématu.</w:t>
      </w:r>
    </w:p>
    <w:p w:rsidR="00000000" w:rsidDel="00000000" w:rsidP="00000000" w:rsidRDefault="00000000" w:rsidRPr="00000000" w14:paraId="0000003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Příloha A </w:t>
      </w:r>
      <w:r w:rsidDel="00000000" w:rsidR="00000000" w:rsidRPr="00000000">
        <w:rPr>
          <w:b w:val="0"/>
          <w:bCs w:val="0"/>
          <w:rtl w:val="0"/>
        </w:rPr>
        <w:t xml:space="preserve">(normativní) </w:t>
      </w:r>
      <w:r w:rsidDel="00000000" w:rsidR="00000000" w:rsidRPr="00000000">
        <w:rPr>
          <w:rtl w:val="0"/>
        </w:rPr>
        <w:t xml:space="preserve">TPEG-bin reprezentace CAI</w:t>
      </w:r>
    </w:p>
    <w:p w:rsidR="00000000" w:rsidDel="00000000" w:rsidP="00000000" w:rsidRDefault="00000000" w:rsidRPr="00000000" w14:paraId="0000003F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příloha o rozsahu 1 strany stanovuje binární reprezentaci aplikace informace o podmíněném přístupu (CAI) TPEG pro použití v DAB. Popis binární reprezentace je použit pseudokód, kde pro každé klíčové slovo zapsané struktury je znám jeho binární tvar. </w:t>
      </w:r>
    </w:p>
    <w:p w:rsidR="00000000" w:rsidDel="00000000" w:rsidP="00000000" w:rsidRDefault="00000000" w:rsidRPr="00000000" w14:paraId="0000004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Kapitola stanovuje identifikátor zprávy CAI a strukturu zprávy pomocí instrukce „external“, nestanovuje tedy strukturu obsahu, ale pouze „obálku“. </w:t>
      </w:r>
    </w:p>
    <w:p w:rsidR="00000000" w:rsidDel="00000000" w:rsidP="00000000" w:rsidRDefault="00000000" w:rsidRPr="00000000" w14:paraId="0000004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Příloha B </w:t>
      </w:r>
      <w:r w:rsidDel="00000000" w:rsidR="00000000" w:rsidRPr="00000000">
        <w:rPr>
          <w:b w:val="0"/>
          <w:bCs w:val="0"/>
          <w:rtl w:val="0"/>
        </w:rPr>
        <w:t xml:space="preserve">(normativní)</w:t>
      </w:r>
      <w:r w:rsidDel="00000000" w:rsidR="00000000" w:rsidRPr="00000000">
        <w:rPr>
          <w:rtl w:val="0"/>
        </w:rPr>
        <w:t xml:space="preserve"> TPEG-ML reprezentace CAI</w:t>
      </w:r>
    </w:p>
    <w:p w:rsidR="00000000" w:rsidDel="00000000" w:rsidP="00000000" w:rsidRDefault="00000000" w:rsidRPr="00000000" w14:paraId="0000004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Tato příloha o rozsahu 1 strany obsahuje popis XML reprezentace a XML schéma rámce TPEG.</w:t>
      </w:r>
    </w:p>
    <w:p w:rsidR="00000000" w:rsidDel="00000000" w:rsidP="00000000" w:rsidRDefault="00000000" w:rsidRPr="00000000" w14:paraId="00000043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Stanovuje prázdné XML schéma a uvádí, že do tohoto prázdného schématu má být naimportováno externí schéma stanovující konkrétní strukturu kontejneru CAI dle požadavků té které aplikace.</w:t>
      </w:r>
    </w:p>
    <w:sectPr>
      <w:footerReference r:id="rId8" w:type="default"/>
      <w:footerReference r:id="rId9" w:type="first"/>
      <w:footerReference r:id="rId10" w:type="even"/>
      <w:pgSz w:h="16840" w:w="11907" w:orient="portrait"/>
      <w:pgMar w:bottom="1134" w:top="1134" w:left="1021" w:right="964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s-C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www.itsterminology.org" TargetMode="Externa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