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xml" PartName="/customXML/item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package.core-properties+xml" PartName="/docProps/core.xml"/>
  <Override ContentType="application/vnd.openxmlformats-officedocument.theme+xml" PartName="/word/theme/theme1.xml"/>
  <Override ContentType="application/vnd.openxmlformats-officedocument.wordprocessingml.comments+xml" PartName="/word/comments.xml"/>
  <Override ContentType="application/vnd.openxmlformats-officedocument.wordprocessingml.settings+xml" PartName="/word/settings.xml"/>
  <Override ContentType="application/vnd.openxmlformats-officedocument.custom-properties+xml" PartName="/docProps/custom.xml"/>
  <Override ContentType="application/vnd.openxmlformats-officedocument.customXmlProperties+xml" PartName="/customXML/itemProps1.xml"/>
  <Override ContentType="application/vnd.openxmlformats-officedocument.wordprocessingml.footer+xml" PartName="/word/footer1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wordprocessingml.commentsExtended+xml" PartName="/word/commentsExtended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custom-properties" Target="docProps/custom.xml"/><Relationship Id="rId2" Type="http://schemas.openxmlformats.org/package/2006/relationships/metadata/core-properties" Target="docProps/core.xml"/><Relationship Id="rId3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keepNext w:val="1"/>
        <w:keepLines w:val="1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tabs>
          <w:tab w:val="left" w:pos="7080"/>
          <w:tab w:val="right" w:pos="9923"/>
        </w:tabs>
        <w:spacing w:after="60" w:before="0" w:line="276" w:lineRule="auto"/>
        <w:ind w:left="0" w:right="0" w:firstLine="0"/>
        <w:jc w:val="center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</w:pPr>
      <w:bookmarkStart w:colFirst="0" w:colLast="0" w:name="_heading=h.gjdgxs" w:id="0"/>
      <w:bookmarkEnd w:id="0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</w:rPr>
        <w:drawing>
          <wp:anchor allowOverlap="1" behindDoc="0" distB="0" distT="0" distL="114300" distR="114300" hidden="0" layoutInCell="1" locked="0" relativeHeight="0" simplePos="0">
            <wp:simplePos x="0" y="0"/>
            <wp:positionH relativeFrom="leftMargin">
              <wp:posOffset>0</wp:posOffset>
            </wp:positionH>
            <wp:positionV relativeFrom="topMargin">
              <wp:posOffset>-449579</wp:posOffset>
            </wp:positionV>
            <wp:extent cx="75565" cy="151765"/>
            <wp:effectExtent b="0" l="0" r="0" t="0"/>
            <wp:wrapSquare wrapText="bothSides" distB="0" distT="0" distL="114300" distR="114300"/>
            <wp:docPr id="103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565" cy="15176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sdt>
        <w:sdtPr>
          <w:tag w:val="goog_rdk_0"/>
        </w:sdtPr>
        <w:sdtContent/>
      </w:sdt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40"/>
          <w:szCs w:val="40"/>
          <w:u w:val="none"/>
          <w:shd w:fill="auto" w:val="clear"/>
          <w:vertAlign w:val="baseline"/>
          <w:rtl w:val="0"/>
        </w:rPr>
        <w:t xml:space="preserve">EXTRAKT z technické specifikace ISO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6"/>
          <w:szCs w:val="16"/>
          <w:u w:val="none"/>
          <w:shd w:fill="auto" w:val="clear"/>
          <w:vertAlign w:val="baseline"/>
        </w:rPr>
      </w:pPr>
      <w:bookmarkStart w:colFirst="0" w:colLast="0" w:name="_heading=h.30j0zll" w:id="1"/>
      <w:bookmarkEnd w:id="1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Extrakt nenahrazuje samotnou technickou normu, je pouze informativním materiálem o normě.</w:t>
      </w: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131.0" w:type="dxa"/>
        <w:tblLayout w:type="fixed"/>
        <w:tblLook w:val="0000"/>
      </w:tblPr>
      <w:tblGrid>
        <w:gridCol w:w="6764"/>
        <w:gridCol w:w="2266"/>
        <w:tblGridChange w:id="0">
          <w:tblGrid>
            <w:gridCol w:w="6764"/>
            <w:gridCol w:w="2266"/>
          </w:tblGrid>
        </w:tblGridChange>
      </w:tblGrid>
      <w:tr>
        <w:trPr>
          <w:trHeight w:val="1200" w:hRule="atLeast"/>
        </w:trPr>
        <w:tc>
          <w:tcPr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03">
            <w:pPr>
              <w:keepNext w:val="1"/>
              <w:keepLines w:val="1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76" w:lineRule="auto"/>
              <w:ind w:left="0" w:right="0" w:firstLine="0"/>
              <w:jc w:val="left"/>
              <w:rPr>
                <w:rFonts w:ascii="Arial" w:cs="Arial" w:eastAsia="Arial" w:hAnsi="Arial"/>
                <w:b w:val="1"/>
                <w:i w:val="1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Inteligentní dopravní systémy – Dopravní a cestovní informace předávané prostřednictvím expertní skupiny pro protokoly v dopravě 2. generace (TPEG 2) - Část 18: Aplikace pro informace o stavu dopravního proudu a jeho predikci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8" w:val="single"/>
              <w:bottom w:color="000000" w:space="0" w:sz="8" w:val="single"/>
            </w:tcBorders>
            <w:vAlign w:val="top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1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32"/>
                <w:szCs w:val="32"/>
                <w:u w:val="none"/>
                <w:shd w:fill="auto" w:val="clear"/>
                <w:vertAlign w:val="baseline"/>
                <w:rtl w:val="0"/>
              </w:rPr>
              <w:t xml:space="preserve">ISO/TS 21219-18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0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80" w:before="80" w:line="276" w:lineRule="auto"/>
              <w:ind w:left="0" w:right="0" w:firstLine="0"/>
              <w:jc w:val="left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8"/>
                <w:szCs w:val="28"/>
                <w:u w:val="none"/>
                <w:shd w:fill="auto" w:val="clear"/>
                <w:vertAlign w:val="baseline"/>
                <w:rtl w:val="0"/>
              </w:rPr>
              <w:t xml:space="preserve">01 8388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07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360" w:before="240" w:line="276" w:lineRule="auto"/>
        <w:ind w:left="0" w:right="0" w:firstLine="0"/>
        <w:jc w:val="righ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vertAlign w:val="baseline"/>
        </w:rPr>
      </w:pPr>
      <w:bookmarkStart w:colFirst="0" w:colLast="0" w:name="_heading=h.1fob9te" w:id="2"/>
      <w:bookmarkEnd w:id="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Vydána 201</w:t>
      </w:r>
      <w:r w:rsidDel="00000000" w:rsidR="00000000" w:rsidRPr="00000000">
        <w:rPr>
          <w:rFonts w:ascii="Arial" w:cs="Arial" w:eastAsia="Arial" w:hAnsi="Arial"/>
          <w:sz w:val="28"/>
          <w:szCs w:val="28"/>
          <w:rtl w:val="0"/>
        </w:rPr>
        <w:t xml:space="preserve">9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shd w:fill="auto" w:val="clear"/>
          <w:vertAlign w:val="baseline"/>
          <w:rtl w:val="0"/>
        </w:rPr>
        <w:t xml:space="preserve">,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8"/>
          <w:szCs w:val="28"/>
          <w:u w:val="none"/>
          <w:vertAlign w:val="baseline"/>
          <w:rtl w:val="0"/>
        </w:rPr>
        <w:t xml:space="preserve">58 stran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Úvod</w:t>
      </w:r>
    </w:p>
    <w:p w:rsidR="00000000" w:rsidDel="00000000" w:rsidP="00000000" w:rsidRDefault="00000000" w:rsidRPr="00000000" w14:paraId="0000000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stanovuje formát a protokol TPEG určený pro poskytování informací o dopravě koncovým uživatelům. TPEG je určen pro média s vysokou přenosovou kapacitou, umožňuje informace členit strukturovaně se zvyšující se mírou detailů a komplexně popisovat polohu.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Jednotlivé oblasti dopravních událostí jsou v TPEG popsány odděleně, pomocí platformě nezávislého modelu (UML) a dvou odvozených platformě závislých modelů (binární a XML). Části specifikace stanovují pravidla tvorby modelu jeho převodu do platformě závislé podoby.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Více informací o kontextu TPEG je obsaženo v úvodu extraktu k části 1 normy TPEG (21219-1).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Technická specifikace ISO 21219 se zabývá druhou generací protokolu TPEG, označovaným zkratkou TPEG2. Rozlišení TPEG/TPEG1/TPEG2 se většinou uvádí pouze v úvodní části norem/specifikací, zatímco ostatní kapitoly již mezi TPEG a TPEG2 nerozlišují – to je implicitní dle kontextu.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Tento extrakt (dále jen “popisovaný dokument”) popisuje část 18 normy TPEG „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Aplikace pro informace o stavu dopravního proudu a jeho predikci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(TFP)”, která specifikuje 3 metody popisu stavů dopravy na sledovaném úseku v čase.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240" w:line="240" w:lineRule="auto"/>
        <w:ind w:left="0" w:right="0" w:firstLine="0"/>
        <w:jc w:val="both"/>
        <w:rPr>
          <w:rFonts w:ascii="Times New Roman" w:cs="Times New Roman" w:eastAsia="Times New Roman" w:hAnsi="Times New Roman"/>
          <w:b w:val="0"/>
          <w:i w:val="0"/>
          <w:smallCaps w:val="0"/>
          <w:strike w:val="0"/>
          <w:color w:val="000000"/>
          <w:sz w:val="24"/>
          <w:szCs w:val="24"/>
          <w:u w:val="none"/>
          <w:shd w:fill="auto" w:val="clear"/>
          <w:vertAlign w:val="baseline"/>
        </w:rPr>
      </w:pPr>
      <w:bookmarkStart w:colFirst="0" w:colLast="0" w:name="_heading=h.3znysh7" w:id="3"/>
      <w:bookmarkEnd w:id="3"/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Poznámka: Extrakt uvádí vybrané kapitoly popisovaného dokumentu a přejímá původní číslování kapitol.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Užití</w:t>
      </w:r>
    </w:p>
    <w:p w:rsidR="00000000" w:rsidDel="00000000" w:rsidP="00000000" w:rsidRDefault="00000000" w:rsidRPr="00000000" w14:paraId="0000001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2et92p0" w:id="4"/>
      <w:bookmarkEnd w:id="4"/>
      <w:r w:rsidDel="00000000" w:rsidR="00000000" w:rsidRPr="00000000">
        <w:rPr>
          <w:rFonts w:ascii="Arial" w:cs="Arial" w:eastAsia="Arial" w:hAnsi="Arial"/>
          <w:rtl w:val="0"/>
        </w:rPr>
        <w:t xml:space="preserve">Popisovaný dokument stanovuje strukturu pro 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informace o stavu dopravního proudu a jeho predikci</w:t>
      </w:r>
      <w:r w:rsidDel="00000000" w:rsidR="00000000" w:rsidRPr="00000000">
        <w:rPr>
          <w:rFonts w:ascii="Arial" w:cs="Arial" w:eastAsia="Arial" w:hAnsi="Arial"/>
          <w:rtl w:val="0"/>
        </w:rPr>
        <w:t xml:space="preserve"> a pravidla pro tvorbu obsahu těchto struktur. Je nezbytný pro analytiky poskytovatele i příjemce dopravních informací, kteří mají na starost návrh datového modelu systému a návrh pravidel se kterými systém pracuje. Použije se při návrhu systému. </w:t>
      </w:r>
    </w:p>
    <w:p w:rsidR="00000000" w:rsidDel="00000000" w:rsidP="00000000" w:rsidRDefault="00000000" w:rsidRPr="00000000" w14:paraId="0000001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rxhk6wh1zgt5" w:id="5"/>
      <w:bookmarkEnd w:id="5"/>
      <w:r w:rsidDel="00000000" w:rsidR="00000000" w:rsidRPr="00000000">
        <w:rPr>
          <w:rFonts w:ascii="Arial" w:cs="Arial" w:eastAsia="Arial" w:hAnsi="Arial"/>
        </w:rPr>
        <w:drawing>
          <wp:inline distB="114300" distT="114300" distL="114300" distR="114300">
            <wp:extent cx="5760410" cy="1447800"/>
            <wp:effectExtent b="0" l="0" r="0" t="0"/>
            <wp:docPr id="1035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410" cy="14478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2">
      <w:pPr>
        <w:spacing w:after="200" w:line="276" w:lineRule="auto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Obrázek 1 - Původní mapování mezi stavy a stupni provozu (zdroj autor)</w:t>
      </w:r>
    </w:p>
    <w:p w:rsidR="00000000" w:rsidDel="00000000" w:rsidP="00000000" w:rsidRDefault="00000000" w:rsidRPr="00000000" w14:paraId="0000001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</w:rPr>
      </w:pPr>
      <w:bookmarkStart w:colFirst="0" w:colLast="0" w:name="_heading=h.g2f15um8sfb9" w:id="6"/>
      <w:bookmarkEnd w:id="6"/>
      <w:r w:rsidDel="00000000" w:rsidR="00000000" w:rsidRPr="00000000">
        <w:rPr>
          <w:rFonts w:ascii="Arial" w:cs="Arial" w:eastAsia="Arial" w:hAnsi="Arial"/>
          <w:rtl w:val="0"/>
        </w:rPr>
        <w:t xml:space="preserve">Stavy dopravního proudu (free, heavy, slow, queuing a stationary) se mírně liší od “stupňů provozu” používaných v ČR  (1-5, </w:t>
      </w:r>
      <w:hyperlink r:id="rId11">
        <w:r w:rsidDel="00000000" w:rsidR="00000000" w:rsidRPr="00000000">
          <w:rPr>
            <w:rFonts w:ascii="Arial" w:cs="Arial" w:eastAsia="Arial" w:hAnsi="Arial"/>
            <w:color w:val="1155cc"/>
            <w:u w:val="single"/>
            <w:rtl w:val="0"/>
          </w:rPr>
          <w:t xml:space="preserve">https://cs.wikipedia.org/wiki/Stupeň_provozu</w:t>
        </w:r>
      </w:hyperlink>
      <w:r w:rsidDel="00000000" w:rsidR="00000000" w:rsidRPr="00000000">
        <w:rPr>
          <w:rFonts w:ascii="Arial" w:cs="Arial" w:eastAsia="Arial" w:hAnsi="Arial"/>
          <w:rtl w:val="0"/>
        </w:rPr>
        <w:t xml:space="preserve">). </w:t>
      </w:r>
      <w:r w:rsidDel="00000000" w:rsidR="00000000" w:rsidRPr="00000000">
        <w:rPr>
          <w:rFonts w:ascii="Arial" w:cs="Arial" w:eastAsia="Arial" w:hAnsi="Arial"/>
          <w:rtl w:val="0"/>
        </w:rPr>
        <w:t xml:space="preserve">Oba systémy používají 5-ti bodovou stupnici ale liší se ve významu 2. stupně, viz obrázek č. 1.</w:t>
      </w:r>
    </w:p>
    <w:p w:rsidR="00000000" w:rsidDel="00000000" w:rsidP="00000000" w:rsidRDefault="00000000" w:rsidRPr="00000000" w14:paraId="00000014">
      <w:pPr>
        <w:keepNext w:val="1"/>
        <w:keepLines w:val="1"/>
        <w:spacing w:after="60" w:before="200" w:line="276" w:lineRule="auto"/>
        <w:jc w:val="both"/>
        <w:rPr>
          <w:rFonts w:ascii="Arial" w:cs="Arial" w:eastAsia="Arial" w:hAnsi="Arial"/>
          <w:b w:val="1"/>
          <w:sz w:val="22"/>
          <w:szCs w:val="22"/>
        </w:rPr>
      </w:pP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Souvisící normy</w:t>
      </w:r>
    </w:p>
    <w:p w:rsidR="00000000" w:rsidDel="00000000" w:rsidP="00000000" w:rsidRDefault="00000000" w:rsidRPr="00000000" w14:paraId="00000015">
      <w:pPr>
        <w:spacing w:after="120" w:line="276" w:lineRule="auto"/>
        <w:jc w:val="both"/>
        <w:rPr>
          <w:rFonts w:ascii="Arial" w:cs="Arial" w:eastAsia="Arial" w:hAnsi="Arial"/>
        </w:rPr>
      </w:pPr>
      <w:r w:rsidDel="00000000" w:rsidR="00000000" w:rsidRPr="00000000">
        <w:rPr>
          <w:rFonts w:ascii="Arial" w:cs="Arial" w:eastAsia="Arial" w:hAnsi="Arial"/>
          <w:rtl w:val="0"/>
        </w:rPr>
        <w:t xml:space="preserve">Popisovaný dokument uvádí 11 normativních odkazů na normu TPEG2 ISO 21219 části 1-7,9,15,21 a 22. Klíčové normy jsou: geografické odkazování na polohu (21219-21, TPEG2-GLR) a odkazování na polohu metodou OpenLR (21219-22, TPEG2-OLR), dále kompaktní popis dopravních událostí (21219-15, TPEG2-TEC). Pro sestavení zpráv z kontejnerů, odvození z modelu UML, vysílání zpráv a řízení toku jsou použity další části normy TPEG (1-7,9). </w:t>
      </w:r>
    </w:p>
    <w:p w:rsidR="00000000" w:rsidDel="00000000" w:rsidP="00000000" w:rsidRDefault="00000000" w:rsidRPr="00000000" w14:paraId="00000016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1 Předmět</w:t>
      </w:r>
    </w:p>
    <w:p w:rsidR="00000000" w:rsidDel="00000000" w:rsidP="00000000" w:rsidRDefault="00000000" w:rsidRPr="00000000" w14:paraId="0000001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Popisovaný dokument definuje aplikaci TPEG TFP „Aplikace pro informace o stavu dopravního proudu a jeho predikci“. Ta umožňuje distribuovat informace o stavu dopravy spolu s dopravními excesy pro předem definovanou sadu míst. Tato předem definovaná sada může být vysílána s nižší frekvencí než část aktualizované stavy dopravy, nemusí se tedy vždy jednat o klasickou předdefinovanou sadu poloh sdílenou off-line mezi poskytovatelem a odběratelem. Informace o stavu dopravního proudu jsou poskytovány několika způsoby od stavů na úsecích, přes časové „řezy“ sledů stavů na úsecích až po spojitý diagram dráha čas obsahující polygonové vyjádření stavů.</w:t>
      </w:r>
    </w:p>
    <w:p w:rsidR="00000000" w:rsidDel="00000000" w:rsidP="00000000" w:rsidRDefault="00000000" w:rsidRPr="00000000" w14:paraId="00000018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3 Termíny a definice</w:t>
      </w:r>
    </w:p>
    <w:p w:rsidR="00000000" w:rsidDel="00000000" w:rsidP="00000000" w:rsidRDefault="00000000" w:rsidRPr="00000000" w14:paraId="00000019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tyjcwt" w:id="7"/>
      <w:bookmarkEnd w:id="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definuje 3 termíny. Jedná se o definici kontejneru pro management zpráv (MMC),  kontejneru pro odkazování na polohu (LRC) a definici odkazování na polohu. Viz. Zkratky</w:t>
        <w:tab/>
      </w:r>
    </w:p>
    <w:p w:rsidR="00000000" w:rsidDel="00000000" w:rsidP="00000000" w:rsidRDefault="00000000" w:rsidRPr="00000000" w14:paraId="0000001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3dy6vkm" w:id="8"/>
      <w:bookmarkEnd w:id="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odkazování na polohu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Referencing)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– prostředky umožňující systému přesně identifikovat polohu</w:t>
      </w:r>
    </w:p>
    <w:p w:rsidR="00000000" w:rsidDel="00000000" w:rsidP="00000000" w:rsidRDefault="00000000" w:rsidRPr="00000000" w14:paraId="0000001B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4 Zkratky</w:t>
      </w:r>
    </w:p>
    <w:p w:rsidR="00000000" w:rsidDel="00000000" w:rsidP="00000000" w:rsidRDefault="00000000" w:rsidRPr="00000000" w14:paraId="0000001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stanovuje 20 zkratek, důležité z pohledu tohoto extraktu jsou: </w:t>
      </w:r>
    </w:p>
    <w:p w:rsidR="00000000" w:rsidDel="00000000" w:rsidP="00000000" w:rsidRDefault="00000000" w:rsidRPr="00000000" w14:paraId="0000001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MMC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  <w:t xml:space="preserve">kontejner pro management zpráv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(Message Management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ADC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popis aplikace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(Application Data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LRC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kontejner pro odkazování na polohu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(Location Referencing Container)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TFP</w:t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Informace o stavu dopravního proudu a jeho predikce 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(Traffic Flow and Prediction) 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UML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ab/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Unifikovaný modelovací jazyk</w:t>
      </w: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(Unified Modelling Language)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284" w:right="0" w:hanging="284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Poznámka: Další termíny a zkratky z oboru ITS jsou obsaženy ve slovníku ITS terminology (</w:t>
      </w:r>
      <w:hyperlink r:id="rId12">
        <w:r w:rsidDel="00000000" w:rsidR="00000000" w:rsidRPr="00000000">
          <w:rPr>
            <w:rFonts w:ascii="Arial" w:cs="Arial" w:eastAsia="Arial" w:hAnsi="Arial"/>
            <w:b w:val="0"/>
            <w:i w:val="1"/>
            <w:smallCaps w:val="0"/>
            <w:strike w:val="0"/>
            <w:color w:val="000000"/>
            <w:sz w:val="18"/>
            <w:szCs w:val="18"/>
            <w:u w:val="none"/>
            <w:shd w:fill="auto" w:val="clear"/>
            <w:vertAlign w:val="baseline"/>
            <w:rtl w:val="0"/>
          </w:rPr>
          <w:t xml:space="preserve">www.itsterminology.org</w:t>
        </w:r>
      </w:hyperlink>
      <w:r w:rsidDel="00000000" w:rsidR="00000000" w:rsidRPr="00000000">
        <w:rPr>
          <w:rFonts w:ascii="Arial" w:cs="Arial" w:eastAsia="Arial" w:hAnsi="Arial"/>
          <w:b w:val="0"/>
          <w:i w:val="1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3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5 Podmínky a omezení aplikace</w:t>
      </w:r>
    </w:p>
    <w:p w:rsidR="00000000" w:rsidDel="00000000" w:rsidP="00000000" w:rsidRDefault="00000000" w:rsidRPr="00000000" w14:paraId="0000002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t3h5sf" w:id="9"/>
      <w:bookmarkEnd w:id="9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1,5 strany) vymezuje: </w:t>
      </w:r>
    </w:p>
    <w:p w:rsidR="00000000" w:rsidDel="00000000" w:rsidP="00000000" w:rsidRDefault="00000000" w:rsidRPr="00000000" w14:paraId="00000025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Identifikátor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který je stanovený pro všechny aplikace v TS 21219-1.</w:t>
      </w:r>
    </w:p>
    <w:p w:rsidR="00000000" w:rsidDel="00000000" w:rsidP="00000000" w:rsidRDefault="00000000" w:rsidRPr="00000000" w14:paraId="00000026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Verzi aplikace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Verze je klíčová z pohledu dekodéru, jednotlivé verze stejné aplikace se totiž mohou od sebe lišit strukturou, obsahem atp. </w:t>
      </w:r>
    </w:p>
    <w:p w:rsidR="00000000" w:rsidDel="00000000" w:rsidP="00000000" w:rsidRDefault="00000000" w:rsidRPr="00000000" w14:paraId="00000027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Pořadí kontejnerů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ze kterých je zpráva složena. Zpráva se skládá z kontejneru pro management zpráv (MMC), kontejneru s dopravní aplikací (ADC) a kontejneru pro odkazování na polohu (LRC). </w:t>
      </w:r>
    </w:p>
    <w:p w:rsidR="00000000" w:rsidDel="00000000" w:rsidP="00000000" w:rsidRDefault="00000000" w:rsidRPr="00000000" w14:paraId="00000028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Rozšiřitelnost a zpětnou kompatibilitu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jako požadavek na přeskočení neznámých částí zprávy dekodérem a specifikaci v budoucnu rozšiřitelných částí struktur TPEG zprávy (např. struktury „FlowVectorSection“).</w:t>
      </w:r>
    </w:p>
    <w:p w:rsidR="00000000" w:rsidDel="00000000" w:rsidP="00000000" w:rsidRDefault="00000000" w:rsidRPr="00000000" w14:paraId="00000029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Rámec komponent služby TPEG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dle ISO/TS 21219-5.</w:t>
      </w:r>
    </w:p>
    <w:p w:rsidR="00000000" w:rsidDel="00000000" w:rsidP="00000000" w:rsidRDefault="00000000" w:rsidRPr="00000000" w14:paraId="0000002A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6 Struktura TFP</w:t>
      </w:r>
    </w:p>
    <w:p w:rsidR="00000000" w:rsidDel="00000000" w:rsidP="00000000" w:rsidRDefault="00000000" w:rsidRPr="00000000" w14:paraId="0000002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 obrázek,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obsahuje UML model aplikace TFP.</w:t>
      </w:r>
    </w:p>
    <w:p w:rsidR="00000000" w:rsidDel="00000000" w:rsidP="00000000" w:rsidRDefault="00000000" w:rsidRPr="00000000" w14:paraId="0000002C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d34og8" w:id="10"/>
      <w:bookmarkEnd w:id="1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5760085" cy="5294630"/>
            <wp:effectExtent b="0" l="0" r="0" t="0"/>
            <wp:docPr id="1030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60085" cy="529463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sz w:val="18"/>
          <w:szCs w:val="18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2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UML model tříd aplikace TFP (obrázek 2 normy)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7 Komponenty zprávy TFP</w:t>
      </w:r>
    </w:p>
    <w:p w:rsidR="00000000" w:rsidDel="00000000" w:rsidP="00000000" w:rsidRDefault="00000000" w:rsidRPr="00000000" w14:paraId="0000002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12 stran, obrázky a tabulky) popisuje jednotlivé komponenty zprávy TFP. </w:t>
      </w:r>
    </w:p>
    <w:p w:rsidR="00000000" w:rsidDel="00000000" w:rsidP="00000000" w:rsidRDefault="00000000" w:rsidRPr="00000000" w14:paraId="0000003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Stanovuje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několik různých struktur zprávy TFP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a to z důvodů dvou rozdílných obsahů, popisu polohy a popisu stavu. Popis polohy v kontejneru pro odkazování na polohu (LRC) je potřeba méně často než popis stavu kontejneru s dopravní aplikací (ADC), vše je řízeno kontejnerem pro management zpráv (MMC). Stanoveny jsou tyto formy zprávy TFP, struktura obsahuje:</w:t>
      </w:r>
    </w:p>
    <w:p w:rsidR="00000000" w:rsidDel="00000000" w:rsidP="00000000" w:rsidRDefault="00000000" w:rsidRPr="00000000" w14:paraId="00000031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pouze MMC, pro rušící zprávy,</w:t>
      </w:r>
    </w:p>
    <w:p w:rsidR="00000000" w:rsidDel="00000000" w:rsidP="00000000" w:rsidRDefault="00000000" w:rsidRPr="00000000" w14:paraId="00000032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MMC, několik ADC a jeden LRC v případě tzv. monolitického managementu zpráv</w:t>
      </w:r>
    </w:p>
    <w:p w:rsidR="00000000" w:rsidDel="00000000" w:rsidP="00000000" w:rsidRDefault="00000000" w:rsidRPr="00000000" w14:paraId="00000033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a v případě tzv. managementu zpráv po částech:</w:t>
      </w:r>
    </w:p>
    <w:p w:rsidR="00000000" w:rsidDel="00000000" w:rsidP="00000000" w:rsidRDefault="00000000" w:rsidRPr="00000000" w14:paraId="00000034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pouze MMC s rozcestníkem na části zpráv,</w:t>
      </w:r>
    </w:p>
    <w:p w:rsidR="00000000" w:rsidDel="00000000" w:rsidP="00000000" w:rsidRDefault="00000000" w:rsidRPr="00000000" w14:paraId="00000035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 a několik ADC,</w:t>
      </w:r>
    </w:p>
    <w:p w:rsidR="00000000" w:rsidDel="00000000" w:rsidP="00000000" w:rsidRDefault="00000000" w:rsidRPr="00000000" w14:paraId="00000036">
      <w:pPr>
        <w:keepNext w:val="0"/>
        <w:keepLines w:val="0"/>
        <w:widowControl w:val="1"/>
        <w:numPr>
          <w:ilvl w:val="1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57" w:before="0" w:line="276" w:lineRule="auto"/>
        <w:ind w:left="108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jeden MMC a jeden LRC.</w:t>
      </w:r>
    </w:p>
    <w:p w:rsidR="00000000" w:rsidDel="00000000" w:rsidP="00000000" w:rsidRDefault="00000000" w:rsidRPr="00000000" w14:paraId="0000003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Dále popisovaný dokument používá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3 metody pro popis stavu dopravy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na sledované síti, ty mohou být použity současně či jednotlivě:</w:t>
      </w:r>
    </w:p>
    <w:p w:rsidR="00000000" w:rsidDel="00000000" w:rsidP="00000000" w:rsidRDefault="00000000" w:rsidRPr="00000000" w14:paraId="00000038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flow-polygon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</w:t>
      </w:r>
    </w:p>
    <w:p w:rsidR="00000000" w:rsidDel="00000000" w:rsidP="00000000" w:rsidRDefault="00000000" w:rsidRPr="00000000" w14:paraId="00000039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flow-status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</w:t>
      </w:r>
    </w:p>
    <w:p w:rsidR="00000000" w:rsidDel="00000000" w:rsidP="00000000" w:rsidRDefault="00000000" w:rsidRPr="00000000" w14:paraId="0000003A">
      <w:pPr>
        <w:keepNext w:val="0"/>
        <w:keepLines w:val="0"/>
        <w:widowControl w:val="1"/>
        <w:numPr>
          <w:ilvl w:val="0"/>
          <w:numId w:val="1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770" w:right="0" w:hanging="36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flow-</w:t>
      </w:r>
      <w:r w:rsidDel="00000000" w:rsidR="00000000" w:rsidRPr="00000000">
        <w:rPr>
          <w:rFonts w:ascii="Arial" w:cs="Arial" w:eastAsia="Arial" w:hAnsi="Arial"/>
          <w:b w:val="1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3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zjednodušení a zmenšení velikosti přenášených struktur je prostorové uspořádání stavů u metod flow-polygon a flow-</w:t>
      </w:r>
      <w:r w:rsidDel="00000000" w:rsidR="00000000" w:rsidRPr="00000000">
        <w:rPr>
          <w:rFonts w:ascii="Arial" w:cs="Arial" w:eastAsia="Arial" w:hAnsi="Arial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odkazované pomocí staničení vůči počátku sledovaného úseku popsaného v LRC. LRC tak obsahuje jeden směr celého sledovaného úseku silniční sítě.</w:t>
      </w:r>
    </w:p>
    <w:p w:rsidR="00000000" w:rsidDel="00000000" w:rsidP="00000000" w:rsidRDefault="00000000" w:rsidRPr="00000000" w14:paraId="0000003C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kapitole je stanoven obsah komponent:</w:t>
      </w:r>
    </w:p>
    <w:p w:rsidR="00000000" w:rsidDel="00000000" w:rsidP="00000000" w:rsidRDefault="00000000" w:rsidRPr="00000000" w14:paraId="0000003D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MMC je stanoven způsob řízení zpráv, po částech, monoliticky.</w:t>
      </w:r>
    </w:p>
    <w:p w:rsidR="00000000" w:rsidDel="00000000" w:rsidP="00000000" w:rsidRDefault="00000000" w:rsidRPr="00000000" w14:paraId="0000003E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LRC jsou povoleny jsou pouze liniové lokace.</w:t>
      </w:r>
    </w:p>
    <w:p w:rsidR="00000000" w:rsidDel="00000000" w:rsidP="00000000" w:rsidRDefault="00000000" w:rsidRPr="00000000" w14:paraId="0000003F">
      <w:pPr>
        <w:keepNext w:val="0"/>
        <w:keepLines w:val="0"/>
        <w:widowControl w:val="1"/>
        <w:numPr>
          <w:ilvl w:val="0"/>
          <w:numId w:val="2"/>
        </w:numPr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13" w:before="0" w:line="276" w:lineRule="auto"/>
        <w:ind w:left="720" w:right="0" w:hanging="360"/>
        <w:jc w:val="left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ADC jsou popsány všechny metody popisu stavu dopravy.</w:t>
      </w:r>
    </w:p>
    <w:p w:rsidR="00000000" w:rsidDel="00000000" w:rsidP="00000000" w:rsidRDefault="00000000" w:rsidRPr="00000000" w14:paraId="0000004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 každou metodu je definována datová struktura, a pro její položky je stanoven typ, multiplicita a popis. Jednotlivé metody j</w:t>
      </w:r>
      <w:r w:rsidDel="00000000" w:rsidR="00000000" w:rsidRPr="00000000">
        <w:rPr>
          <w:rFonts w:ascii="Arial" w:cs="Arial" w:eastAsia="Arial" w:hAnsi="Arial"/>
          <w:rtl w:val="0"/>
        </w:rPr>
        <w:t xml:space="preserve">sou popsány níže.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Flow-Polygon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7.8 a 7.9 je popisována metoda flow-polygon, která modeluje stav dopravy v diagramu dráha čas pomocí několika prostorově-časových objektů „FlowPolygonObjects“,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 Počátek platnosti se nachází v počátku osy souřadnic a časové souřadnice polygonů mohou ležet v minulosti či budoucnosti. Tato metoda implicitně pracuje s predikcí dopravního stavu.</w:t>
      </w:r>
    </w:p>
    <w:p w:rsidR="00000000" w:rsidDel="00000000" w:rsidP="00000000" w:rsidRDefault="00000000" w:rsidRPr="00000000" w14:paraId="00000043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5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2s8eyo1" w:id="11"/>
      <w:bookmarkEnd w:id="11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4132580" cy="2736215"/>
            <wp:effectExtent b="0" l="0" r="0" t="0"/>
            <wp:docPr id="1029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132580" cy="2736215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3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metody flow-polygon (obrázek 4 normy)</w:t>
      </w:r>
    </w:p>
    <w:p w:rsidR="00000000" w:rsidDel="00000000" w:rsidP="00000000" w:rsidRDefault="00000000" w:rsidRPr="00000000" w14:paraId="0000004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Flow-Status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7.10 je stanovena metoda flow-status, která popisuje stav dopravy v definovaném časovém intervalu na jednom konkrétním místě (sledovaném úseku silniční sítě stanoveném v LRC).</w:t>
      </w:r>
    </w:p>
    <w:p w:rsidR="00000000" w:rsidDel="00000000" w:rsidP="00000000" w:rsidRDefault="00000000" w:rsidRPr="00000000" w14:paraId="00000047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Metoda Flow-Matrix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8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V článku 7.11 je stanovena metoda flow-</w:t>
      </w:r>
      <w:r w:rsidDel="00000000" w:rsidR="00000000" w:rsidRPr="00000000">
        <w:rPr>
          <w:rFonts w:ascii="Arial" w:cs="Arial" w:eastAsia="Arial" w:hAnsi="Arial"/>
          <w:rtl w:val="0"/>
        </w:rPr>
        <w:t xml:space="preserve">matrix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, která popisuje stav dopravy pomocí několika stavů dopravy „FlowVector“ rozprostřených prostorově po sledovaném úseku silniční sítě stanoveném v LRC. „FlowMatrix“ se poté skládá z několika těchto prostorových úseků každý popisující stav v konkrétním čase, např. po 15ti minutách, viz 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.</w:t>
      </w:r>
    </w:p>
    <w:p w:rsidR="00000000" w:rsidDel="00000000" w:rsidP="00000000" w:rsidRDefault="00000000" w:rsidRPr="00000000" w14:paraId="00000049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7dp8vu" w:id="12"/>
      <w:bookmarkEnd w:id="12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4655185" cy="2903220"/>
            <wp:effectExtent b="0" l="0" r="0" t="0"/>
            <wp:docPr id="1032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655185" cy="290322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A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4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metody flow matrix popisující jeden úsek silniční sítě ve čtyřech různých časech (obrázek 5 normy)</w:t>
      </w:r>
    </w:p>
    <w:p w:rsidR="00000000" w:rsidDel="00000000" w:rsidP="00000000" w:rsidRDefault="00000000" w:rsidRPr="00000000" w14:paraId="0000004B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Prostorové umístění stavů dopravy je na síti vytvořeno pomocí offsetů vůči referenčnímu bodu, kterým je konec sledovaného úseku ve směru dopravního proudu. Tato metoda umožňuje popisovat jednotlivé jízdní pruhy i další komunikace, které se připojují, resp. odpojují od popisovaného úseku.</w:t>
      </w:r>
    </w:p>
    <w:p w:rsidR="00000000" w:rsidDel="00000000" w:rsidP="00000000" w:rsidRDefault="00000000" w:rsidRPr="00000000" w14:paraId="0000004C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8 Datové typy TFP</w:t>
      </w:r>
    </w:p>
    <w:p w:rsidR="00000000" w:rsidDel="00000000" w:rsidP="00000000" w:rsidRDefault="00000000" w:rsidRPr="00000000" w14:paraId="0000004D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6 stran) obsahuje 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definice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použitých datových struktur (typů).  Na obrázku níže (Obrázek </w:t>
      </w:r>
      <w:r w:rsidDel="00000000" w:rsidR="00000000" w:rsidRPr="00000000">
        <w:rPr>
          <w:rFonts w:ascii="Arial" w:cs="Arial" w:eastAsia="Arial" w:hAnsi="Arial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) je, pro ilustraci obsahu a sloupců, uvedena část tabulky popisující datovou strukturu StatusParameters.</w:t>
      </w:r>
    </w:p>
    <w:p w:rsidR="00000000" w:rsidDel="00000000" w:rsidP="00000000" w:rsidRDefault="00000000" w:rsidRPr="00000000" w14:paraId="0000004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3rdcrjn" w:id="13"/>
      <w:bookmarkEnd w:id="13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  <w:drawing>
          <wp:inline distB="0" distT="0" distL="114300" distR="114300">
            <wp:extent cx="5753735" cy="2731770"/>
            <wp:effectExtent b="0" l="0" r="0" t="0"/>
            <wp:docPr id="1031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53735" cy="273177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5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Ukázka části struktury StatusParametes (část tabulky 11 5 normy)</w:t>
      </w:r>
    </w:p>
    <w:p w:rsidR="00000000" w:rsidDel="00000000" w:rsidP="00000000" w:rsidRDefault="00000000" w:rsidRPr="00000000" w14:paraId="0000005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Struktury se skládají ze složitých či jednoduchých datových objektů, výskyt každé položky datové struktury (</w:t>
      </w:r>
      <w:r w:rsidDel="00000000" w:rsidR="00000000" w:rsidRPr="00000000">
        <w:rPr>
          <w:rFonts w:ascii="Arial" w:cs="Arial" w:eastAsia="Arial" w:hAnsi="Arial"/>
          <w:rtl w:val="0"/>
        </w:rPr>
        <w:t xml:space="preserve">tj.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její multiplicita) je doplněn datovým typem a popisem. Tabulka níže uvádí datové struktury stanovené v této kapitole.</w:t>
      </w:r>
    </w:p>
    <w:p w:rsidR="00000000" w:rsidDel="00000000" w:rsidP="00000000" w:rsidRDefault="00000000" w:rsidRPr="00000000" w14:paraId="00000051">
      <w:pPr>
        <w:keepNext w:val="1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26in1rg" w:id="14"/>
      <w:bookmarkEnd w:id="14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1 - Seznam stanovených datových typů (zdroj: autor extraktu)</w:t>
      </w:r>
    </w:p>
    <w:tbl>
      <w:tblPr>
        <w:tblStyle w:val="Table2"/>
        <w:tblW w:w="9045.0" w:type="dxa"/>
        <w:jc w:val="left"/>
        <w:tblInd w:w="115.99999999999999" w:type="dxa"/>
        <w:tblLayout w:type="fixed"/>
        <w:tblLook w:val="0000"/>
      </w:tblPr>
      <w:tblGrid>
        <w:gridCol w:w="2534"/>
        <w:gridCol w:w="6511"/>
        <w:tblGridChange w:id="0">
          <w:tblGrid>
            <w:gridCol w:w="2534"/>
            <w:gridCol w:w="6511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Struktura TFP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PolygonPoint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Prostoro-časový bod v objektu „flowPolygon“. Skládající se z časového a prostorového odsazení od počátku osy.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FlowVectorSection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dopravy na určitém úseku silniční sítě obsahující mj. i níže uvedené datové typy (struktury)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StatusParameters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dopravy, min. stupně dopravy či průměrná rychlost či zdržení. 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Restrictions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Restrikce pro konkrétní typy vozidel na konkrétní jízdní pruhy segmentu silniční sítě.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StatisticalParameters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Statistické parametry a kvalita odhadu informace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1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LinkedCause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5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Odkaz na příčinu specifikovanou v jiné zprávě TPEG</w:t>
            </w:r>
          </w:p>
        </w:tc>
      </w:tr>
    </w:tbl>
    <w:p w:rsidR="00000000" w:rsidDel="00000000" w:rsidP="00000000" w:rsidRDefault="00000000" w:rsidRPr="00000000" w14:paraId="0000006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lnxbz9" w:id="15"/>
      <w:bookmarkEnd w:id="15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9 Tabulky TFP</w:t>
      </w:r>
    </w:p>
    <w:p w:rsidR="00000000" w:rsidDel="00000000" w:rsidP="00000000" w:rsidRDefault="00000000" w:rsidRPr="00000000" w14:paraId="00000061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(rozsah 11 stran) obsahuje definice výčtových typů aplikace TFP (v 8 tabulkách).  Následující tabulka jmenovitě uvádí jednotlivé tabulky a doplňuje je popisem a příkladem obsahu.</w:t>
      </w:r>
    </w:p>
    <w:p w:rsidR="00000000" w:rsidDel="00000000" w:rsidP="00000000" w:rsidRDefault="00000000" w:rsidRPr="00000000" w14:paraId="00000062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sz w:val="18"/>
          <w:szCs w:val="18"/>
        </w:rPr>
      </w:pPr>
      <w:bookmarkStart w:colFirst="0" w:colLast="0" w:name="_heading=h.iykewot5vw7m" w:id="16"/>
      <w:bookmarkEnd w:id="16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Tabulka 2 - Seznam tabulek TFP (výčtů hodnot) (zdroj: autor extraktu)</w:t>
      </w:r>
    </w:p>
    <w:tbl>
      <w:tblPr>
        <w:tblStyle w:val="Table3"/>
        <w:tblW w:w="9060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51"/>
        <w:tblGridChange w:id="0">
          <w:tblGrid>
            <w:gridCol w:w="2519"/>
            <w:gridCol w:w="3690"/>
            <w:gridCol w:w="2851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Tabulka TFP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Popis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Obsah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tfp001: VehicleClass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typů vozidel. 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př.:010:trailer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tfp002: VehicleCredentials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tříd vozidel dle privilegií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 disabled pass</w:t>
            </w: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nger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tfp003: LevelOfService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(48) popisů plynulosti dopravy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048: wide moving jam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6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tfp004: SpatialResolution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přesnosti použité lokalizace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002:50-m-resolution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tfp005:laneRestriction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kombinací jízdních pruhů určených pro dané omezení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008: driving lane 8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tfp006: CauseCode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různých příčin (68) omezení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002:accident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tfp007: SectionType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typů úseků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Př.: 002:exit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tfp008: FlowDataQuality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Výčet úrovní kvality informace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7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Př: 005:high</w:t>
            </w:r>
          </w:p>
        </w:tc>
      </w:tr>
    </w:tbl>
    <w:p w:rsidR="00000000" w:rsidDel="00000000" w:rsidP="00000000" w:rsidRDefault="00000000" w:rsidRPr="00000000" w14:paraId="0000007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7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Následující tabulka obsahuje ukázku tabulky „tfp006:CauseCode” z popisovaného dokumentu.</w:t>
      </w:r>
    </w:p>
    <w:p w:rsidR="00000000" w:rsidDel="00000000" w:rsidP="00000000" w:rsidRDefault="00000000" w:rsidRPr="00000000" w14:paraId="0000008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bookmarkStart w:colFirst="0" w:colLast="0" w:name="_heading=h.wpo5mx1gy36r" w:id="17"/>
      <w:bookmarkEnd w:id="17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Tabulka 3 -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Příklad části definice výčtového typu tfp006:CauseCode (nečíslovaná část)</w:t>
      </w:r>
    </w:p>
    <w:tbl>
      <w:tblPr>
        <w:tblStyle w:val="Table4"/>
        <w:tblW w:w="9045.0" w:type="dxa"/>
        <w:jc w:val="left"/>
        <w:tblInd w:w="131.0" w:type="dxa"/>
        <w:tblLayout w:type="fixed"/>
        <w:tblLook w:val="0000"/>
      </w:tblPr>
      <w:tblGrid>
        <w:gridCol w:w="2519"/>
        <w:gridCol w:w="3690"/>
        <w:gridCol w:w="2836"/>
        <w:tblGridChange w:id="0">
          <w:tblGrid>
            <w:gridCol w:w="2519"/>
            <w:gridCol w:w="3690"/>
            <w:gridCol w:w="2836"/>
          </w:tblGrid>
        </w:tblGridChange>
      </w:tblGrid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Kód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Fráze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komentář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000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stav neznámý (unknown)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001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dopravní kongesce (traffic congestion)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…</w:t>
            </w:r>
          </w:p>
        </w:tc>
      </w:tr>
      <w:t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002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nehoda (accident)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top"/>
          </w:tcPr>
          <w:p w:rsidR="00000000" w:rsidDel="00000000" w:rsidP="00000000" w:rsidRDefault="00000000" w:rsidRPr="00000000" w14:paraId="0000008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V případě nehody</w:t>
            </w:r>
          </w:p>
        </w:tc>
      </w:tr>
    </w:tbl>
    <w:p w:rsidR="00000000" w:rsidDel="00000000" w:rsidP="00000000" w:rsidRDefault="00000000" w:rsidRPr="00000000" w14:paraId="0000008D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bookmarkStart w:colFirst="0" w:colLast="0" w:name="_heading=h.35nkun2" w:id="18"/>
      <w:bookmarkEnd w:id="18"/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A (</w:t>
      </w:r>
      <w:r w:rsidDel="00000000" w:rsidR="00000000" w:rsidRPr="00000000">
        <w:rPr>
          <w:rFonts w:ascii="Arial" w:cs="Arial" w:eastAsia="Arial" w:hAnsi="Arial"/>
          <w:b w:val="1"/>
          <w:sz w:val="22"/>
          <w:szCs w:val="22"/>
          <w:rtl w:val="0"/>
        </w:rPr>
        <w:t xml:space="preserve">normativní</w:t>
      </w: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) TPEG-bin reprezentace TFP</w:t>
      </w:r>
    </w:p>
    <w:p w:rsidR="00000000" w:rsidDel="00000000" w:rsidP="00000000" w:rsidRDefault="00000000" w:rsidRPr="00000000" w14:paraId="0000008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1ksv4uv" w:id="19"/>
      <w:bookmarkEnd w:id="19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stanovuje binární reprezentaci aplikace pro informace o stavu dopravního proudu a jeho predikci (TFP) TPEG pro použití v DAB. Pro popis binární reprezentace je použit pseudokód, kde pro každé klíčové slovo zapsané struktury je znám jeho binární tvar.</w:t>
      </w:r>
    </w:p>
    <w:p w:rsidR="00000000" w:rsidDel="00000000" w:rsidP="00000000" w:rsidRDefault="00000000" w:rsidRPr="00000000" w14:paraId="0000008F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bookmarkStart w:colFirst="0" w:colLast="0" w:name="_heading=h.44sinio" w:id="20"/>
      <w:bookmarkEnd w:id="20"/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Příloha obsahuje samostatně uvedené binární reprezentace rámce TPEG, zprávy TFP a jejích součástí, prvků určených pro budoucí rozšíření a datových typů. Dále obsahuje identifikátory komponent zprávy a vysvětlení použití obecných atributů TPEG. Příklad pseudokódu binární specifikace elementu FlowStatus je uveden v následující tabulce.</w:t>
      </w:r>
    </w:p>
    <w:p w:rsidR="00000000" w:rsidDel="00000000" w:rsidP="00000000" w:rsidRDefault="00000000" w:rsidRPr="00000000" w14:paraId="00000090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sz w:val="18"/>
          <w:szCs w:val="18"/>
        </w:rPr>
      </w:pPr>
      <w:bookmarkStart w:colFirst="0" w:colLast="0" w:name="_heading=h.y0ayy7lgb8no" w:id="21"/>
      <w:bookmarkEnd w:id="21"/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Tabulka 4 - Příklad pseudokódu binární specifikace elementu FlowStatus (nečíslovaná část)</w:t>
      </w:r>
    </w:p>
    <w:tbl>
      <w:tblPr>
        <w:tblStyle w:val="Table5"/>
        <w:tblW w:w="9285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3435"/>
        <w:gridCol w:w="5850"/>
        <w:tblGridChange w:id="0">
          <w:tblGrid>
            <w:gridCol w:w="3435"/>
            <w:gridCol w:w="5850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9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&lt;FlowStatus(5)&lt;TFPMethod(5)&gt;&gt;:=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IntUnTi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&gt;(5),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Id této komponenty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&gt;(lengthComp),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Počet bajtů v komponentě, kromě indikátorů id a lengthComp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&gt;(lengthAttr),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Počet bajtů v atributech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DateTime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&gt;(startTime),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Začátek časového období, po které je poskytovaný obsah platný.</w:t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BitArray(selector),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0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9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IntUnLoMB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&gt;(duration);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Délka [min] časového období, po které je poskytovaný obsah platný. Období začíná v „startTime“ a končí v „startTime“ + „trvání“. Tento atribut musí být používán komponentou „PolygonFlowObject“ a může být použit i jinde.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StatusParameters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&gt;(status),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Atributy popisující stav provozu na daném místě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1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4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5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Restrictions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&gt;(restriction),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Informace o omezeních souvisejících se stavem dopravního proudu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2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StatisticalParameters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&gt;(statistics),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Statistické informace týkající se stavu dopravního proudu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3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&lt;tfp006:CauseCode&gt;(cause),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AE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Tento atribut může přidat jednoduchou příčinu pro hlášený stav dopravního proudu; tento parametr se vynechá, pokud je k dispozici podrobná externí zpráva (viz atribut „propojená příčina“)</w:t>
            </w: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AF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if (bit 4 of selector is set)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  <w:tr>
        <w:tc>
          <w:tcPr>
            <w:vAlign w:val="top"/>
          </w:tcPr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&lt;</w:t>
            </w:r>
            <w:r w:rsidDel="00000000" w:rsidR="00000000" w:rsidRPr="00000000">
              <w:rPr>
                <w:rFonts w:ascii="Arial" w:cs="Arial" w:eastAsia="Arial" w:hAnsi="Arial"/>
                <w:b w:val="1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LinkedCause</w:t>
            </w:r>
            <w:r w:rsidDel="00000000" w:rsidR="00000000" w:rsidRPr="00000000"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&gt;(detailedCause);</w:t>
            </w:r>
          </w:p>
        </w:tc>
        <w:tc>
          <w:tcPr>
            <w:vAlign w:val="top"/>
          </w:tcPr>
          <w:p w:rsidR="00000000" w:rsidDel="00000000" w:rsidP="00000000" w:rsidRDefault="00000000" w:rsidRPr="00000000" w14:paraId="000000B2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rtl w:val="0"/>
              </w:rPr>
              <w:t xml:space="preserve">: Podrobná příčina může být nahlášena propojenou zprávou (např. Zprávou TEC)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3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B4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Příloha B (normativní) TPEG-ML reprezentace TFP</w:t>
      </w:r>
    </w:p>
    <w:p w:rsidR="00000000" w:rsidDel="00000000" w:rsidP="00000000" w:rsidRDefault="00000000" w:rsidRPr="00000000" w14:paraId="000000B5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příloha (rozsah 10 stran) obsahuje nejprve 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single"/>
          <w:shd w:fill="auto" w:val="clear"/>
          <w:vertAlign w:val="baseline"/>
          <w:rtl w:val="0"/>
        </w:rPr>
        <w:t xml:space="preserve">samostatně uvedené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 XML schéma rámce TPEG, dále zprávy TFP a jejích součástí, prvků určených pro budoucí rozšíření, datových typů a tabulek TFP (definovaných jako xs:complexType), viz příklad na obrázku níže. Následně uvádí vše výše zmíněné v jednom funkčním XML schématu. </w:t>
      </w:r>
    </w:p>
    <w:tbl>
      <w:tblPr>
        <w:tblStyle w:val="Table6"/>
        <w:tblW w:w="9212.0" w:type="dxa"/>
        <w:jc w:val="left"/>
        <w:tblInd w:w="0.0" w:type="dxa"/>
        <w:tblBorders>
          <w:top w:color="000000" w:space="0" w:sz="4" w:val="single"/>
          <w:left w:color="000000" w:space="0" w:sz="4" w:val="single"/>
          <w:bottom w:color="000000" w:space="0" w:sz="4" w:val="single"/>
          <w:right w:color="000000" w:space="0" w:sz="4" w:val="single"/>
          <w:insideH w:color="000000" w:space="0" w:sz="4" w:val="single"/>
          <w:insideV w:color="000000" w:space="0" w:sz="4" w:val="single"/>
        </w:tblBorders>
        <w:tblLayout w:type="fixed"/>
        <w:tblLook w:val="0000"/>
      </w:tblPr>
      <w:tblGrid>
        <w:gridCol w:w="9212"/>
        <w:tblGridChange w:id="0">
          <w:tblGrid>
            <w:gridCol w:w="9212"/>
          </w:tblGrid>
        </w:tblGridChange>
      </w:tblGrid>
      <w:tr>
        <w:tc>
          <w:tcPr>
            <w:vAlign w:val="top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&lt;xs:complexType name="FlowMatrix"&gt;</w:t>
            </w:r>
          </w:p>
          <w:p w:rsidR="00000000" w:rsidDel="00000000" w:rsidP="00000000" w:rsidRDefault="00000000" w:rsidRPr="00000000" w14:paraId="000000B7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&lt;xs:sequence&gt;</w:t>
            </w:r>
          </w:p>
          <w:p w:rsidR="00000000" w:rsidDel="00000000" w:rsidP="00000000" w:rsidRDefault="00000000" w:rsidRPr="00000000" w14:paraId="000000B8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name="startTime" type="tdt:DateTime"/&gt;</w:t>
            </w:r>
          </w:p>
          <w:p w:rsidR="00000000" w:rsidDel="00000000" w:rsidP="00000000" w:rsidRDefault="00000000" w:rsidRPr="00000000" w14:paraId="000000B9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name="duration" type="tdt:IntUnLoMB" minOccurs="0"/&gt;</w:t>
            </w:r>
          </w:p>
          <w:p w:rsidR="00000000" w:rsidDel="00000000" w:rsidP="00000000" w:rsidRDefault="00000000" w:rsidRPr="00000000" w14:paraId="000000BA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name="spatialResolution" type="tfp004_SpatialResolution"/&gt;</w:t>
            </w:r>
          </w:p>
          <w:p w:rsidR="00000000" w:rsidDel="00000000" w:rsidP="00000000" w:rsidRDefault="00000000" w:rsidRPr="00000000" w14:paraId="000000BB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  &lt;xs:element name="vectors" type="FlowVector" maxOccurs="unbounded"/&gt;</w:t>
            </w:r>
          </w:p>
          <w:p w:rsidR="00000000" w:rsidDel="00000000" w:rsidP="00000000" w:rsidRDefault="00000000" w:rsidRPr="00000000" w14:paraId="000000BC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  &lt;/xs:sequence&gt;</w:t>
            </w:r>
          </w:p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fff2cc" w:val="clear"/>
              <w:tabs>
                <w:tab w:val="left" w:pos="1360"/>
              </w:tabs>
              <w:spacing w:after="40" w:before="0" w:line="240" w:lineRule="auto"/>
              <w:ind w:left="0" w:right="0" w:firstLine="0"/>
              <w:jc w:val="both"/>
              <w:rPr>
                <w:rFonts w:ascii="Arial" w:cs="Arial" w:eastAsia="Arial" w:hAnsi="Arial"/>
                <w:b w:val="0"/>
                <w:i w:val="0"/>
                <w:smallCaps w:val="0"/>
                <w:strike w:val="0"/>
                <w:color w:val="000000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Courier New" w:cs="Courier New" w:eastAsia="Courier New" w:hAnsi="Courier New"/>
                <w:b w:val="0"/>
                <w:i w:val="0"/>
                <w:smallCaps w:val="0"/>
                <w:strike w:val="0"/>
                <w:color w:val="000000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&lt;/xs:complexType&gt;</w:t>
            </w: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0BE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200" w:before="0" w:line="276" w:lineRule="auto"/>
        <w:ind w:left="0" w:right="0" w:firstLine="0"/>
        <w:jc w:val="center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Obrázek </w:t>
      </w:r>
      <w:r w:rsidDel="00000000" w:rsidR="00000000" w:rsidRPr="00000000">
        <w:rPr>
          <w:rFonts w:ascii="Arial" w:cs="Arial" w:eastAsia="Arial" w:hAnsi="Arial"/>
          <w:sz w:val="18"/>
          <w:szCs w:val="18"/>
          <w:rtl w:val="0"/>
        </w:rPr>
        <w:t xml:space="preserve">6</w:t>
      </w: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18"/>
          <w:szCs w:val="18"/>
          <w:u w:val="none"/>
          <w:shd w:fill="auto" w:val="clear"/>
          <w:vertAlign w:val="baseline"/>
          <w:rtl w:val="0"/>
        </w:rPr>
        <w:t xml:space="preserve"> - Výstřižek schématu XSD stanovujícího strukturu elementu FlowMatrix</w:t>
      </w:r>
    </w:p>
    <w:p w:rsidR="00000000" w:rsidDel="00000000" w:rsidP="00000000" w:rsidRDefault="00000000" w:rsidRPr="00000000" w14:paraId="000000BF">
      <w:pPr>
        <w:keepNext w:val="1"/>
        <w:keepLines w:val="1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60" w:before="200" w:line="276" w:lineRule="auto"/>
        <w:ind w:left="0" w:right="0" w:firstLine="0"/>
        <w:jc w:val="both"/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i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  <w:rtl w:val="0"/>
        </w:rPr>
        <w:t xml:space="preserve">Literatura</w:t>
      </w:r>
    </w:p>
    <w:p w:rsidR="00000000" w:rsidDel="00000000" w:rsidP="00000000" w:rsidRDefault="00000000" w:rsidRPr="00000000" w14:paraId="000000C0">
      <w:pPr>
        <w:keepNext w:val="0"/>
        <w:keepLines w:val="0"/>
        <w:widowControl w:val="1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120" w:before="0" w:line="276" w:lineRule="auto"/>
        <w:ind w:left="0" w:right="0" w:firstLine="0"/>
        <w:jc w:val="both"/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i w:val="0"/>
          <w:smallCaps w:val="0"/>
          <w:strike w:val="0"/>
          <w:color w:val="000000"/>
          <w:sz w:val="20"/>
          <w:szCs w:val="20"/>
          <w:u w:val="none"/>
          <w:shd w:fill="auto" w:val="clear"/>
          <w:vertAlign w:val="baseline"/>
          <w:rtl w:val="0"/>
        </w:rPr>
        <w:t xml:space="preserve">Tato kapitola uvádí dva, v textu použité, odkazy na normy, první na TPEG2-INV a druhý na definici UML.</w:t>
      </w:r>
    </w:p>
    <w:sectPr>
      <w:footerReference r:id="rId17" w:type="default"/>
      <w:pgSz w:h="16838" w:w="11906" w:orient="portrait"/>
      <w:pgMar w:bottom="1497" w:top="1417" w:left="1417" w:right="1417" w:header="708" w:footer="144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Georgia"/>
  <w:font w:name="Arial"/>
  <w:font w:name="Times New Roman"/>
  <w:font w:name="Courier New"/>
  <w:font w:name="Noto Sans Symbols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C1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0" w:line="276" w:lineRule="auto"/>
      <w:ind w:left="0" w:right="0" w:firstLine="0"/>
      <w:jc w:val="both"/>
      <w:rPr>
        <w:rFonts w:ascii="Arial" w:cs="Arial" w:eastAsia="Arial" w:hAnsi="Arial"/>
        <w:b w:val="0"/>
        <w:i w:val="0"/>
        <w:smallCaps w:val="0"/>
        <w:strike w:val="0"/>
        <w:color w:val="000000"/>
        <w:sz w:val="20"/>
        <w:szCs w:val="20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  <w:r w:rsidDel="00000000" w:rsidR="00000000" w:rsidRPr="00000000">
      <w:drawing>
        <wp:anchor allowOverlap="1" behindDoc="0" distB="0" distT="0" distL="114300" distR="114300" hidden="0" layoutInCell="1" locked="0" relativeHeight="0" simplePos="0">
          <wp:simplePos x="0" y="0"/>
          <wp:positionH relativeFrom="column">
            <wp:posOffset>899795</wp:posOffset>
          </wp:positionH>
          <wp:positionV relativeFrom="paragraph">
            <wp:posOffset>0</wp:posOffset>
          </wp:positionV>
          <wp:extent cx="75565" cy="145415"/>
          <wp:effectExtent b="0" l="0" r="0" t="0"/>
          <wp:wrapSquare wrapText="bothSides" distB="0" distT="0" distL="114300" distR="114300"/>
          <wp:docPr id="1033" name="image5.png"/>
          <a:graphic>
            <a:graphicData uri="http://schemas.openxmlformats.org/drawingml/2006/picture">
              <pic:pic>
                <pic:nvPicPr>
                  <pic:cNvPr id="0" name="image5.png"/>
                  <pic:cNvPicPr preferRelativeResize="0"/>
                </pic:nvPicPr>
                <pic:blipFill>
                  <a:blip r:embed="rId1"/>
                  <a:srcRect b="0" l="0" r="0" t="0"/>
                  <a:stretch>
                    <a:fillRect/>
                  </a:stretch>
                </pic:blipFill>
                <pic:spPr>
                  <a:xfrm>
                    <a:off x="0" y="0"/>
                    <a:ext cx="75565" cy="145415"/>
                  </a:xfrm>
                  <a:prstGeom prst="rect"/>
                  <a:ln/>
                </pic:spPr>
              </pic:pic>
            </a:graphicData>
          </a:graphic>
        </wp:anchor>
      </w:drawing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abstractNum w:abstractNumId="1">
    <w:lvl w:ilvl="0">
      <w:start w:val="1"/>
      <w:numFmt w:val="bullet"/>
      <w:lvlText w:val="●"/>
      <w:lvlJc w:val="left"/>
      <w:pPr>
        <w:ind w:left="77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o"/>
      <w:lvlJc w:val="left"/>
      <w:pPr>
        <w:ind w:left="1490" w:hanging="360"/>
      </w:pPr>
      <w:rPr>
        <w:rFonts w:ascii="Courier New" w:cs="Courier New" w:eastAsia="Courier New" w:hAnsi="Courier New"/>
        <w:u w:val="none"/>
        <w:vertAlign w:val="baseline"/>
      </w:rPr>
    </w:lvl>
    <w:lvl w:ilvl="2">
      <w:start w:val="1"/>
      <w:numFmt w:val="bullet"/>
      <w:lvlText w:val="▪"/>
      <w:lvlJc w:val="left"/>
      <w:pPr>
        <w:ind w:left="221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293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o"/>
      <w:lvlJc w:val="left"/>
      <w:pPr>
        <w:ind w:left="3650" w:hanging="360"/>
      </w:pPr>
      <w:rPr>
        <w:rFonts w:ascii="Courier New" w:cs="Courier New" w:eastAsia="Courier New" w:hAnsi="Courier New"/>
        <w:u w:val="none"/>
        <w:vertAlign w:val="baseline"/>
      </w:rPr>
    </w:lvl>
    <w:lvl w:ilvl="5">
      <w:start w:val="1"/>
      <w:numFmt w:val="bullet"/>
      <w:lvlText w:val="▪"/>
      <w:lvlJc w:val="left"/>
      <w:pPr>
        <w:ind w:left="437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509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o"/>
      <w:lvlJc w:val="left"/>
      <w:pPr>
        <w:ind w:left="5810" w:hanging="360"/>
      </w:pPr>
      <w:rPr>
        <w:rFonts w:ascii="Courier New" w:cs="Courier New" w:eastAsia="Courier New" w:hAnsi="Courier New"/>
        <w:u w:val="none"/>
        <w:vertAlign w:val="baseline"/>
      </w:rPr>
    </w:lvl>
    <w:lvl w:ilvl="8">
      <w:start w:val="1"/>
      <w:numFmt w:val="bullet"/>
      <w:lvlText w:val="▪"/>
      <w:lvlJc w:val="left"/>
      <w:pPr>
        <w:ind w:left="6530" w:hanging="360"/>
      </w:pPr>
      <w:rPr>
        <w:rFonts w:ascii="Noto Sans Symbols" w:cs="Noto Sans Symbols" w:eastAsia="Noto Sans Symbols" w:hAnsi="Noto Sans Symbols"/>
        <w:vertAlign w:val="baseli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cs="Noto Sans Symbols" w:eastAsia="Noto Sans Symbols" w:hAnsi="Noto Sans Symbols"/>
        <w:vertAlign w:val="baseline"/>
      </w:rPr>
    </w:lvl>
    <w:lvl w:ilvl="1">
      <w:start w:val="1"/>
      <w:numFmt w:val="bullet"/>
      <w:lvlText w:val="●"/>
      <w:lvlJc w:val="left"/>
      <w:pPr>
        <w:ind w:left="1080" w:hanging="360"/>
      </w:pPr>
      <w:rPr>
        <w:rFonts w:ascii="Noto Sans Symbols" w:cs="Noto Sans Symbols" w:eastAsia="Noto Sans Symbols" w:hAnsi="Noto Sans Symbols"/>
        <w:vertAlign w:val="baseline"/>
      </w:rPr>
    </w:lvl>
    <w:lvl w:ilvl="2">
      <w:start w:val="1"/>
      <w:numFmt w:val="bullet"/>
      <w:lvlText w:val="▪"/>
      <w:lvlJc w:val="left"/>
      <w:pPr>
        <w:ind w:left="1440" w:hanging="360"/>
      </w:pPr>
      <w:rPr>
        <w:rFonts w:ascii="Noto Sans Symbols" w:cs="Noto Sans Symbols" w:eastAsia="Noto Sans Symbols" w:hAnsi="Noto Sans Symbols"/>
        <w:vertAlign w:val="baseline"/>
      </w:rPr>
    </w:lvl>
    <w:lvl w:ilvl="3">
      <w:start w:val="1"/>
      <w:numFmt w:val="bullet"/>
      <w:lvlText w:val="●"/>
      <w:lvlJc w:val="left"/>
      <w:pPr>
        <w:ind w:left="1800" w:hanging="360"/>
      </w:pPr>
      <w:rPr>
        <w:rFonts w:ascii="Noto Sans Symbols" w:cs="Noto Sans Symbols" w:eastAsia="Noto Sans Symbols" w:hAnsi="Noto Sans Symbols"/>
        <w:vertAlign w:val="baseline"/>
      </w:rPr>
    </w:lvl>
    <w:lvl w:ilvl="4">
      <w:start w:val="1"/>
      <w:numFmt w:val="bullet"/>
      <w:lvlText w:val="◦"/>
      <w:lvlJc w:val="left"/>
      <w:pPr>
        <w:ind w:left="2160" w:hanging="360"/>
      </w:pPr>
      <w:rPr>
        <w:rFonts w:ascii="Noto Sans Symbols" w:cs="Noto Sans Symbols" w:eastAsia="Noto Sans Symbols" w:hAnsi="Noto Sans Symbols"/>
        <w:vertAlign w:val="baseline"/>
      </w:rPr>
    </w:lvl>
    <w:lvl w:ilvl="5">
      <w:start w:val="1"/>
      <w:numFmt w:val="bullet"/>
      <w:lvlText w:val="▪"/>
      <w:lvlJc w:val="left"/>
      <w:pPr>
        <w:ind w:left="2520" w:hanging="360"/>
      </w:pPr>
      <w:rPr>
        <w:rFonts w:ascii="Noto Sans Symbols" w:cs="Noto Sans Symbols" w:eastAsia="Noto Sans Symbols" w:hAnsi="Noto Sans Symbols"/>
        <w:vertAlign w:val="baseline"/>
      </w:rPr>
    </w:lvl>
    <w:lvl w:ilvl="6">
      <w:start w:val="1"/>
      <w:numFmt w:val="bullet"/>
      <w:lvlText w:val="●"/>
      <w:lvlJc w:val="left"/>
      <w:pPr>
        <w:ind w:left="2880" w:hanging="360"/>
      </w:pPr>
      <w:rPr>
        <w:rFonts w:ascii="Noto Sans Symbols" w:cs="Noto Sans Symbols" w:eastAsia="Noto Sans Symbols" w:hAnsi="Noto Sans Symbols"/>
        <w:vertAlign w:val="baseline"/>
      </w:rPr>
    </w:lvl>
    <w:lvl w:ilvl="7">
      <w:start w:val="1"/>
      <w:numFmt w:val="bullet"/>
      <w:lvlText w:val="◦"/>
      <w:lvlJc w:val="left"/>
      <w:pPr>
        <w:ind w:left="3240" w:hanging="360"/>
      </w:pPr>
      <w:rPr>
        <w:rFonts w:ascii="Noto Sans Symbols" w:cs="Noto Sans Symbols" w:eastAsia="Noto Sans Symbols" w:hAnsi="Noto Sans Symbols"/>
        <w:vertAlign w:val="baseline"/>
      </w:rPr>
    </w:lvl>
    <w:lvl w:ilvl="8">
      <w:start w:val="1"/>
      <w:numFmt w:val="bullet"/>
      <w:lvlText w:val="▪"/>
      <w:lvlJc w:val="left"/>
      <w:pPr>
        <w:ind w:left="3600" w:hanging="360"/>
      </w:pPr>
      <w:rPr>
        <w:rFonts w:ascii="Noto Sans Symbols" w:cs="Noto Sans Symbols" w:eastAsia="Noto Sans Symbols" w:hAnsi="Noto Sans Symbols"/>
        <w:vertAlign w:val="baseline"/>
      </w:rPr>
    </w:lvl>
  </w:abstractNum>
  <w:num w:numId="1">
    <w:abstractNumId w:val="1"/>
  </w:num>
  <w:num w:numId="2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lang w:val="cs-CZ"/>
      </w:rPr>
    </w:rPrDefault>
    <w:pPrDefault>
      <w:pPr/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spacing w:after="120" w:before="480" w:lineRule="auto"/>
    </w:pPr>
    <w:rPr>
      <w:b w:val="1"/>
      <w:sz w:val="72"/>
      <w:szCs w:val="72"/>
    </w:rPr>
  </w:style>
  <w:style w:type="paragraph" w:styleId="Normální">
    <w:name w:val="Normální"/>
    <w:next w:val="Normální"/>
    <w:autoRedefine w:val="0"/>
    <w:hidden w:val="0"/>
    <w:qFormat w:val="0"/>
    <w:pPr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adpis1">
    <w:name w:val="Nadpis 1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60" w:before="20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hi-IN" w:eastAsia="hi-IN" w:val="cs-CZ"/>
    </w:rPr>
  </w:style>
  <w:style w:type="paragraph" w:styleId="Nadpis2">
    <w:name w:val="Nadpis 2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80" w:before="36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36"/>
      <w:szCs w:val="36"/>
      <w:effect w:val="none"/>
      <w:vertAlign w:val="baseline"/>
      <w:cs w:val="0"/>
      <w:em w:val="none"/>
      <w:lang w:bidi="hi-IN" w:eastAsia="hi-IN" w:val="cs-CZ"/>
    </w:rPr>
  </w:style>
  <w:style w:type="paragraph" w:styleId="Nadpis3">
    <w:name w:val="Nadpis 3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80" w:before="28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8"/>
      <w:szCs w:val="28"/>
      <w:effect w:val="none"/>
      <w:vertAlign w:val="baseline"/>
      <w:cs w:val="0"/>
      <w:em w:val="none"/>
      <w:lang w:bidi="hi-IN" w:eastAsia="hi-IN" w:val="cs-CZ"/>
    </w:rPr>
  </w:style>
  <w:style w:type="paragraph" w:styleId="Nadpis4">
    <w:name w:val="Nadpis 4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4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hi-IN" w:eastAsia="hi-IN" w:val="cs-CZ"/>
    </w:rPr>
  </w:style>
  <w:style w:type="paragraph" w:styleId="Nadpis5">
    <w:name w:val="Nadpis 5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2"/>
      <w:szCs w:val="22"/>
      <w:effect w:val="none"/>
      <w:vertAlign w:val="baseline"/>
      <w:cs w:val="0"/>
      <w:em w:val="none"/>
      <w:lang w:bidi="hi-IN" w:eastAsia="hi-IN" w:val="cs-CZ"/>
    </w:rPr>
  </w:style>
  <w:style w:type="paragraph" w:styleId="Nadpis6">
    <w:name w:val="Nadpis 6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40" w:before="20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b w:val="1"/>
      <w:color w:val="000000"/>
      <w:w w:val="100"/>
      <w:position w:val="-1"/>
      <w:sz w:val="20"/>
      <w:szCs w:val="20"/>
      <w:effect w:val="none"/>
      <w:vertAlign w:val="baseline"/>
      <w:cs w:val="0"/>
      <w:em w:val="none"/>
      <w:lang w:bidi="hi-IN" w:eastAsia="hi-IN" w:val="cs-CZ"/>
    </w:rPr>
  </w:style>
  <w:style w:type="character" w:styleId="Standardnípísmoodstavce">
    <w:name w:val="Standardní písmo odstavce"/>
    <w:next w:val="Standardnípísmoodstavce"/>
    <w:autoRedefine w:val="0"/>
    <w:hidden w:val="0"/>
    <w:qFormat w:val="1"/>
    <w:rPr>
      <w:w w:val="100"/>
      <w:position w:val="-1"/>
      <w:effect w:val="none"/>
      <w:vertAlign w:val="baseline"/>
      <w:cs w:val="0"/>
      <w:em w:val="none"/>
      <w:lang/>
    </w:rPr>
  </w:style>
  <w:style w:type="table" w:styleId="Normálnítabulka">
    <w:name w:val="Normální tabulka"/>
    <w:next w:val="Normálnítabulka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Normálnítabulka"/>
      <w:jc w:val="left"/>
      <w:tblInd w:w="0.0" w:type="dxa"/>
      <w:tblCellMar>
        <w:top w:w="0.0" w:type="dxa"/>
        <w:left w:w="108.0" w:type="dxa"/>
        <w:bottom w:w="0.0" w:type="dxa"/>
        <w:right w:w="108.0" w:type="dxa"/>
      </w:tblCellMar>
    </w:tblPr>
  </w:style>
  <w:style w:type="numbering" w:styleId="Bezseznamu">
    <w:name w:val="Bez seznamu"/>
    <w:next w:val="Bezseznamu"/>
    <w:autoRedefine w:val="0"/>
    <w:hidden w:val="0"/>
    <w:qFormat w:val="1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</w:style>
  <w:style w:type="character" w:styleId="ListLabel1">
    <w:name w:val="ListLabel 1"/>
    <w:next w:val="ListLabel1"/>
    <w:autoRedefine w:val="0"/>
    <w:hidden w:val="0"/>
    <w:qFormat w:val="0"/>
    <w:rPr>
      <w:w w:val="100"/>
      <w:position w:val="-1"/>
      <w:u w:val="none"/>
      <w:effect w:val="none"/>
      <w:vertAlign w:val="baseline"/>
      <w:cs w:val="0"/>
      <w:em w:val="none"/>
      <w:lang/>
    </w:rPr>
  </w:style>
  <w:style w:type="character" w:styleId="Odrážky">
    <w:name w:val="Odrážky"/>
    <w:next w:val="Odrážky"/>
    <w:autoRedefine w:val="0"/>
    <w:hidden w:val="0"/>
    <w:qFormat w:val="0"/>
    <w:rPr>
      <w:rFonts w:ascii="OpenSymbol" w:cs="OpenSymbol" w:eastAsia="OpenSymbol" w:hAnsi="OpenSymbol"/>
      <w:w w:val="100"/>
      <w:position w:val="-1"/>
      <w:effect w:val="none"/>
      <w:vertAlign w:val="baseline"/>
      <w:cs w:val="0"/>
      <w:em w:val="none"/>
      <w:lang/>
    </w:rPr>
  </w:style>
  <w:style w:type="paragraph" w:styleId="Nadpis">
    <w:name w:val="Nadpis"/>
    <w:basedOn w:val="Normální"/>
    <w:next w:val="Základnítext"/>
    <w:autoRedefine w:val="0"/>
    <w:hidden w:val="0"/>
    <w:qFormat w:val="0"/>
    <w:pPr>
      <w:keepNext w:val="1"/>
      <w:suppressAutoHyphens w:val="0"/>
      <w:spacing w:after="120" w:before="24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Microsoft YaHei" w:hAnsi="Arial"/>
      <w:color w:val="000000"/>
      <w:w w:val="100"/>
      <w:position w:val="-1"/>
      <w:sz w:val="28"/>
      <w:szCs w:val="28"/>
      <w:effect w:val="none"/>
      <w:vertAlign w:val="baseline"/>
      <w:cs w:val="0"/>
      <w:em w:val="none"/>
      <w:lang w:bidi="hi-IN" w:eastAsia="hi-IN" w:val="cs-CZ"/>
    </w:rPr>
  </w:style>
  <w:style w:type="paragraph" w:styleId="Základnítext">
    <w:name w:val="Základní text"/>
    <w:basedOn w:val="Normální"/>
    <w:next w:val="Základnítext"/>
    <w:autoRedefine w:val="0"/>
    <w:hidden w:val="0"/>
    <w:qFormat w:val="0"/>
    <w:pPr>
      <w:suppressAutoHyphens w:val="0"/>
      <w:spacing w:after="120" w:before="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Seznam">
    <w:name w:val="Seznam"/>
    <w:basedOn w:val="Základnítext"/>
    <w:next w:val="Seznam"/>
    <w:autoRedefine w:val="0"/>
    <w:hidden w:val="0"/>
    <w:qFormat w:val="0"/>
    <w:pPr>
      <w:suppressAutoHyphens w:val="0"/>
      <w:spacing w:after="120" w:before="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Popisek">
    <w:name w:val="Popisek"/>
    <w:basedOn w:val="Normální"/>
    <w:next w:val="Popisek"/>
    <w:autoRedefine w:val="0"/>
    <w:hidden w:val="0"/>
    <w:qFormat w:val="0"/>
    <w:pPr>
      <w:suppressLineNumbers w:val="1"/>
      <w:suppressAutoHyphens w:val="0"/>
      <w:spacing w:after="120" w:before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i w:val="1"/>
      <w:iCs w:val="1"/>
      <w:color w:val="000000"/>
      <w:w w:val="100"/>
      <w:position w:val="-1"/>
      <w:sz w:val="24"/>
      <w:szCs w:val="24"/>
      <w:effect w:val="none"/>
      <w:vertAlign w:val="baseline"/>
      <w:cs w:val="0"/>
      <w:em w:val="none"/>
      <w:lang w:bidi="hi-IN" w:eastAsia="hi-IN" w:val="cs-CZ"/>
    </w:rPr>
  </w:style>
  <w:style w:type="paragraph" w:styleId="Rejstřík">
    <w:name w:val="Rejstřík"/>
    <w:basedOn w:val="Normální"/>
    <w:next w:val="Rejstřík"/>
    <w:autoRedefine w:val="0"/>
    <w:hidden w:val="0"/>
    <w:qFormat w:val="0"/>
    <w:pPr>
      <w:suppressLineNumbers w:val="1"/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Lucida Sans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ormal">
    <w:name w:val="normal"/>
    <w:next w:val="normal"/>
    <w:autoRedefine w:val="0"/>
    <w:hidden w:val="0"/>
    <w:qFormat w:val="0"/>
    <w:pPr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ázev">
    <w:name w:val="Název"/>
    <w:basedOn w:val="normal"/>
    <w:next w:val="Podnadpis"/>
    <w:autoRedefine w:val="0"/>
    <w:hidden w:val="0"/>
    <w:qFormat w:val="0"/>
    <w:pPr>
      <w:keepNext w:val="1"/>
      <w:keepLines w:val="1"/>
      <w:widowControl w:val="0"/>
      <w:numPr>
        <w:ilvl w:val="0"/>
        <w:numId w:val="0"/>
      </w:numPr>
      <w:tabs>
        <w:tab w:val="left" w:leader="none" w:pos="7080"/>
        <w:tab w:val="right" w:leader="none" w:pos="9923"/>
      </w:tabs>
      <w:suppressAutoHyphens w:val="0"/>
      <w:spacing w:after="60" w:before="0" w:line="10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eastAsia="Arial" w:hAnsi="Arial"/>
      <w:b w:val="1"/>
      <w:bCs w:val="1"/>
      <w:color w:val="000000"/>
      <w:w w:val="100"/>
      <w:position w:val="-1"/>
      <w:sz w:val="40"/>
      <w:szCs w:val="40"/>
      <w:effect w:val="none"/>
      <w:vertAlign w:val="baseline"/>
      <w:cs w:val="0"/>
      <w:em w:val="none"/>
      <w:lang w:bidi="hi-IN" w:eastAsia="hi-IN" w:val="cs-CZ"/>
    </w:rPr>
  </w:style>
  <w:style w:type="paragraph" w:styleId="Podnadpis">
    <w:name w:val="Podnadpis"/>
    <w:basedOn w:val="normal"/>
    <w:next w:val="Základnítext"/>
    <w:autoRedefine w:val="0"/>
    <w:hidden w:val="0"/>
    <w:qFormat w:val="0"/>
    <w:pPr>
      <w:keepNext w:val="1"/>
      <w:keepLines w:val="1"/>
      <w:numPr>
        <w:ilvl w:val="0"/>
        <w:numId w:val="0"/>
      </w:numPr>
      <w:suppressAutoHyphens w:val="0"/>
      <w:spacing w:after="0" w:before="180" w:line="100" w:lineRule="atLeast"/>
      <w:ind w:leftChars="-1" w:rightChars="0" w:firstLineChars="-1"/>
      <w:jc w:val="left"/>
      <w:textDirection w:val="btLr"/>
      <w:textAlignment w:val="top"/>
      <w:outlineLvl w:val="0"/>
    </w:pPr>
    <w:rPr>
      <w:rFonts w:ascii="Arial" w:cs="Arial" w:eastAsia="Arial" w:hAnsi="Arial"/>
      <w:b w:val="1"/>
      <w:i w:val="1"/>
      <w:iCs w:val="1"/>
      <w:color w:val="000000"/>
      <w:w w:val="100"/>
      <w:position w:val="-1"/>
      <w:sz w:val="32"/>
      <w:szCs w:val="32"/>
      <w:effect w:val="none"/>
      <w:vertAlign w:val="baseline"/>
      <w:cs w:val="0"/>
      <w:em w:val="none"/>
      <w:lang w:bidi="hi-IN" w:eastAsia="hi-IN" w:val="cs-CZ"/>
    </w:rPr>
  </w:style>
  <w:style w:type="paragraph" w:styleId="Zápatí">
    <w:name w:val="Zápatí"/>
    <w:basedOn w:val="Normální"/>
    <w:next w:val="Zápatí"/>
    <w:autoRedefine w:val="0"/>
    <w:hidden w:val="0"/>
    <w:qFormat w:val="0"/>
    <w:pPr>
      <w:suppressLineNumbers w:val="1"/>
      <w:tabs>
        <w:tab w:val="center" w:leader="none" w:pos="4819"/>
        <w:tab w:val="right" w:leader="none" w:pos="9638"/>
      </w:tabs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ListParagraph">
    <w:name w:val="List Paragraph"/>
    <w:basedOn w:val="Normální"/>
    <w:next w:val="ListParagraph"/>
    <w:autoRedefine w:val="0"/>
    <w:hidden w:val="0"/>
    <w:qFormat w:val="0"/>
    <w:pPr>
      <w:numPr>
        <w:ilvl w:val="0"/>
        <w:numId w:val="0"/>
      </w:numPr>
      <w:suppressAutoHyphens w:val="0"/>
      <w:spacing w:after="120" w:line="276" w:lineRule="auto"/>
      <w:ind w:left="720" w:right="0" w:leftChars="-1" w:rightChars="0" w:firstLine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caption">
    <w:name w:val="caption"/>
    <w:basedOn w:val="Normální"/>
    <w:next w:val="Normální"/>
    <w:autoRedefine w:val="0"/>
    <w:hidden w:val="0"/>
    <w:qFormat w:val="0"/>
    <w:pPr>
      <w:numPr>
        <w:ilvl w:val="0"/>
        <w:numId w:val="0"/>
      </w:numPr>
      <w:suppressAutoHyphens w:val="0"/>
      <w:spacing w:after="200" w:before="0" w:line="100" w:lineRule="atLeast"/>
      <w:ind w:leftChars="-1" w:rightChars="0" w:firstLineChars="-1"/>
      <w:jc w:val="center"/>
      <w:textDirection w:val="btLr"/>
      <w:textAlignment w:val="top"/>
      <w:outlineLvl w:val="0"/>
    </w:pPr>
    <w:rPr>
      <w:rFonts w:ascii="Arial" w:cs="Arial" w:eastAsia="Arial" w:hAnsi="Arial"/>
      <w:b w:val="0"/>
      <w:bCs w:val="1"/>
      <w:color w:val="000000"/>
      <w:w w:val="100"/>
      <w:position w:val="-1"/>
      <w:sz w:val="18"/>
      <w:szCs w:val="18"/>
      <w:effect w:val="none"/>
      <w:vertAlign w:val="baseline"/>
      <w:cs w:val="0"/>
      <w:em w:val="none"/>
      <w:lang w:bidi="hi-IN" w:eastAsia="hi-IN" w:val="cs-CZ"/>
    </w:rPr>
  </w:style>
  <w:style w:type="paragraph" w:styleId="Obsahtabulky">
    <w:name w:val="Obsah tabulky"/>
    <w:basedOn w:val="Normální"/>
    <w:next w:val="Obsahtabulky"/>
    <w:autoRedefine w:val="0"/>
    <w:hidden w:val="0"/>
    <w:qFormat w:val="0"/>
    <w:pPr>
      <w:suppressLineNumbers w:val="1"/>
      <w:suppressAutoHyphens w:val="0"/>
      <w:spacing w:after="120" w:line="276" w:lineRule="auto"/>
      <w:ind w:leftChars="-1" w:rightChars="0" w:firstLineChars="-1"/>
      <w:jc w:val="both"/>
      <w:textDirection w:val="btLr"/>
      <w:textAlignment w:val="top"/>
      <w:outlineLvl w:val="0"/>
    </w:pPr>
    <w:rPr>
      <w:rFonts w:ascii="Arial" w:cs="Arial" w:eastAsia="Arial" w:hAnsi="Arial"/>
      <w:color w:val="000000"/>
      <w:w w:val="100"/>
      <w:position w:val="-1"/>
      <w:effect w:val="none"/>
      <w:vertAlign w:val="baseline"/>
      <w:cs w:val="0"/>
      <w:em w:val="none"/>
      <w:lang w:bidi="hi-IN" w:eastAsia="hi-IN" w:val="cs-CZ"/>
    </w:rPr>
  </w:style>
  <w:style w:type="paragraph" w:styleId="Normální(web)">
    <w:name w:val="Normální (web)"/>
    <w:basedOn w:val="Normální"/>
    <w:next w:val="Normální(web)"/>
    <w:autoRedefine w:val="0"/>
    <w:hidden w:val="0"/>
    <w:qFormat w:val="1"/>
    <w:pPr>
      <w:suppressAutoHyphens w:val="1"/>
      <w:spacing w:after="100" w:afterAutospacing="1" w:before="100" w:beforeAutospacing="1" w:line="240" w:lineRule="auto"/>
      <w:ind w:leftChars="-1" w:rightChars="0" w:firstLineChars="-1"/>
      <w:jc w:val="left"/>
      <w:textDirection w:val="btLr"/>
      <w:textAlignment w:val="top"/>
      <w:outlineLvl w:val="0"/>
    </w:pPr>
    <w:rPr>
      <w:rFonts w:ascii="Times New Roman" w:cs="Times New Roman" w:eastAsia="Times New Roman" w:hAnsi="Times New Roman"/>
      <w:color w:val="auto"/>
      <w:w w:val="100"/>
      <w:position w:val="-1"/>
      <w:sz w:val="24"/>
      <w:szCs w:val="24"/>
      <w:effect w:val="none"/>
      <w:vertAlign w:val="baseline"/>
      <w:cs w:val="0"/>
      <w:em w:val="none"/>
      <w:lang w:bidi="ar-SA" w:eastAsia="cs-CZ" w:val="cs-CZ"/>
    </w:rPr>
  </w:style>
  <w:style w:type="table" w:styleId="Mřížkatabulky">
    <w:name w:val="Mřížka tabulky"/>
    <w:basedOn w:val="Normálnítabulka"/>
    <w:next w:val="Mřížkatabulky"/>
    <w:autoRedefine w:val="0"/>
    <w:hidden w:val="0"/>
    <w:qFormat w:val="0"/>
    <w:pPr>
      <w:suppressAutoHyphens w:val="1"/>
      <w:spacing w:line="1" w:lineRule="atLeast"/>
      <w:ind w:leftChars="-1" w:rightChars="0" w:firstLineChars="-1"/>
      <w:textDirection w:val="btLr"/>
      <w:textAlignment w:val="top"/>
      <w:outlineLvl w:val="0"/>
    </w:pPr>
    <w:rPr>
      <w:w w:val="100"/>
      <w:position w:val="-1"/>
      <w:effect w:val="none"/>
      <w:vertAlign w:val="baseline"/>
      <w:cs w:val="0"/>
      <w:em w:val="none"/>
      <w:lang/>
    </w:rPr>
    <w:tblPr>
      <w:tblStyle w:val="Mřížkatabulky"/>
      <w:jc w:val="left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4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5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6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cs.wikipedia.org/wiki/Stupe%C5%88_provozu" TargetMode="External"/><Relationship Id="rId10" Type="http://schemas.openxmlformats.org/officeDocument/2006/relationships/image" Target="media/image3.png"/><Relationship Id="rId13" Type="http://schemas.openxmlformats.org/officeDocument/2006/relationships/image" Target="media/image1.png"/><Relationship Id="rId12" Type="http://schemas.openxmlformats.org/officeDocument/2006/relationships/hyperlink" Target="http://www.itsterminology.org" TargetMode="External"/><Relationship Id="rId1" Type="http://schemas.openxmlformats.org/officeDocument/2006/relationships/theme" Target="theme/theme1.xml"/><Relationship Id="rId3" Type="http://schemas.openxmlformats.org/officeDocument/2006/relationships/settings" Target="settings.xml"/><Relationship Id="rId4" Type="http://schemas.openxmlformats.org/officeDocument/2006/relationships/fontTable" Target="fontTable.xml"/><Relationship Id="rId9" Type="http://schemas.openxmlformats.org/officeDocument/2006/relationships/image" Target="media/image5.png"/><Relationship Id="rId15" Type="http://schemas.openxmlformats.org/officeDocument/2006/relationships/image" Target="media/image2.png"/><Relationship Id="rId14" Type="http://schemas.openxmlformats.org/officeDocument/2006/relationships/image" Target="media/image6.png"/><Relationship Id="rId17" Type="http://schemas.openxmlformats.org/officeDocument/2006/relationships/footer" Target="footer1.xml"/><Relationship Id="rId16" Type="http://schemas.openxmlformats.org/officeDocument/2006/relationships/image" Target="media/image4.png"/><Relationship Id="rId5" Type="http://schemas.openxmlformats.org/officeDocument/2006/relationships/numbering" Target="numbering.xml"/><Relationship Id="rId6" Type="http://schemas.openxmlformats.org/officeDocument/2006/relationships/styles" Target="styles.xml"/><Relationship Id="rId7" Type="http://schemas.openxmlformats.org/officeDocument/2006/relationships/customXml" Target="../customXML/item1.xml"/></Relationships>
</file>

<file path=word/_rels/footer1.xml.rels><?xml version="1.0" encoding="UTF-8" standalone="yes"?><Relationships xmlns="http://schemas.openxmlformats.org/package/2006/relationships"><Relationship Id="rId1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>
  <go:docsCustomData xmlns:go="http://customooxmlschemas.google.com/" roundtripDataSignature="AMtx7miN7y/XPNQcJe9f9VxPKA2fbMO/8A==">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2021-03-11T08:43:00Z</dcterms:created>
  <dc:creator>Petr Bureš</dc:creator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