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080"/>
          <w:tab w:val="right" w:pos="9923"/>
        </w:tabs>
        <w:spacing w:after="60" w:lineRule="auto"/>
        <w:ind w:left="2" w:hanging="4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-449577</wp:posOffset>
            </wp:positionV>
            <wp:extent cx="75565" cy="151765"/>
            <wp:effectExtent b="0" l="0" r="0" t="0"/>
            <wp:wrapSquare wrapText="bothSides" distB="0" distT="0" distL="114300" distR="114300"/>
            <wp:docPr id="10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sdt>
        <w:sdtPr>
          <w:tag w:val="goog_rdk_0"/>
        </w:sdtPr>
        <w:sdtContent/>
      </w:sdt>
      <w:sdt>
        <w:sdtPr>
          <w:tag w:val="goog_rdk_1"/>
        </w:sdtPr>
        <w:sdtContent/>
      </w:sdt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40" w:lineRule="auto"/>
              <w:ind w:left="0" w:right="567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b7ixhhvdct0t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Inteligentní dopravní systémy –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Dopravní a cestovní informace (TTI) v dopravním protokolu expertní skupiny, druhá generace (TPEG2)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Část 23: Aplikace pro informace o multimodálních trasách (TPEG2-RMR)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01 8388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Vydána 20</w:t>
      </w:r>
      <w:r w:rsidDel="00000000" w:rsidR="00000000" w:rsidRPr="00000000">
        <w:rPr>
          <w:sz w:val="28"/>
          <w:szCs w:val="28"/>
          <w:rtl w:val="0"/>
        </w:rPr>
        <w:t xml:space="preserve">16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43 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hanging="2"/>
        <w:rPr/>
      </w:pPr>
      <w:bookmarkStart w:colFirst="0" w:colLast="0" w:name="_heading=h.k2jf97lkp7ge" w:id="4"/>
      <w:bookmarkEnd w:id="4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a jeho převodu do platformě závislé podoby. </w:t>
      </w:r>
    </w:p>
    <w:p w:rsidR="00000000" w:rsidDel="00000000" w:rsidP="00000000" w:rsidRDefault="00000000" w:rsidRPr="00000000" w14:paraId="0000000B">
      <w:pPr>
        <w:ind w:left="0" w:hanging="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  <w:t xml:space="preserve">Tento extrakt (dále jen “popisovaný dokument”) popisuje část 23 normy TPEG „Aplikace pro informace o multimodálních trasách (TPEG2-RMR)”, která specifikuje 3 struktury pro popis multimodální trasy a strukturu pro požadavek na vygenerování tras(y).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4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0" w:hanging="2"/>
        <w:rPr/>
      </w:pPr>
      <w:bookmarkStart w:colFirst="0" w:colLast="0" w:name="_heading=h.p5uplw5j229a" w:id="6"/>
      <w:bookmarkEnd w:id="6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ind w:left="0" w:hanging="2"/>
        <w:rPr/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  <w:t xml:space="preserve">Popisovaný dokument stanovuje způsob poskytování informací o multimodální trase. Počítá s vysíláním tras bez upřesnění požadavku ze strany uživatele (broadcast) i s upřesněním požadavku uživatelem v rámci relace mezi terminálem uživatele a serverem služby RMR. Tato aplikace specifikuje, jak by měla relace mezi serverem a terminálem vypadat a jak by měly být strukturované požadavek a odpověď. Je nezbytný pro analytiky provozovatele multimodálního vyhledávače a pro analytiky výrobce uživatelského terminálu (aplikace), kteří mají na starost návrh datového modelu systému a návrh pravidel, se kterými systém pracuje. Použije se při návrhu systému. </w:t>
      </w:r>
    </w:p>
    <w:p w:rsidR="00000000" w:rsidDel="00000000" w:rsidP="00000000" w:rsidRDefault="00000000" w:rsidRPr="00000000" w14:paraId="00000011">
      <w:pPr>
        <w:pStyle w:val="Heading1"/>
        <w:ind w:left="0" w:hanging="2"/>
        <w:rPr/>
      </w:pPr>
      <w:bookmarkStart w:colFirst="0" w:colLast="0" w:name="_heading=h.8kdf5wup1at0" w:id="8"/>
      <w:bookmarkEnd w:id="8"/>
      <w:r w:rsidDel="00000000" w:rsidR="00000000" w:rsidRPr="00000000">
        <w:rPr>
          <w:rtl w:val="0"/>
        </w:rPr>
        <w:t xml:space="preserve">Souvisící normy</w:t>
      </w:r>
    </w:p>
    <w:p w:rsidR="00000000" w:rsidDel="00000000" w:rsidP="00000000" w:rsidRDefault="00000000" w:rsidRPr="00000000" w14:paraId="00000012">
      <w:pPr>
        <w:ind w:left="0" w:hanging="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Popisovaný dokument uvádí 10 normativních odkazů na normu TPEG2 ISO 21219 části 1-6,14; TPEG1 ISO 18234-3,11 a specifikaci TISA SP10022. Klíčové normy jsou: kontejner odkazování na polohu (18234-11, TPEG1-LRC) a informace o parkování (21219-14, TPEG2-PKI). Pro sestavení zpráv z kontejnerů, odvození z modelu UML, vysílání zpráv a řízení datového toku jsou použity další části normy TPEG2 (1-6) a TPEG1 3. </w:t>
      </w:r>
    </w:p>
    <w:p w:rsidR="00000000" w:rsidDel="00000000" w:rsidP="00000000" w:rsidRDefault="00000000" w:rsidRPr="00000000" w14:paraId="00000013">
      <w:pPr>
        <w:pStyle w:val="Heading1"/>
        <w:ind w:left="0" w:hanging="2"/>
        <w:rPr/>
      </w:pPr>
      <w:bookmarkStart w:colFirst="0" w:colLast="0" w:name="_heading=h.exlj16mcv1lp" w:id="10"/>
      <w:bookmarkEnd w:id="10"/>
      <w:r w:rsidDel="00000000" w:rsidR="00000000" w:rsidRPr="00000000">
        <w:rPr>
          <w:rtl w:val="0"/>
        </w:rPr>
        <w:t xml:space="preserve">1 Předmět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Popisovaný dokument definuje aplikaci TPEG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„</w:t>
      </w:r>
      <w:r w:rsidDel="00000000" w:rsidR="00000000" w:rsidRPr="00000000">
        <w:rPr>
          <w:rtl w:val="0"/>
        </w:rPr>
        <w:t xml:space="preserve">Aplikace pro informace o multimodálních trasách</w:t>
      </w:r>
      <w:r w:rsidDel="00000000" w:rsidR="00000000" w:rsidRPr="00000000">
        <w:rPr>
          <w:color w:val="000000"/>
          <w:rtl w:val="0"/>
        </w:rPr>
        <w:t xml:space="preserve">“.</w:t>
      </w:r>
      <w:r w:rsidDel="00000000" w:rsidR="00000000" w:rsidRPr="00000000">
        <w:rPr>
          <w:rtl w:val="0"/>
        </w:rPr>
        <w:t xml:space="preserve"> Ta</w:t>
      </w:r>
      <w:r w:rsidDel="00000000" w:rsidR="00000000" w:rsidRPr="00000000">
        <w:rPr>
          <w:color w:val="000000"/>
          <w:rtl w:val="0"/>
        </w:rPr>
        <w:t xml:space="preserve"> umožňuje poskytování služeb multimodálního navádění na trasu zahrnující více dopravních prostředků a módů dopravy, včetně parkování. Jedná se například o popis optimální multimodální trasy autem na nádraží s parkovištěm, poté vlakové spojení do přestupní stanice a spoj místní veřejné dopravy do cílového místa cestujícího. </w:t>
      </w:r>
      <w:r w:rsidDel="00000000" w:rsidR="00000000" w:rsidRPr="00000000">
        <w:rPr>
          <w:rtl w:val="0"/>
        </w:rPr>
        <w:t xml:space="preserve">Tato aplikace umožňuje využití P2P spojení uživatel- server, kdy se udržuje relace mezi vyhledávačem a aplikací (terminálem) uživatele.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0" w:hanging="2"/>
        <w:rPr/>
      </w:pPr>
      <w:bookmarkStart w:colFirst="0" w:colLast="0" w:name="_heading=h.rwk302au4u2u" w:id="11"/>
      <w:bookmarkEnd w:id="11"/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tyjcwt" w:id="12"/>
      <w:bookmarkEnd w:id="12"/>
      <w:r w:rsidDel="00000000" w:rsidR="00000000" w:rsidRPr="00000000">
        <w:rPr>
          <w:color w:val="000000"/>
          <w:rtl w:val="0"/>
        </w:rPr>
        <w:t xml:space="preserve">Tato kapitola definuje 3 termíny.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3dy6vkm" w:id="13"/>
      <w:bookmarkEnd w:id="13"/>
      <w:r w:rsidDel="00000000" w:rsidR="00000000" w:rsidRPr="00000000">
        <w:rPr>
          <w:b w:val="1"/>
          <w:rtl w:val="0"/>
        </w:rPr>
        <w:t xml:space="preserve">kontejner pro management zprávy; MMC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(message management container) </w:t>
      </w:r>
      <w:r w:rsidDel="00000000" w:rsidR="00000000" w:rsidRPr="00000000">
        <w:rPr>
          <w:rtl w:val="0"/>
        </w:rPr>
        <w:t xml:space="preserve">část zprávy obsahující informace pro sestavení zprávy z dalších “aplikačního” a “polohového” kontejneru či pro řízení zprávy (například její zrušení).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65y1mt6m073l" w:id="14"/>
      <w:bookmarkEnd w:id="14"/>
      <w:r w:rsidDel="00000000" w:rsidR="00000000" w:rsidRPr="00000000">
        <w:rPr>
          <w:b w:val="1"/>
          <w:rtl w:val="0"/>
        </w:rPr>
        <w:t xml:space="preserve">kontejner pro odkazování na polohu; LRC </w:t>
      </w:r>
      <w:r w:rsidDel="00000000" w:rsidR="00000000" w:rsidRPr="00000000">
        <w:rPr>
          <w:i w:val="1"/>
          <w:rtl w:val="0"/>
        </w:rPr>
        <w:t xml:space="preserve">(location referencing container)  </w:t>
      </w:r>
      <w:r w:rsidDel="00000000" w:rsidR="00000000" w:rsidRPr="00000000">
        <w:rPr>
          <w:rtl w:val="0"/>
        </w:rPr>
        <w:t xml:space="preserve">část zprávy obsahující  informace o poloze odkazované dopravní informace či odkazovaného stav</w:t>
      </w:r>
      <w:r w:rsidDel="00000000" w:rsidR="00000000" w:rsidRPr="00000000">
        <w:rPr>
          <w:rtl w:val="0"/>
        </w:rPr>
        <w:t xml:space="preserve">u dopravní situace.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713qvuvjb6b4" w:id="15"/>
      <w:bookmarkEnd w:id="15"/>
      <w:r w:rsidDel="00000000" w:rsidR="00000000" w:rsidRPr="00000000">
        <w:rPr>
          <w:b w:val="1"/>
          <w:color w:val="000000"/>
          <w:rtl w:val="0"/>
        </w:rPr>
        <w:t xml:space="preserve">odkazování na polohu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(Location Referencing)</w:t>
      </w:r>
      <w:r w:rsidDel="00000000" w:rsidR="00000000" w:rsidRPr="00000000">
        <w:rPr>
          <w:color w:val="000000"/>
          <w:rtl w:val="0"/>
        </w:rPr>
        <w:t xml:space="preserve"> – prostředky umožňující systému přesně identifikovat polohu</w:t>
      </w:r>
    </w:p>
    <w:p w:rsidR="00000000" w:rsidDel="00000000" w:rsidP="00000000" w:rsidRDefault="00000000" w:rsidRPr="00000000" w14:paraId="0000001A">
      <w:pPr>
        <w:pStyle w:val="Heading1"/>
        <w:ind w:left="0" w:hanging="2"/>
        <w:rPr/>
      </w:pPr>
      <w:bookmarkStart w:colFirst="0" w:colLast="0" w:name="_heading=h.k2373fclpmbw" w:id="16"/>
      <w:bookmarkEnd w:id="16"/>
      <w:r w:rsidDel="00000000" w:rsidR="00000000" w:rsidRPr="00000000">
        <w:rPr>
          <w:rtl w:val="0"/>
        </w:rPr>
        <w:t xml:space="preserve">4 Zkratky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17 zkratek, důležité z pohledu tohoto extraktu jsou: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MMC</w:t>
      </w:r>
      <w:r w:rsidDel="00000000" w:rsidR="00000000" w:rsidRPr="00000000">
        <w:rPr>
          <w:color w:val="000000"/>
          <w:rtl w:val="0"/>
        </w:rPr>
        <w:tab/>
        <w:t xml:space="preserve">kontejner pro management zpráv </w:t>
      </w:r>
      <w:r w:rsidDel="00000000" w:rsidR="00000000" w:rsidRPr="00000000">
        <w:rPr>
          <w:i w:val="1"/>
          <w:color w:val="000000"/>
          <w:rtl w:val="0"/>
        </w:rPr>
        <w:t xml:space="preserve">(Message Management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ADC</w:t>
        <w:tab/>
      </w:r>
      <w:r w:rsidDel="00000000" w:rsidR="00000000" w:rsidRPr="00000000">
        <w:rPr>
          <w:color w:val="000000"/>
          <w:rtl w:val="0"/>
        </w:rPr>
        <w:t xml:space="preserve">kontejner pro popis aplikace </w:t>
      </w:r>
      <w:r w:rsidDel="00000000" w:rsidR="00000000" w:rsidRPr="00000000">
        <w:rPr>
          <w:i w:val="1"/>
          <w:color w:val="000000"/>
          <w:rtl w:val="0"/>
        </w:rPr>
        <w:t xml:space="preserve">(Application Data Container) </w:t>
      </w:r>
    </w:p>
    <w:p w:rsidR="00000000" w:rsidDel="00000000" w:rsidP="00000000" w:rsidRDefault="00000000" w:rsidRPr="00000000" w14:paraId="0000001E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LRC</w:t>
        <w:tab/>
      </w:r>
      <w:r w:rsidDel="00000000" w:rsidR="00000000" w:rsidRPr="00000000">
        <w:rPr>
          <w:rtl w:val="0"/>
        </w:rPr>
        <w:t xml:space="preserve">kontejner pro odkazování na polohu </w:t>
      </w:r>
      <w:r w:rsidDel="00000000" w:rsidR="00000000" w:rsidRPr="00000000">
        <w:rPr>
          <w:i w:val="1"/>
          <w:rtl w:val="0"/>
        </w:rPr>
        <w:t xml:space="preserve">(Location Referencing Container)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rtl w:val="0"/>
        </w:rPr>
        <w:t xml:space="preserve">MMR</w:t>
      </w:r>
      <w:r w:rsidDel="00000000" w:rsidR="00000000" w:rsidRPr="00000000">
        <w:rPr>
          <w:b w:val="1"/>
          <w:color w:val="000000"/>
          <w:rtl w:val="0"/>
        </w:rPr>
        <w:tab/>
      </w:r>
      <w:r w:rsidDel="00000000" w:rsidR="00000000" w:rsidRPr="00000000">
        <w:rPr>
          <w:rtl w:val="0"/>
        </w:rPr>
        <w:t xml:space="preserve">multimodální trasa</w:t>
      </w:r>
      <w:r w:rsidDel="00000000" w:rsidR="00000000" w:rsidRPr="00000000">
        <w:rPr>
          <w:i w:val="1"/>
          <w:rtl w:val="0"/>
        </w:rPr>
        <w:t xml:space="preserve"> (Multimodal Route)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rtl w:val="0"/>
        </w:rPr>
        <w:t xml:space="preserve">RMR</w:t>
      </w:r>
      <w:r w:rsidDel="00000000" w:rsidR="00000000" w:rsidRPr="00000000">
        <w:rPr>
          <w:b w:val="1"/>
          <w:color w:val="000000"/>
          <w:rtl w:val="0"/>
        </w:rPr>
        <w:tab/>
      </w:r>
      <w:r w:rsidDel="00000000" w:rsidR="00000000" w:rsidRPr="00000000">
        <w:rPr>
          <w:rtl w:val="0"/>
        </w:rPr>
        <w:t xml:space="preserve">aplikace pro informace o multimodálních trasách </w:t>
      </w:r>
      <w:r w:rsidDel="00000000" w:rsidR="00000000" w:rsidRPr="00000000">
        <w:rPr>
          <w:i w:val="1"/>
          <w:rtl w:val="0"/>
        </w:rPr>
        <w:t xml:space="preserve">(Road and Multimodal Routes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PKI</w:t>
      </w:r>
      <w:r w:rsidDel="00000000" w:rsidR="00000000" w:rsidRPr="00000000">
        <w:rPr>
          <w:i w:val="1"/>
          <w:color w:val="000000"/>
          <w:rtl w:val="0"/>
        </w:rPr>
        <w:tab/>
      </w:r>
      <w:r w:rsidDel="00000000" w:rsidR="00000000" w:rsidRPr="00000000">
        <w:rPr>
          <w:rtl w:val="0"/>
        </w:rPr>
        <w:t xml:space="preserve">aplikace pro informace o parkování</w:t>
      </w:r>
      <w:r w:rsidDel="00000000" w:rsidR="00000000" w:rsidRPr="00000000">
        <w:rPr>
          <w:i w:val="1"/>
          <w:rtl w:val="0"/>
        </w:rPr>
        <w:t xml:space="preserve"> (Parking Information application)</w:t>
      </w:r>
    </w:p>
    <w:p w:rsidR="00000000" w:rsidDel="00000000" w:rsidP="00000000" w:rsidRDefault="00000000" w:rsidRPr="00000000" w14:paraId="00000022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GLR</w:t>
      </w:r>
      <w:r w:rsidDel="00000000" w:rsidR="00000000" w:rsidRPr="00000000">
        <w:rPr>
          <w:rtl w:val="0"/>
        </w:rPr>
        <w:tab/>
        <w:t xml:space="preserve">geografické odkazování na polohu </w:t>
      </w:r>
      <w:r w:rsidDel="00000000" w:rsidR="00000000" w:rsidRPr="00000000">
        <w:rPr>
          <w:i w:val="1"/>
          <w:rtl w:val="0"/>
        </w:rPr>
        <w:t xml:space="preserve">(Geographic Location Reference)</w:t>
      </w:r>
    </w:p>
    <w:p w:rsidR="00000000" w:rsidDel="00000000" w:rsidP="00000000" w:rsidRDefault="00000000" w:rsidRPr="00000000" w14:paraId="00000023">
      <w:pPr>
        <w:ind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TPEG</w:t>
        <w:tab/>
      </w:r>
      <w:r w:rsidDel="00000000" w:rsidR="00000000" w:rsidRPr="00000000">
        <w:rPr>
          <w:rtl w:val="0"/>
        </w:rPr>
        <w:t xml:space="preserve">framework poskytující formáty a protokoly pro poskytování dopravních informací, optimalizovaných na šíření prostřednictvím digitálního rozhlasu či Internetu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Další termíny a zkratky z oboru ITS jsou obsaženy ve slovníku ITS terminology (</w:t>
      </w:r>
      <w:hyperlink r:id="rId10">
        <w:r w:rsidDel="00000000" w:rsidR="00000000" w:rsidRPr="00000000">
          <w:rPr>
            <w:i w:val="1"/>
            <w:color w:val="000000"/>
            <w:sz w:val="18"/>
            <w:szCs w:val="18"/>
            <w:rtl w:val="0"/>
          </w:rPr>
          <w:t xml:space="preserve">www.itsterminology.org</w:t>
        </w:r>
      </w:hyperlink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hanging="2"/>
        <w:rPr/>
      </w:pPr>
      <w:bookmarkStart w:colFirst="0" w:colLast="0" w:name="_heading=h.qfqfpgofc94p" w:id="17"/>
      <w:bookmarkEnd w:id="17"/>
      <w:r w:rsidDel="00000000" w:rsidR="00000000" w:rsidRPr="00000000">
        <w:rPr>
          <w:rtl w:val="0"/>
        </w:rPr>
        <w:t xml:space="preserve">5 Podmínky a omezení aplikace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t3h5sf" w:id="18"/>
      <w:bookmarkEnd w:id="18"/>
      <w:r w:rsidDel="00000000" w:rsidR="00000000" w:rsidRPr="00000000">
        <w:rPr>
          <w:color w:val="000000"/>
          <w:rtl w:val="0"/>
        </w:rPr>
        <w:t xml:space="preserve">Tato kapitola (rozsah 1,5 strany) vymezuje: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b w:val="1"/>
          <w:color w:val="000000"/>
          <w:rtl w:val="0"/>
        </w:rPr>
        <w:t xml:space="preserve">Identifikátor aplikace</w:t>
      </w:r>
      <w:r w:rsidDel="00000000" w:rsidR="00000000" w:rsidRPr="00000000">
        <w:rPr>
          <w:color w:val="000000"/>
          <w:rtl w:val="0"/>
        </w:rPr>
        <w:t xml:space="preserve">, který je stanovený pro všechny aplikace v TS 21219-1.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b w:val="1"/>
          <w:color w:val="000000"/>
          <w:rtl w:val="0"/>
        </w:rPr>
        <w:t xml:space="preserve">Verzi aplikace</w:t>
      </w:r>
      <w:r w:rsidDel="00000000" w:rsidR="00000000" w:rsidRPr="00000000">
        <w:rPr>
          <w:color w:val="000000"/>
          <w:rtl w:val="0"/>
        </w:rPr>
        <w:t xml:space="preserve">. Verze je klíčová z pohledu dekodéru, jednotlivé verze stejné aplikace se totiž mohou od sebe lišit strukturou, obsahem atp. 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color w:val="000000"/>
          <w:rtl w:val="0"/>
        </w:rPr>
        <w:t xml:space="preserve">Pořadí kontejnerů</w:t>
      </w:r>
      <w:r w:rsidDel="00000000" w:rsidR="00000000" w:rsidRPr="00000000">
        <w:rPr>
          <w:color w:val="000000"/>
          <w:rtl w:val="0"/>
        </w:rPr>
        <w:t xml:space="preserve">, ze kterých je zpráva složena. Zpráva se skládá z kontejneru pro management zpráv (MMC), </w:t>
      </w:r>
      <w:r w:rsidDel="00000000" w:rsidR="00000000" w:rsidRPr="00000000">
        <w:rPr>
          <w:color w:val="000000"/>
          <w:rtl w:val="0"/>
        </w:rPr>
        <w:t xml:space="preserve">kontejneru </w:t>
      </w:r>
      <w:r w:rsidDel="00000000" w:rsidR="00000000" w:rsidRPr="00000000">
        <w:rPr>
          <w:rtl w:val="0"/>
        </w:rPr>
        <w:t xml:space="preserve">pro popis </w:t>
      </w:r>
      <w:r w:rsidDel="00000000" w:rsidR="00000000" w:rsidRPr="00000000">
        <w:rPr>
          <w:color w:val="000000"/>
          <w:rtl w:val="0"/>
        </w:rPr>
        <w:t xml:space="preserve">aplikace</w:t>
      </w:r>
      <w:r w:rsidDel="00000000" w:rsidR="00000000" w:rsidRPr="00000000">
        <w:rPr>
          <w:color w:val="000000"/>
          <w:rtl w:val="0"/>
        </w:rPr>
        <w:t xml:space="preserve"> (ADC) a kontejneru pro odkazování na polohu (LRC). 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color w:val="000000"/>
          <w:rtl w:val="0"/>
        </w:rPr>
        <w:t xml:space="preserve">Rozšiřitelnost a zpětnou kompatibilitu</w:t>
      </w:r>
      <w:r w:rsidDel="00000000" w:rsidR="00000000" w:rsidRPr="00000000">
        <w:rPr>
          <w:color w:val="000000"/>
          <w:rtl w:val="0"/>
        </w:rPr>
        <w:t xml:space="preserve">, jako požadavek na přeskočení neznámých částí zprávy dekodérem a specifikaci v budoucnu rozšiřitelných částí struktur TPEG zprávy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>
          <w:color w:val="000000"/>
          <w:u w:val="none"/>
        </w:rPr>
      </w:pPr>
      <w:r w:rsidDel="00000000" w:rsidR="00000000" w:rsidRPr="00000000">
        <w:rPr>
          <w:b w:val="1"/>
          <w:color w:val="000000"/>
          <w:rtl w:val="0"/>
        </w:rPr>
        <w:t xml:space="preserve">Rámec komponent služby TPEG</w:t>
      </w:r>
      <w:r w:rsidDel="00000000" w:rsidR="00000000" w:rsidRPr="00000000">
        <w:rPr>
          <w:color w:val="000000"/>
          <w:rtl w:val="0"/>
        </w:rPr>
        <w:t xml:space="preserve"> dle ISO/TS 21219-5.</w:t>
      </w:r>
    </w:p>
    <w:p w:rsidR="00000000" w:rsidDel="00000000" w:rsidP="00000000" w:rsidRDefault="00000000" w:rsidRPr="00000000" w14:paraId="0000002C">
      <w:pPr>
        <w:pStyle w:val="Heading1"/>
        <w:ind w:left="0" w:hanging="2"/>
        <w:rPr/>
      </w:pPr>
      <w:bookmarkStart w:colFirst="0" w:colLast="0" w:name="_heading=h.70y3xb1dvgqi" w:id="19"/>
      <w:bookmarkEnd w:id="19"/>
      <w:r w:rsidDel="00000000" w:rsidR="00000000" w:rsidRPr="00000000">
        <w:rPr>
          <w:rtl w:val="0"/>
        </w:rPr>
        <w:t xml:space="preserve">6 Struktura RMR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6 stran,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 obrázk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color w:val="000000"/>
          <w:rtl w:val="0"/>
        </w:rPr>
        <w:t xml:space="preserve">, viz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brázek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) obsahuje UML model 2 zpráv aplikace </w:t>
      </w:r>
      <w:r w:rsidDel="00000000" w:rsidR="00000000" w:rsidRPr="00000000">
        <w:rPr>
          <w:rtl w:val="0"/>
        </w:rPr>
        <w:t xml:space="preserve">RMR, zprávy z požadavkem na sestavení trasy cesty a zprávy se sestavenou trasou multimodální cesty.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d34og8" w:id="20"/>
      <w:bookmarkEnd w:id="20"/>
      <w:r w:rsidDel="00000000" w:rsidR="00000000" w:rsidRPr="00000000">
        <w:rPr/>
        <w:drawing>
          <wp:inline distB="114300" distT="114300" distL="114300" distR="114300">
            <wp:extent cx="5760410" cy="4495800"/>
            <wp:effectExtent b="0" l="0" r="0" t="0"/>
            <wp:docPr id="10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1 - UML model tříd aplikace </w:t>
      </w:r>
      <w:r w:rsidDel="00000000" w:rsidR="00000000" w:rsidRPr="00000000">
        <w:rPr>
          <w:sz w:val="18"/>
          <w:szCs w:val="18"/>
          <w:rtl w:val="0"/>
        </w:rPr>
        <w:t xml:space="preserve">RMR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(obrázek 2 normy)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Sestavené trasy cest mohou obsahovat různou kombinaci dopravních módů (viz následujcí obrázek). O smysluplné kombinaci dopravních módů rozhoduje Služba RMR.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60410" cy="1498600"/>
            <wp:effectExtent b="0" l="0" r="0" t="0"/>
            <wp:docPr id="10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ind w:left="0" w:hanging="2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Obrázek 2 - Kombinace módů dopravy při cestě do místa určení (obrázek 4 normy)</w:t>
      </w:r>
    </w:p>
    <w:p w:rsidR="00000000" w:rsidDel="00000000" w:rsidP="00000000" w:rsidRDefault="00000000" w:rsidRPr="00000000" w14:paraId="00000033">
      <w:pPr>
        <w:ind w:left="0" w:hanging="2"/>
        <w:rPr/>
      </w:pPr>
      <w:r w:rsidDel="00000000" w:rsidR="00000000" w:rsidRPr="00000000">
        <w:rPr>
          <w:rtl w:val="0"/>
        </w:rPr>
        <w:t xml:space="preserve">Článek 6.2 Scénáře, vlastnosti a požadavky stanovuje </w:t>
      </w:r>
      <w:r w:rsidDel="00000000" w:rsidR="00000000" w:rsidRPr="00000000">
        <w:rPr>
          <w:b w:val="1"/>
          <w:rtl w:val="0"/>
        </w:rPr>
        <w:t xml:space="preserve">několik různých struktur zprávy RMR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pouze MMC, pro </w:t>
      </w:r>
      <w:r w:rsidDel="00000000" w:rsidR="00000000" w:rsidRPr="00000000">
        <w:rPr>
          <w:rtl w:val="0"/>
        </w:rPr>
        <w:t xml:space="preserve">rušící</w:t>
      </w:r>
      <w:r w:rsidDel="00000000" w:rsidR="00000000" w:rsidRPr="00000000">
        <w:rPr>
          <w:rtl w:val="0"/>
        </w:rPr>
        <w:t xml:space="preserve"> zprávy,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jeden MMC, jeden ADC a volitelně LRC popisující celou multimodální cestu. </w:t>
      </w:r>
    </w:p>
    <w:p w:rsidR="00000000" w:rsidDel="00000000" w:rsidP="00000000" w:rsidRDefault="00000000" w:rsidRPr="00000000" w14:paraId="00000036">
      <w:pPr>
        <w:spacing w:after="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hanging="2"/>
        <w:rPr/>
      </w:pPr>
      <w:r w:rsidDel="00000000" w:rsidR="00000000" w:rsidRPr="00000000">
        <w:rPr>
          <w:rtl w:val="0"/>
        </w:rPr>
        <w:t xml:space="preserve">Dále aplikace RMC umožňuje využití ve 2 scénářích: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Rule="auto"/>
        <w:ind w:left="770" w:hanging="360"/>
        <w:rPr>
          <w:u w:val="none"/>
        </w:rPr>
      </w:pPr>
      <w:r w:rsidDel="00000000" w:rsidR="00000000" w:rsidRPr="00000000">
        <w:rPr>
          <w:rtl w:val="0"/>
        </w:rPr>
        <w:t xml:space="preserve">vysílání typu “</w:t>
      </w:r>
      <w:r w:rsidDel="00000000" w:rsidR="00000000" w:rsidRPr="00000000">
        <w:rPr>
          <w:b w:val="1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”, kdy zprávu s trasou obdrží všechny terminály v dosahu.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7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obousměrná P2P komunikace</w:t>
      </w:r>
      <w:r w:rsidDel="00000000" w:rsidR="00000000" w:rsidRPr="00000000">
        <w:rPr>
          <w:rtl w:val="0"/>
        </w:rPr>
        <w:t xml:space="preserve">, kdy může klientské zařízení zaslat obecný požadavek na trasu (stejné jako předchozí scénář) či kdy klientské zařízení zasílá specifický požadavek, ve kterém může určit řadu parametrů: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lineRule="auto"/>
        <w:ind w:left="1490" w:hanging="360"/>
        <w:rPr>
          <w:u w:val="none"/>
        </w:rPr>
      </w:pPr>
      <w:r w:rsidDel="00000000" w:rsidR="00000000" w:rsidRPr="00000000">
        <w:rPr>
          <w:rtl w:val="0"/>
        </w:rPr>
        <w:t xml:space="preserve">vyžádat si seznam tras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lineRule="auto"/>
        <w:ind w:left="1490" w:hanging="360"/>
        <w:rPr>
          <w:u w:val="none"/>
        </w:rPr>
      </w:pPr>
      <w:r w:rsidDel="00000000" w:rsidR="00000000" w:rsidRPr="00000000">
        <w:rPr>
          <w:rtl w:val="0"/>
        </w:rPr>
        <w:t xml:space="preserve">vyžádat si detailní informace o trase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lineRule="auto"/>
        <w:ind w:left="1490" w:hanging="360"/>
        <w:rPr>
          <w:u w:val="none"/>
        </w:rPr>
      </w:pPr>
      <w:r w:rsidDel="00000000" w:rsidR="00000000" w:rsidRPr="00000000">
        <w:rPr>
          <w:rtl w:val="0"/>
        </w:rPr>
        <w:t xml:space="preserve">vybrat (aktivovat) trasu, ke které bude dostávat aktualizace (od serveru)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lineRule="auto"/>
        <w:ind w:left="1490" w:hanging="360"/>
        <w:rPr>
          <w:u w:val="none"/>
        </w:rPr>
      </w:pPr>
      <w:r w:rsidDel="00000000" w:rsidR="00000000" w:rsidRPr="00000000">
        <w:rPr>
          <w:rtl w:val="0"/>
        </w:rPr>
        <w:t xml:space="preserve">vyžádat si aktualizaci trasy (dle aktuální polohy terminálu)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90" w:hanging="360"/>
        <w:rPr>
          <w:u w:val="none"/>
        </w:rPr>
      </w:pPr>
      <w:r w:rsidDel="00000000" w:rsidR="00000000" w:rsidRPr="00000000">
        <w:rPr>
          <w:rtl w:val="0"/>
        </w:rPr>
        <w:t xml:space="preserve">zrušit RMC relaci</w:t>
      </w:r>
    </w:p>
    <w:p w:rsidR="00000000" w:rsidDel="00000000" w:rsidP="00000000" w:rsidRDefault="00000000" w:rsidRPr="00000000" w14:paraId="0000003F">
      <w:pPr>
        <w:ind w:left="0" w:hanging="2"/>
        <w:rPr/>
      </w:pPr>
      <w:r w:rsidDel="00000000" w:rsidR="00000000" w:rsidRPr="00000000">
        <w:rPr>
          <w:rtl w:val="0"/>
        </w:rPr>
        <w:t xml:space="preserve">Článek uvádí (obrázkem) typický průběh RMR relace.</w:t>
      </w:r>
    </w:p>
    <w:p w:rsidR="00000000" w:rsidDel="00000000" w:rsidP="00000000" w:rsidRDefault="00000000" w:rsidRPr="00000000" w14:paraId="00000040">
      <w:pPr>
        <w:pStyle w:val="Heading1"/>
        <w:ind w:left="0" w:hanging="2"/>
        <w:rPr/>
      </w:pPr>
      <w:bookmarkStart w:colFirst="0" w:colLast="0" w:name="_heading=h.zeeuw5iep7ap" w:id="21"/>
      <w:bookmarkEnd w:id="21"/>
      <w:r w:rsidDel="00000000" w:rsidR="00000000" w:rsidRPr="00000000">
        <w:rPr>
          <w:rtl w:val="0"/>
        </w:rPr>
        <w:t xml:space="preserve">7 Komponenty zprávy RMR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 stran, tabulky) popisuje jednotlivé komponenty zprávy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pro odpověď (RMRMessage) i požada</w:t>
      </w:r>
      <w:r w:rsidDel="00000000" w:rsidR="00000000" w:rsidRPr="00000000">
        <w:rPr>
          <w:rtl w:val="0"/>
        </w:rPr>
        <w:t xml:space="preserve">vek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Stanovuje pro zprávu RMR její základní strukturu a detailně popisuje její jednotlivé součásti. Zejména trasu (Route), která je popsána vlastními metadaty (id, typ trasy, čas začátku a konce, typ přístupu, atp.) a jednotlivými částmi trasy (RouteSegment) opět se specifickými metadaty (čas, mód, vzdálenost, cena, číslo linky, provozovatel, atp.) polohou, popisem parkoviště na konci segmentu a detaily podle módu dopravy.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Detaily podle módu dopravy zahrnují informace k cestě veřejnou hromadnou dopravou (počáteční a koncová stanice, (bez)bariérovost) a k cestě pěšky (počáteční a koncový bod, typy cesty).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Parkoviště je popsáno metadaty zahrnujícími název, obsazenost, cenu, popis, čas na zaparkování a polohu.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Další část článku stanovuje požadavek na trasu (RMRRequestMessage), který obsahuje požadavek na vygenerování seznamu tras (RMRListReqParams) podle zadaných parametrů (počátek a konec cesty, čas, typ cesty, počet a polohu zastávek, doplňkové požadavky atp.), požadavek na vrácení jedné trasy (RMRRouteReqParams) podle polohy či id trasy, požadavek na aktivaci trasy (RMRActivateRouteReqParams) a požadavek na zrušení relace (TerminateRMRSession).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Mezi možné doplňkové požadavky k trase patří: přístup pro vozíčkáře, pouze krátké pěší segmenty, typ cesty (krátká, rychlá …), parkoviště v místě určení, maximální počet přestupů, maximální délky tras podle dopravních módů atp.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Popis polohy není specifikován, dokument doporučuje metodu GLR.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Datové typy </w:t>
      </w:r>
      <w:r w:rsidDel="00000000" w:rsidR="00000000" w:rsidRPr="00000000">
        <w:rPr>
          <w:b w:val="1"/>
          <w:sz w:val="22"/>
          <w:szCs w:val="22"/>
          <w:rtl w:val="0"/>
        </w:rPr>
        <w:t xml:space="preserve">RMR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stran) obsahuje </w:t>
      </w:r>
      <w:r w:rsidDel="00000000" w:rsidR="00000000" w:rsidRPr="00000000">
        <w:rPr>
          <w:b w:val="1"/>
          <w:color w:val="000000"/>
          <w:rtl w:val="0"/>
        </w:rPr>
        <w:t xml:space="preserve">definice</w:t>
      </w:r>
      <w:r w:rsidDel="00000000" w:rsidR="00000000" w:rsidRPr="00000000">
        <w:rPr>
          <w:color w:val="000000"/>
          <w:rtl w:val="0"/>
        </w:rPr>
        <w:t xml:space="preserve"> použitých datových struktur (typů).  Na obrázku níže (Obrázek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) je, pro ilustraci obsahu a sloupců, uvedena část tabulky popisující datovou strukturu </w:t>
      </w:r>
      <w:r w:rsidDel="00000000" w:rsidR="00000000" w:rsidRPr="00000000">
        <w:rPr>
          <w:rtl w:val="0"/>
        </w:rPr>
        <w:t xml:space="preserve">PredefConnection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3rdcrjn" w:id="22"/>
      <w:bookmarkEnd w:id="22"/>
      <w:r w:rsidDel="00000000" w:rsidR="00000000" w:rsidRPr="00000000">
        <w:rPr/>
        <w:drawing>
          <wp:inline distB="114300" distT="114300" distL="114300" distR="114300">
            <wp:extent cx="5760410" cy="1600200"/>
            <wp:effectExtent b="0" l="0" r="0" t="0"/>
            <wp:docPr id="10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Obrázek 3 - Ukázka části struktury PredefConnection (tabulka 18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Struktury se skládají ze složitých či jednoduchých datových objektů, výskyt každé položky datové struktury (</w:t>
      </w:r>
      <w:r w:rsidDel="00000000" w:rsidR="00000000" w:rsidRPr="00000000">
        <w:rPr>
          <w:rtl w:val="0"/>
        </w:rPr>
        <w:t xml:space="preserve">tj.</w:t>
      </w:r>
      <w:r w:rsidDel="00000000" w:rsidR="00000000" w:rsidRPr="00000000">
        <w:rPr>
          <w:color w:val="000000"/>
          <w:rtl w:val="0"/>
        </w:rPr>
        <w:t xml:space="preserve"> její multiplicita) je doplněn datovým typem a popisem. Tabulka níže uvádí datové struktury stanovené v této kapitole.</w:t>
      </w:r>
    </w:p>
    <w:p w:rsidR="00000000" w:rsidDel="00000000" w:rsidP="00000000" w:rsidRDefault="00000000" w:rsidRPr="00000000" w14:paraId="0000004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bookmarkStart w:colFirst="0" w:colLast="0" w:name="_heading=h.26in1rg" w:id="23"/>
      <w:bookmarkEnd w:id="23"/>
      <w:r w:rsidDel="00000000" w:rsidR="00000000" w:rsidRPr="00000000">
        <w:rPr>
          <w:color w:val="000000"/>
          <w:sz w:val="18"/>
          <w:szCs w:val="18"/>
          <w:rtl w:val="0"/>
        </w:rPr>
        <w:t xml:space="preserve">Tabulka 1 - Seznam stanovených datových typů (zdroj: autor extraktu)</w:t>
      </w:r>
    </w:p>
    <w:tbl>
      <w:tblPr>
        <w:tblStyle w:val="Table2"/>
        <w:tblW w:w="9045.0" w:type="dxa"/>
        <w:jc w:val="left"/>
        <w:tblInd w:w="115.0" w:type="dxa"/>
        <w:tblLayout w:type="fixed"/>
        <w:tblLook w:val="0000"/>
      </w:tblPr>
      <w:tblGrid>
        <w:gridCol w:w="2534"/>
        <w:gridCol w:w="6511"/>
        <w:tblGridChange w:id="0">
          <w:tblGrid>
            <w:gridCol w:w="2534"/>
            <w:gridCol w:w="65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Struktura </w:t>
            </w:r>
            <w:r w:rsidDel="00000000" w:rsidR="00000000" w:rsidRPr="00000000">
              <w:rPr>
                <w:b w:val="1"/>
                <w:rtl w:val="0"/>
              </w:rPr>
              <w:t xml:space="preserve">RMR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EnergyConsumption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informace o spotřebované energii na daný segment trasy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kontakt na provozovatele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PredefConnection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požadované konkrétní spojení v rámci trasy, (objednaný let 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WGS84Coordinate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zeměpisná poloha (lat, lon)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MessageLink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odkaz na zprávu obsahující více detailů o trase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lnxbz9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 Tabulky </w:t>
      </w:r>
      <w:r w:rsidDel="00000000" w:rsidR="00000000" w:rsidRPr="00000000">
        <w:rPr>
          <w:b w:val="1"/>
          <w:sz w:val="22"/>
          <w:szCs w:val="22"/>
          <w:rtl w:val="0"/>
        </w:rPr>
        <w:t xml:space="preserve">RMR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stran) obsahuje definice výčtových typů aplikace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(v 8 tabulkách).  Následující tabulka jmenovitě uvádí jednotlivé tabulky a doplňuje je popisem a příkladem obsahu.</w:t>
      </w:r>
    </w:p>
    <w:p w:rsidR="00000000" w:rsidDel="00000000" w:rsidP="00000000" w:rsidRDefault="00000000" w:rsidRPr="00000000" w14:paraId="0000005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sz w:val="18"/>
          <w:szCs w:val="18"/>
        </w:rPr>
      </w:pPr>
      <w:bookmarkStart w:colFirst="0" w:colLast="0" w:name="_heading=h.iykewot5vw7m" w:id="25"/>
      <w:bookmarkEnd w:id="25"/>
      <w:r w:rsidDel="00000000" w:rsidR="00000000" w:rsidRPr="00000000">
        <w:rPr>
          <w:sz w:val="18"/>
          <w:szCs w:val="18"/>
          <w:rtl w:val="0"/>
        </w:rPr>
        <w:t xml:space="preserve">Tabulka 2 - Seznam tabulek RMR (výčtů hodnot) (zdroj: autor extraktu)</w:t>
      </w:r>
    </w:p>
    <w:tbl>
      <w:tblPr>
        <w:tblStyle w:val="Table3"/>
        <w:tblW w:w="9060.0" w:type="dxa"/>
        <w:jc w:val="left"/>
        <w:tblInd w:w="131.0" w:type="dxa"/>
        <w:tblLayout w:type="fixed"/>
        <w:tblLook w:val="0000"/>
      </w:tblPr>
      <w:tblGrid>
        <w:gridCol w:w="2519"/>
        <w:gridCol w:w="3690"/>
        <w:gridCol w:w="2851"/>
        <w:tblGridChange w:id="0">
          <w:tblGrid>
            <w:gridCol w:w="2519"/>
            <w:gridCol w:w="3690"/>
            <w:gridCol w:w="28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Tabulka </w:t>
            </w:r>
            <w:r w:rsidDel="00000000" w:rsidR="00000000" w:rsidRPr="00000000">
              <w:rPr>
                <w:b w:val="1"/>
                <w:rtl w:val="0"/>
              </w:rPr>
              <w:t xml:space="preserve">RMR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rmr001:RouteType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různých typů </w:t>
            </w:r>
            <w:r w:rsidDel="00000000" w:rsidR="00000000" w:rsidRPr="00000000">
              <w:rPr>
                <w:rtl w:val="0"/>
              </w:rPr>
              <w:t xml:space="preserve">tras</w:t>
            </w:r>
            <w:r w:rsidDel="00000000" w:rsidR="00000000" w:rsidRPr="00000000">
              <w:rPr>
                <w:color w:val="000000"/>
                <w:rtl w:val="0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př.:001:roadRoute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rmr002:ModeType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módů</w:t>
            </w:r>
            <w:r w:rsidDel="00000000" w:rsidR="00000000" w:rsidRPr="00000000">
              <w:rPr>
                <w:rtl w:val="0"/>
              </w:rPr>
              <w:t xml:space="preserve">, dopr. prostředků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 002: </w:t>
            </w:r>
            <w:r w:rsidDel="00000000" w:rsidR="00000000" w:rsidRPr="00000000">
              <w:rPr>
                <w:rtl w:val="0"/>
              </w:rPr>
              <w:t xml:space="preserve">pedestrian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rmr003:ParkType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typů parkovišť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 002: ParkAndRide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rmr005:RouteObjectives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typů </w:t>
            </w:r>
            <w:r w:rsidDel="00000000" w:rsidR="00000000" w:rsidRPr="00000000">
              <w:rPr>
                <w:rtl w:val="0"/>
              </w:rPr>
              <w:t xml:space="preserve">trasy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 00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fastest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rmr006:RouteCause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důvodů poskytnutí trasy serverem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 003: </w:t>
            </w:r>
            <w:r w:rsidDel="00000000" w:rsidR="00000000" w:rsidRPr="00000000">
              <w:rPr>
                <w:rtl w:val="0"/>
              </w:rPr>
              <w:t xml:space="preserve">roadClosure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rmr007:AccessType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</w:t>
            </w:r>
            <w:r w:rsidDel="00000000" w:rsidR="00000000" w:rsidRPr="00000000">
              <w:rPr>
                <w:rtl w:val="0"/>
              </w:rPr>
              <w:t xml:space="preserve">typů bariér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 002:</w:t>
            </w:r>
            <w:r w:rsidDel="00000000" w:rsidR="00000000" w:rsidRPr="00000000">
              <w:rPr>
                <w:rtl w:val="0"/>
              </w:rPr>
              <w:t xml:space="preserve">escalator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rmr008:OccTendency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tendence zaplňování parkoviště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Př.: 002:</w:t>
            </w:r>
            <w:r w:rsidDel="00000000" w:rsidR="00000000" w:rsidRPr="00000000">
              <w:rPr>
                <w:rtl w:val="0"/>
              </w:rPr>
              <w:t xml:space="preserve">increasing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rmr009:EnergyType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</w:t>
            </w:r>
            <w:r w:rsidDel="00000000" w:rsidR="00000000" w:rsidRPr="00000000">
              <w:rPr>
                <w:rtl w:val="0"/>
              </w:rPr>
              <w:t xml:space="preserve">typů energií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Př: 005:</w:t>
            </w:r>
            <w:r w:rsidDel="00000000" w:rsidR="00000000" w:rsidRPr="00000000">
              <w:rPr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rmr099:ErrorCode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chybová zpráva (1=výčet obsahuje jednu položku)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001: invalid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Následující tabulka obsahuje ukázku tabulky „</w:t>
      </w:r>
      <w:r w:rsidDel="00000000" w:rsidR="00000000" w:rsidRPr="00000000">
        <w:rPr>
          <w:rtl w:val="0"/>
        </w:rPr>
        <w:t xml:space="preserve">rmr002:ModeType</w:t>
      </w:r>
      <w:r w:rsidDel="00000000" w:rsidR="00000000" w:rsidRPr="00000000">
        <w:rPr>
          <w:color w:val="000000"/>
          <w:rtl w:val="0"/>
        </w:rPr>
        <w:t xml:space="preserve">” z popisovaného dokumentu.</w:t>
      </w:r>
    </w:p>
    <w:p w:rsidR="00000000" w:rsidDel="00000000" w:rsidP="00000000" w:rsidRDefault="00000000" w:rsidRPr="00000000" w14:paraId="0000007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color w:val="000000"/>
          <w:sz w:val="18"/>
          <w:szCs w:val="18"/>
        </w:rPr>
      </w:pPr>
      <w:bookmarkStart w:colFirst="0" w:colLast="0" w:name="_heading=h.wpo5mx1gy36r" w:id="26"/>
      <w:bookmarkEnd w:id="26"/>
      <w:r w:rsidDel="00000000" w:rsidR="00000000" w:rsidRPr="00000000">
        <w:rPr>
          <w:color w:val="000000"/>
          <w:sz w:val="18"/>
          <w:szCs w:val="18"/>
          <w:rtl w:val="0"/>
        </w:rPr>
        <w:t xml:space="preserve">Tabulka 3 -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Příklad části definice výčtového typu </w:t>
      </w:r>
      <w:r w:rsidDel="00000000" w:rsidR="00000000" w:rsidRPr="00000000">
        <w:rPr>
          <w:sz w:val="18"/>
          <w:szCs w:val="18"/>
          <w:rtl w:val="0"/>
        </w:rPr>
        <w:t xml:space="preserve">rmr002:ModeType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(tabulka 22 normy)</w:t>
      </w:r>
    </w:p>
    <w:tbl>
      <w:tblPr>
        <w:tblStyle w:val="Table4"/>
        <w:tblW w:w="9044.0" w:type="dxa"/>
        <w:jc w:val="left"/>
        <w:tblInd w:w="131.0" w:type="dxa"/>
        <w:tblLayout w:type="fixed"/>
        <w:tblLook w:val="0000"/>
      </w:tblPr>
      <w:tblGrid>
        <w:gridCol w:w="2519"/>
        <w:gridCol w:w="2550"/>
        <w:gridCol w:w="3975"/>
        <w:tblGridChange w:id="0">
          <w:tblGrid>
            <w:gridCol w:w="2519"/>
            <w:gridCol w:w="2550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Kód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Fráze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komentář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auto</w:t>
            </w:r>
            <w:r w:rsidDel="00000000" w:rsidR="00000000" w:rsidRPr="00000000">
              <w:rPr>
                <w:color w:val="000000"/>
                <w:rtl w:val="0"/>
              </w:rPr>
              <w:t xml:space="preserve"> (car)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segment popisuje cestu autem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chodec</w:t>
            </w:r>
            <w:r w:rsidDel="00000000" w:rsidR="00000000" w:rsidRPr="00000000">
              <w:rPr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 pedestrian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segment popisuje cestu pěšky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autobus </w:t>
            </w:r>
            <w:r w:rsidDel="00000000" w:rsidR="00000000" w:rsidRPr="00000000">
              <w:rPr>
                <w:color w:val="000000"/>
                <w:rtl w:val="0"/>
              </w:rPr>
              <w:t xml:space="preserve">(bus)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segment popisuje cestu autobusem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35nkun2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A (</w:t>
      </w:r>
      <w:r w:rsidDel="00000000" w:rsidR="00000000" w:rsidRPr="00000000">
        <w:rPr>
          <w:b w:val="1"/>
          <w:sz w:val="22"/>
          <w:szCs w:val="22"/>
          <w:rtl w:val="0"/>
        </w:rPr>
        <w:t xml:space="preserve">normativní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 TPEG-bin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RMR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ksv4uv" w:id="28"/>
      <w:bookmarkEnd w:id="28"/>
      <w:r w:rsidDel="00000000" w:rsidR="00000000" w:rsidRPr="00000000">
        <w:rPr>
          <w:color w:val="000000"/>
          <w:rtl w:val="0"/>
        </w:rPr>
        <w:t xml:space="preserve">Tato příloha (rozsah 16 stran) stanovuje binární reprezentaci aplikace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4sinio" w:id="29"/>
      <w:bookmarkEnd w:id="29"/>
      <w:r w:rsidDel="00000000" w:rsidR="00000000" w:rsidRPr="00000000">
        <w:rPr>
          <w:color w:val="000000"/>
          <w:rtl w:val="0"/>
        </w:rPr>
        <w:t xml:space="preserve">Příloha obsahuje samostatně uvedené binární reprezentace rámce TPEG, zprávy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 a datových typů. Dále obsahuje identifikátory komponent zprávy a vysvětlení použití obecných atributů TPEG. Příklad pseudokódu binární specifikace </w:t>
      </w:r>
      <w:r w:rsidDel="00000000" w:rsidR="00000000" w:rsidRPr="00000000">
        <w:rPr>
          <w:rtl w:val="0"/>
        </w:rPr>
        <w:t xml:space="preserve">prvku PTTravelDetails je uveden v</w:t>
      </w:r>
      <w:r w:rsidDel="00000000" w:rsidR="00000000" w:rsidRPr="00000000">
        <w:rPr>
          <w:color w:val="000000"/>
          <w:rtl w:val="0"/>
        </w:rPr>
        <w:t xml:space="preserve"> následující tabulce.</w:t>
      </w:r>
    </w:p>
    <w:p w:rsidR="00000000" w:rsidDel="00000000" w:rsidP="00000000" w:rsidRDefault="00000000" w:rsidRPr="00000000" w14:paraId="0000008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sz w:val="18"/>
          <w:szCs w:val="18"/>
        </w:rPr>
      </w:pPr>
      <w:bookmarkStart w:colFirst="0" w:colLast="0" w:name="_heading=h.y0ayy7lgb8no" w:id="30"/>
      <w:bookmarkEnd w:id="30"/>
      <w:r w:rsidDel="00000000" w:rsidR="00000000" w:rsidRPr="00000000">
        <w:rPr>
          <w:sz w:val="18"/>
          <w:szCs w:val="18"/>
          <w:rtl w:val="0"/>
        </w:rPr>
        <w:t xml:space="preserve">Tabulka 4 - Příklad pseudokódu binární specifikace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prvku</w:t>
      </w:r>
      <w:r w:rsidDel="00000000" w:rsidR="00000000" w:rsidRPr="00000000">
        <w:rPr>
          <w:sz w:val="18"/>
          <w:szCs w:val="18"/>
          <w:rtl w:val="0"/>
        </w:rPr>
        <w:t xml:space="preserve"> PTTravelDetails (článek A.1.10 normy)</w:t>
      </w:r>
    </w:p>
    <w:tbl>
      <w:tblPr>
        <w:tblStyle w:val="Table5"/>
        <w:tblW w:w="928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0"/>
        <w:gridCol w:w="5745"/>
        <w:tblGridChange w:id="0">
          <w:tblGrid>
            <w:gridCol w:w="3540"/>
            <w:gridCol w:w="5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&lt;PTTravelDetails(11)&lt;SegmentDetails(11)&gt;&gt;:=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IntUnTi</w:t>
            </w:r>
            <w:r w:rsidDel="00000000" w:rsidR="00000000" w:rsidRPr="00000000">
              <w:rPr>
                <w:color w:val="000000"/>
                <w:rtl w:val="0"/>
              </w:rPr>
              <w:t xml:space="preserve">&gt;(11),</w:t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Id této komponenty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IntUnLoMB</w:t>
            </w:r>
            <w:r w:rsidDel="00000000" w:rsidR="00000000" w:rsidRPr="00000000">
              <w:rPr>
                <w:color w:val="000000"/>
                <w:rtl w:val="0"/>
              </w:rPr>
              <w:t xml:space="preserve">&gt;(lengthComp),</w:t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Počet bajtů v komponentě, kromě indikátorů id a lengthComp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IntUnLoMB</w:t>
            </w:r>
            <w:r w:rsidDel="00000000" w:rsidR="00000000" w:rsidRPr="00000000">
              <w:rPr>
                <w:color w:val="000000"/>
                <w:rtl w:val="0"/>
              </w:rPr>
              <w:t xml:space="preserve">&gt;(lengthAttr),</w:t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: Počet bajtů v atributech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BitArray(selector),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(bit 0 of selector is set)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&lt;LocalisedShortString&gt;</w:t>
            </w:r>
            <w:r w:rsidDel="00000000" w:rsidR="00000000" w:rsidRPr="00000000">
              <w:rPr>
                <w:rtl w:val="0"/>
              </w:rPr>
              <w:t xml:space="preserve">(originStation)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název počáteční zastávky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(bit 1 of selector is set)</w:t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rtl w:val="0"/>
              </w:rPr>
              <w:t xml:space="preserve">LocalisedShortString</w:t>
            </w:r>
            <w:r w:rsidDel="00000000" w:rsidR="00000000" w:rsidRPr="00000000">
              <w:rPr>
                <w:rtl w:val="0"/>
              </w:rPr>
              <w:t xml:space="preserve">&gt;(destinationStation),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název koncové zastávky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(bit 2 of selector is set)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&lt;rmr007:AccessType&gt;(accessType);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Typ přístupu (např. rampa, schody, výtah atd.); důležité zejména pro osoby s omezenou pohyblivostí.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B (normativní) TPEG-ML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RMR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stran) obsahuje nejprve </w:t>
      </w:r>
      <w:r w:rsidDel="00000000" w:rsidR="00000000" w:rsidRPr="00000000">
        <w:rPr>
          <w:color w:val="000000"/>
          <w:u w:val="single"/>
          <w:rtl w:val="0"/>
        </w:rPr>
        <w:t xml:space="preserve">samostatně uvedené</w:t>
      </w:r>
      <w:r w:rsidDel="00000000" w:rsidR="00000000" w:rsidRPr="00000000">
        <w:rPr>
          <w:color w:val="000000"/>
          <w:rtl w:val="0"/>
        </w:rPr>
        <w:t xml:space="preserve"> XML schéma rámce TPEG, dále zprávy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rozšíření, datových typů a tabulek </w:t>
      </w:r>
      <w:r w:rsidDel="00000000" w:rsidR="00000000" w:rsidRPr="00000000">
        <w:rPr>
          <w:rtl w:val="0"/>
        </w:rPr>
        <w:t xml:space="preserve">RMR</w:t>
      </w:r>
      <w:r w:rsidDel="00000000" w:rsidR="00000000" w:rsidRPr="00000000">
        <w:rPr>
          <w:color w:val="000000"/>
          <w:rtl w:val="0"/>
        </w:rPr>
        <w:t xml:space="preserve"> (definovaných jako xs:complexType), viz příklad na obrázku níže. Následně uvádí vše výše zmíněné v jednom funkčním XML schématu. </w:t>
      </w:r>
    </w:p>
    <w:tbl>
      <w:tblPr>
        <w:tblStyle w:val="Table6"/>
        <w:tblW w:w="921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&lt;xs:complexType name="SegmentLocation"&gt; 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&lt;xs:sequence&gt; 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&lt;xs:element name="streetName" type="tdt:LocalisedShortString" minOccurs="0"/&gt; 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&lt;xs:element name="heading" type="tdt:IntUnTi" minOccurs="0"/&gt; 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&lt;xs:element name="locRef" type="lrc:LocationReferencingContainer" minOccurs="0"/&gt; 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&lt;/xs:sequence&gt; 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&lt;/xs:complexType&gt;</w:t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4 - Výstřižek schématu XSD stanovujícího strukturu </w:t>
      </w:r>
      <w:r w:rsidDel="00000000" w:rsidR="00000000" w:rsidRPr="00000000">
        <w:rPr>
          <w:sz w:val="18"/>
          <w:szCs w:val="18"/>
          <w:rtl w:val="0"/>
        </w:rPr>
        <w:t xml:space="preserve">prvku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SegmentLocation (článek B.1.5 normy)</w:t>
      </w: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899795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4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</w:pPr>
    <w:rPr>
      <w:b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tabs>
        <w:tab w:val="left" w:pos="7080"/>
        <w:tab w:val="right" w:pos="9923"/>
      </w:tabs>
      <w:spacing w:after="60" w:lineRule="auto"/>
      <w:jc w:val="center"/>
    </w:pPr>
    <w:rPr>
      <w:b w:val="1"/>
      <w:color w:val="000000"/>
      <w:sz w:val="40"/>
      <w:szCs w:val="40"/>
    </w:rPr>
  </w:style>
  <w:style w:type="paragraph" w:styleId="Normln" w:default="1">
    <w:name w:val="Normal"/>
    <w:pPr>
      <w:ind w:left="-1" w:leftChars="-1" w:hanging="1" w:hangingChars="1"/>
      <w:textDirection w:val="btLr"/>
      <w:textAlignment w:val="top"/>
      <w:outlineLvl w:val="0"/>
    </w:pPr>
    <w:rPr>
      <w:position w:val="-1"/>
      <w:lang w:bidi="hi-IN" w:eastAsia="hi-IN"/>
    </w:rPr>
  </w:style>
  <w:style w:type="paragraph" w:styleId="Nadpis1">
    <w:name w:val="heading 1"/>
    <w:basedOn w:val="Normln"/>
    <w:next w:val="Zkladntext"/>
    <w:pPr>
      <w:keepNext w:val="1"/>
      <w:keepLines w:val="1"/>
      <w:spacing w:after="60" w:before="200"/>
    </w:pPr>
    <w:rPr>
      <w:b w:val="1"/>
      <w:color w:val="000000"/>
      <w:sz w:val="22"/>
      <w:szCs w:val="22"/>
    </w:rPr>
  </w:style>
  <w:style w:type="paragraph" w:styleId="Nadpis2">
    <w:name w:val="heading 2"/>
    <w:basedOn w:val="Normln"/>
    <w:next w:val="Zkladntext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ln"/>
    <w:next w:val="Zkladntext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ln"/>
    <w:next w:val="Zkladntext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ln"/>
    <w:next w:val="Zkladntext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ln"/>
    <w:next w:val="Zkladntext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Podnadpis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ListLabel1" w:customStyle="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Odrky" w:customStyle="1">
    <w:name w:val="Odrážky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color w:val="000000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  <w:color w:val="000000"/>
    </w:rPr>
  </w:style>
  <w:style w:type="paragraph" w:styleId="Podnadpis" w:customStyle="1">
    <w:name w:val="Podnadpis"/>
    <w:basedOn w:val="Normln"/>
    <w:next w:val="Zkladntext"/>
    <w:pPr>
      <w:keepNext w:val="1"/>
      <w:keepLines w:val="1"/>
      <w:spacing w:after="0" w:before="180" w:line="100" w:lineRule="atLeast"/>
      <w:jc w:val="left"/>
    </w:pPr>
    <w:rPr>
      <w:b w:val="1"/>
      <w:i w:val="1"/>
      <w:iCs w:val="1"/>
      <w:color w:val="000000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pPr>
      <w:spacing w:after="200" w:line="100" w:lineRule="atLeast"/>
      <w:jc w:val="center"/>
    </w:pPr>
    <w:rPr>
      <w:bCs w:val="1"/>
      <w:color w:val="000000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  <w:rPr>
      <w:color w:val="000000"/>
    </w:rPr>
  </w:style>
  <w:style w:type="paragraph" w:styleId="Normlnweb">
    <w:name w:val="Normal (Web)"/>
    <w:basedOn w:val="Normln"/>
    <w:qFormat w:val="1"/>
    <w:pPr>
      <w:suppressAutoHyphens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bidi="ar-SA" w:eastAsia="cs-CZ"/>
    </w:rPr>
  </w:style>
  <w:style w:type="table" w:styleId="Mkatabulky">
    <w:name w:val="Table Grid"/>
    <w:basedOn w:val="Normlntabulka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odtitul">
    <w:name w:val="Subtitle"/>
    <w:basedOn w:val="Normln"/>
    <w:next w:val="Normln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Pr>
      <w:rFonts w:cs="Mangal"/>
      <w:position w:val="-1"/>
      <w:szCs w:val="18"/>
      <w:lang w:bidi="hi-IN" w:eastAsia="hi-IN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2524C9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2524C9"/>
    <w:rPr>
      <w:rFonts w:ascii="Tahoma" w:cs="Mangal" w:hAnsi="Tahoma"/>
      <w:position w:val="-1"/>
      <w:sz w:val="16"/>
      <w:szCs w:val="14"/>
      <w:lang w:bidi="hi-IN" w:eastAsia="hi-IN"/>
    </w:rPr>
  </w:style>
  <w:style w:type="paragraph" w:styleId="1StrNN-X" w:customStyle="1">
    <w:name w:val="1StrNN-X"/>
    <w:basedOn w:val="Normln"/>
    <w:rsid w:val="002524C9"/>
    <w:pPr>
      <w:widowControl w:val="0"/>
      <w:suppressAutoHyphens w:val="1"/>
      <w:spacing w:after="180" w:before="180" w:line="340" w:lineRule="exact"/>
      <w:ind w:left="0" w:right="567" w:leftChars="0" w:firstLine="0" w:firstLineChars="0"/>
      <w:jc w:val="left"/>
      <w:textDirection w:val="lrTb"/>
      <w:textAlignment w:val="auto"/>
      <w:outlineLvl w:val="9"/>
    </w:pPr>
    <w:rPr>
      <w:b w:val="1"/>
      <w:position w:val="0"/>
      <w:sz w:val="28"/>
      <w:lang w:bidi="ar-SA" w:eastAsia="cs-CZ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www.itsterminology.org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phytZgruX5VJQTf3MFuTTTYqCQ==">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2021-03-11T08:43:00Z</dcterms:created>
  <dc:creator>Petr Bureš</dc:creator>
</cp:coreProperties>
</file>