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A20" w:rsidRDefault="00B90A20" w:rsidP="00B90A20">
      <w:pPr>
        <w:pStyle w:val="esknorma"/>
      </w:pPr>
    </w:p>
    <w:p w:rsidR="00B90A20" w:rsidRDefault="00B90A20" w:rsidP="00B90A20">
      <w:pPr>
        <w:pStyle w:val="1Str1Rad"/>
        <w:tabs>
          <w:tab w:val="clear" w:pos="7371"/>
          <w:tab w:val="left" w:pos="7080"/>
        </w:tabs>
        <w:spacing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</w:t>
      </w:r>
      <w:r w:rsidR="002D1B8A">
        <w:rPr>
          <w:b/>
          <w:sz w:val="40"/>
          <w:szCs w:val="40"/>
        </w:rPr>
        <w:t>specifikace</w:t>
      </w:r>
      <w:r>
        <w:rPr>
          <w:b/>
          <w:sz w:val="40"/>
          <w:szCs w:val="40"/>
        </w:rPr>
        <w:t xml:space="preserve"> ISO</w:t>
      </w:r>
      <w:r w:rsidR="00EB2801">
        <w:rPr>
          <w:b/>
          <w:sz w:val="40"/>
          <w:szCs w:val="40"/>
        </w:rPr>
        <w:t xml:space="preserve"> </w:t>
      </w:r>
    </w:p>
    <w:p w:rsidR="00B90A20" w:rsidRDefault="00B90A20" w:rsidP="00B90A20">
      <w:pPr>
        <w:pStyle w:val="esknorma"/>
        <w:spacing w:after="60"/>
        <w:rPr>
          <w:b/>
          <w:sz w:val="20"/>
        </w:rPr>
      </w:pPr>
      <w:r>
        <w:rPr>
          <w:b/>
          <w:sz w:val="20"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B90A20" w:rsidTr="00DE34B6">
        <w:trPr>
          <w:cantSplit/>
          <w:trHeight w:val="1701"/>
        </w:trPr>
        <w:tc>
          <w:tcPr>
            <w:tcW w:w="7371" w:type="dxa"/>
          </w:tcPr>
          <w:p w:rsidR="00B90A20" w:rsidRPr="00B013D8" w:rsidRDefault="002D1B8A" w:rsidP="002D1B8A">
            <w:pPr>
              <w:pStyle w:val="1StrNN-4-4"/>
              <w:rPr>
                <w:szCs w:val="28"/>
              </w:rPr>
            </w:pPr>
            <w:r>
              <w:t xml:space="preserve">Inteligentní dopravní systémy – </w:t>
            </w:r>
            <w:r>
              <w:br/>
              <w:t>Dopravní a cestovní informace v dopravním protokolu expertní skupiny, druhá generace (TPEG2) – Část 9: Informace o službách a síti</w:t>
            </w:r>
          </w:p>
        </w:tc>
        <w:tc>
          <w:tcPr>
            <w:tcW w:w="2552" w:type="dxa"/>
          </w:tcPr>
          <w:p w:rsidR="00B90A20" w:rsidRDefault="00B90A20" w:rsidP="00DE34B6">
            <w:pPr>
              <w:pStyle w:val="1StrCN"/>
            </w:pPr>
          </w:p>
          <w:p w:rsidR="00B90A20" w:rsidRPr="001265B9" w:rsidRDefault="002D1B8A" w:rsidP="00DE34B6">
            <w:pPr>
              <w:pStyle w:val="1StrCN"/>
              <w:rPr>
                <w:b w:val="0"/>
              </w:rPr>
            </w:pPr>
            <w:r w:rsidRPr="002D1B8A">
              <w:t>ISO/TS 21219-9</w:t>
            </w:r>
            <w:r w:rsidR="00B90A20">
              <w:br/>
            </w:r>
            <w:r w:rsidR="00B90A20" w:rsidRPr="001265B9">
              <w:t xml:space="preserve"> </w:t>
            </w:r>
          </w:p>
          <w:p w:rsidR="00B90A20" w:rsidRPr="00373277" w:rsidRDefault="002D1B8A" w:rsidP="00DE34B6">
            <w:pPr>
              <w:pStyle w:val="1StrTrZn"/>
            </w:pPr>
            <w:r w:rsidRPr="002D1B8A">
              <w:t>01 8259</w:t>
            </w:r>
          </w:p>
        </w:tc>
      </w:tr>
    </w:tbl>
    <w:p w:rsidR="002D1B8A" w:rsidRDefault="00B90A20" w:rsidP="002D1B8A">
      <w:pPr>
        <w:keepNext/>
        <w:keepLines/>
        <w:tabs>
          <w:tab w:val="right" w:pos="9923"/>
        </w:tabs>
        <w:spacing w:before="240" w:after="360"/>
        <w:jc w:val="right"/>
        <w:rPr>
          <w:sz w:val="28"/>
          <w:szCs w:val="28"/>
        </w:rPr>
      </w:pPr>
      <w:r>
        <w:tab/>
      </w:r>
      <w:r w:rsidR="002D1B8A">
        <w:rPr>
          <w:sz w:val="28"/>
          <w:szCs w:val="28"/>
        </w:rPr>
        <w:t>Vydána 201</w:t>
      </w:r>
      <w:r w:rsidR="00F13173">
        <w:rPr>
          <w:sz w:val="28"/>
          <w:szCs w:val="28"/>
        </w:rPr>
        <w:t>6</w:t>
      </w:r>
      <w:r w:rsidR="002D1B8A">
        <w:rPr>
          <w:sz w:val="28"/>
          <w:szCs w:val="28"/>
        </w:rPr>
        <w:t xml:space="preserve">, </w:t>
      </w:r>
      <w:r w:rsidR="00FD4FFA">
        <w:rPr>
          <w:sz w:val="28"/>
          <w:szCs w:val="28"/>
        </w:rPr>
        <w:t>62</w:t>
      </w:r>
      <w:r w:rsidR="002D1B8A">
        <w:rPr>
          <w:sz w:val="28"/>
          <w:szCs w:val="28"/>
        </w:rPr>
        <w:t xml:space="preserve"> stran</w:t>
      </w:r>
    </w:p>
    <w:p w:rsidR="002D1B8A" w:rsidRDefault="002D1B8A" w:rsidP="002D1B8A">
      <w:pPr>
        <w:pStyle w:val="Nadpis1"/>
      </w:pPr>
      <w:bookmarkStart w:id="0" w:name="_GoBack"/>
      <w:bookmarkEnd w:id="0"/>
    </w:p>
    <w:p w:rsidR="002D1B8A" w:rsidRDefault="002D1B8A" w:rsidP="002D1B8A">
      <w:pPr>
        <w:pStyle w:val="Nadpis1"/>
      </w:pPr>
      <w:proofErr w:type="spellStart"/>
      <w:r>
        <w:t>Úvod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2D1B8A" w:rsidRDefault="002D1B8A" w:rsidP="002D1B8A">
      <w:pPr>
        <w:spacing w:after="120"/>
        <w:jc w:val="both"/>
      </w:pPr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2D1B8A" w:rsidRDefault="002D1B8A" w:rsidP="002D1B8A">
      <w:pPr>
        <w:spacing w:after="120"/>
        <w:jc w:val="both"/>
      </w:pPr>
      <w:r>
        <w:t xml:space="preserve">Více informací o kontextu TPEG je obsaženo v úvodu extraktu k části 1 normy TPEG (21219-1).</w:t>
      </w:r>
    </w:p>
    <w:p w:rsidR="002D1B8A" w:rsidRDefault="002D1B8A" w:rsidP="002D1B8A">
      <w:pPr>
        <w:spacing w:after="120"/>
        <w:jc w:val="both"/>
      </w:pPr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2D1B8A" w:rsidRDefault="002D1B8A" w:rsidP="002D1B8A">
      <w:pPr>
        <w:spacing w:after="120"/>
        <w:jc w:val="both"/>
      </w:pPr>
      <w:r>
        <w:t xml:space="preserve">Tento extrakt (dále jen “popisovaný dokument”) popisuje část 9 normy TPEG, která stanovuje způsob indikace služeb dostupných ve vysílaném obsahu. Část těchto informací je určena pro prezentaci uživateli a část pro dekodér.</w:t>
      </w:r>
    </w:p>
    <w:p w:rsidR="002D1B8A" w:rsidRDefault="002D1B8A" w:rsidP="002D1B8A">
      <w:pPr>
        <w:spacing w:before="80" w:after="200"/>
        <w:jc w:val="both"/>
        <w:rPr>
          <w:sz w:val="18"/>
          <w:szCs w:val="18"/>
        </w:rPr>
      </w:pPr>
      <w:r>
        <w:rPr>
          <w:sz w:val="18"/>
          <w:szCs w:val="18"/>
          <w:i/>
        </w:rPr>
        <w:t xml:space="preserve">Poznámka: Extrakt uvádí vybrané kapitoly popisovaného dokumentu a přejímá původní číslování kapitol.</w:t>
      </w:r>
    </w:p>
    <w:p w:rsidR="002D1B8A" w:rsidRDefault="002D1B8A" w:rsidP="002D1B8A">
      <w:pPr>
        <w:pStyle w:val="Nadpis1"/>
      </w:pPr>
      <w:proofErr w:type="spellStart"/>
      <w:r>
        <w:t>Užití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uvádí strukturu a obsah informací o službě TPEG a síti pro vysílání v DAB (binární fo</w:t>
      </w:r>
      <w:r>
        <w:t>r</w:t>
      </w:r>
      <w:r>
        <w:t>ma) a pro šíření zpráv Internetem (XML). Všechny služby TPEG musí tuto povinnou komponentu rámce služby používat. Bez použití informací o službách a síti (SNI) by dekodér neměl informace o komponentách přijatého datového rámce a uživateli by nemohl být prezentován popis služby. Dále SNI umožňuje popisování přesahů a propojení stejných či podobných služeb na stejném či rozdílném médiu. Proto je popisovaná specifikace n</w:t>
      </w:r>
      <w:r>
        <w:t>e</w:t>
      </w:r>
      <w:r>
        <w:t xml:space="preserve">zbytná pro </w:t>
      </w:r>
      <w:r w:rsidRPr="00833B2C">
        <w:rPr>
          <w:b/>
        </w:rPr>
        <w:t>poskytovatele i příjemce dopravních informací</w:t>
      </w:r>
      <w:r>
        <w:t xml:space="preserve">, jejich programátory, kteří pracují se samotným formátem XML či programují datové proudy pro DAB. Popis SNI v popisovaném dokumentu je konkrétní a je určen k její implementaci. </w:t>
      </w:r>
    </w:p>
    <w:p w:rsidR="002D1B8A" w:rsidRDefault="002D1B8A" w:rsidP="002D1B8A">
      <w:pPr>
        <w:pStyle w:val="Nadpis1"/>
      </w:pPr>
      <w:proofErr w:type="spellStart"/>
      <w:r>
        <w:t>Souvisící</w:t>
      </w:r>
      <w:proofErr w:type="spellEnd"/>
      <w:r>
        <w:t xml:space="preserve"> </w:t>
      </w:r>
      <w:proofErr w:type="spellStart"/>
      <w:r>
        <w:t>normy</w:t>
      </w:r>
      <w:proofErr w:type="spellEnd"/>
      <w:r>
        <w:t xml:space="preserve"> (</w:t>
      </w:r>
      <w:proofErr w:type="spellStart"/>
      <w:r>
        <w:t>výběr</w:t>
      </w:r>
      <w:proofErr w:type="spellEnd"/>
      <w:r>
        <w:t>)</w:t>
      </w:r>
    </w:p>
    <w:p w:rsidR="002D1B8A" w:rsidRDefault="002D1B8A" w:rsidP="002D1B8A">
      <w:pPr>
        <w:spacing w:after="120"/>
        <w:jc w:val="both"/>
      </w:pPr>
      <w:r>
        <w:t xml:space="preserve">Tento dokument uvádí 15 normativních odkazů, 8 na normu TPEG2 ISO 21219 části 1-6 a 9, dále normy ETSI stanovující rámec DAB, RDS, DVB, SWIFT a normu NRSC k HD Radiu</w:t>
      </w:r>
    </w:p>
    <w:p w:rsidR="002D1B8A" w:rsidRDefault="002D1B8A" w:rsidP="002D1B8A">
      <w:pPr>
        <w:pStyle w:val="Nadpis1"/>
      </w:pPr>
      <w:r>
        <w:t>1 </w:t>
      </w:r>
      <w:proofErr w:type="spellStart"/>
      <w:r>
        <w:t>Předmět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TPEG2-SNI zavádí způsob poskytování informací o službách a síti v rámci služby TPEG. Aplikace TPEG-SNI je navržena tak, aby umožnila efektivní a jazykově nezávislé poskytování informací o d</w:t>
      </w:r>
      <w:r>
        <w:t>o</w:t>
      </w:r>
      <w:r>
        <w:t xml:space="preserve">stupnosti stejné služby na jiném kanálu nebo podobných datech od jiného poskytovatele služeb. </w:t>
      </w:r>
    </w:p>
    <w:p w:rsidR="002D1B8A" w:rsidRDefault="002D1B8A" w:rsidP="002D1B8A">
      <w:pPr>
        <w:spacing w:after="120"/>
        <w:jc w:val="both"/>
      </w:pPr>
      <w:r>
        <w:t>Dokument popisuje řadu tabulek s informacemi, které poskytují komplexní možnosti popisu služeb, jejich čas</w:t>
      </w:r>
      <w:r>
        <w:t>o</w:t>
      </w:r>
      <w:r>
        <w:t>vání, obsah, zeměpisné pokrytí apod. Ve všech datových tocích TPEG je povinné uvádět tzv. GST (průvodní tabulky služby). Dále je možné oznamovat propojení obsahu mezi různými nosiči a službami.</w:t>
      </w:r>
    </w:p>
    <w:p w:rsidR="002D1B8A" w:rsidRDefault="002D1B8A" w:rsidP="002D1B8A">
      <w:pPr>
        <w:pStyle w:val="Nadpis1"/>
      </w:pPr>
      <w:r>
        <w:t>3 </w:t>
      </w:r>
      <w:proofErr w:type="spellStart"/>
      <w:r>
        <w:t>Termíny</w:t>
      </w:r>
      <w:proofErr w:type="spellEnd"/>
      <w:r>
        <w:t xml:space="preserve">, </w:t>
      </w:r>
      <w:proofErr w:type="spellStart"/>
      <w:r>
        <w:t>definice</w:t>
      </w:r>
      <w:proofErr w:type="spellEnd"/>
      <w:r>
        <w:t xml:space="preserve"> a 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definuje 21 termínů. Většina se věnuje definici určitého typu tabulek s informacemi o službě či identifikaci té které služby či její komponenty. Klíčovými jsou tyto termíny:</w:t>
      </w:r>
    </w:p>
    <w:p w:rsidR="002D1B8A" w:rsidRDefault="002D1B8A" w:rsidP="002D1B8A">
      <w:pPr>
        <w:spacing w:after="120"/>
        <w:jc w:val="both"/>
      </w:pPr>
      <w:bookmarkStart w:id="1" w:name="_gjdgxs" w:colFirst="0" w:colLast="0"/>
      <w:bookmarkEnd w:id="1"/>
      <w:r>
        <w:rPr>
          <w:b/>
        </w:rPr>
        <w:t>průvodní tabulky služby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  <w:r>
        <w:t xml:space="preserve"> – tabulky obsahující základní informace o službě jako například struktura služby, její načasování či popis obsahu</w:t>
      </w:r>
    </w:p>
    <w:p w:rsidR="002D1B8A" w:rsidRDefault="002D1B8A" w:rsidP="002D1B8A">
      <w:pPr>
        <w:spacing w:after="120"/>
        <w:jc w:val="both"/>
      </w:pPr>
      <w:bookmarkStart w:id="2" w:name="_30j0zll" w:colFirst="0" w:colLast="0"/>
      <w:bookmarkEnd w:id="2"/>
      <w:r>
        <w:rPr>
          <w:b/>
        </w:rPr>
        <w:t>služba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>)</w:t>
      </w:r>
      <w:r>
        <w:t xml:space="preserve"> – sbírka různých informačních toků (aplikací) logicky spojených a dodaných poskytovatelem služeb koncovému uživateli </w:t>
      </w:r>
    </w:p>
    <w:p w:rsidR="002D1B8A" w:rsidRDefault="002D1B8A" w:rsidP="002D1B8A">
      <w:pPr>
        <w:spacing w:after="120"/>
        <w:jc w:val="both"/>
      </w:pPr>
      <w:r>
        <w:rPr>
          <w:b/>
        </w:rPr>
        <w:t>aplikace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>)</w:t>
      </w:r>
      <w:r>
        <w:t xml:space="preserve"> – tok informací, který sám o sobě přináší výhodu (tj. může být "aplikován") koncovým uživatelem</w:t>
      </w:r>
    </w:p>
    <w:p w:rsidR="002D1B8A" w:rsidRDefault="002D1B8A" w:rsidP="002D1B8A">
      <w:pPr>
        <w:pStyle w:val="Nadpis1"/>
      </w:pPr>
      <w:r>
        <w:t>4 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stanoví 35 zkratek. V kapitole jsou uvedeny pouze některé zkratky částí specifikace TPEG. Tyto zkratky uvádíme v úvodu tohoto extraktu, proto je zde dále neuvádíme.</w:t>
      </w:r>
    </w:p>
    <w:p w:rsidR="002D1B8A" w:rsidRDefault="002D1B8A" w:rsidP="002D1B8A">
      <w:pPr>
        <w:spacing w:after="120"/>
        <w:jc w:val="both"/>
      </w:pPr>
      <w:r>
        <w:rPr>
          <w:b/>
        </w:rPr>
        <w:t>TPEG</w:t>
      </w:r>
      <w:r>
        <w:tab/>
        <w:t xml:space="preserve">dopravní protokol expertní skupiny </w:t>
      </w:r>
      <w:r>
        <w:rPr>
          <w:i/>
        </w:rPr>
        <w:t xml:space="preserve">(transport </w:t>
      </w:r>
      <w:proofErr w:type="spellStart"/>
      <w:r>
        <w:rPr>
          <w:i/>
        </w:rPr>
        <w:t>protocol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experts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group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GST</w:t>
      </w:r>
      <w:r>
        <w:rPr>
          <w:b/>
        </w:rPr>
        <w:tab/>
      </w:r>
      <w:r>
        <w:t>průvodní</w:t>
      </w:r>
      <w:r>
        <w:rPr>
          <w:b/>
        </w:rPr>
        <w:t xml:space="preserve"> </w:t>
      </w:r>
      <w:r>
        <w:t>tabulky</w:t>
      </w:r>
      <w:r>
        <w:rPr>
          <w:b/>
        </w:rPr>
        <w:t xml:space="preserve"> </w:t>
      </w:r>
      <w:r>
        <w:t xml:space="preserve">služby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SIT</w:t>
      </w:r>
      <w:r>
        <w:rPr>
          <w:b/>
        </w:rPr>
        <w:tab/>
      </w:r>
      <w:r>
        <w:t xml:space="preserve">tabulka informací o službě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rPr>
          <w:i/>
        </w:rPr>
        <w:t xml:space="preserve"> table)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SCID</w:t>
      </w:r>
      <w:r>
        <w:rPr>
          <w:b/>
        </w:rPr>
        <w:tab/>
      </w:r>
      <w:r>
        <w:t xml:space="preserve">identifikace komponenty služby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component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SNI</w:t>
      </w:r>
      <w:r>
        <w:rPr>
          <w:b/>
        </w:rPr>
        <w:tab/>
      </w:r>
      <w:r>
        <w:t xml:space="preserve">Informace o službách a síti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and network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COID</w:t>
      </w:r>
      <w:r>
        <w:rPr>
          <w:b/>
        </w:rPr>
        <w:tab/>
      </w:r>
      <w:r>
        <w:t>identifikace obsahu</w:t>
      </w:r>
      <w:r>
        <w:rPr>
          <w:i/>
        </w:rPr>
        <w:t xml:space="preserve"> (</w:t>
      </w:r>
      <w:proofErr w:type="spellStart"/>
      <w:r>
        <w:rPr>
          <w:i/>
        </w:rPr>
        <w:t>content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AID</w:t>
      </w:r>
      <w:r>
        <w:rPr>
          <w:b/>
        </w:rPr>
        <w:tab/>
      </w:r>
      <w:r>
        <w:t>identifikace aplikace</w:t>
      </w:r>
      <w:r>
        <w:rPr>
          <w:b/>
        </w:rPr>
        <w:t xml:space="preserve"> </w:t>
      </w:r>
      <w: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</w:pPr>
      <w:r>
        <w:t>Další termíny a zkratky z oboru ITS jsou obsaženy ve slovníku ITS terminology (</w:t>
      </w:r>
      <w:hyperlink r:id="rId9">
        <w:r>
          <w:rPr>
            <w:color w:val="0000FF"/>
            <w:u w:val="single"/>
          </w:rPr>
          <w:t>www.itsterminology.org</w:t>
        </w:r>
      </w:hyperlink>
      <w:r>
        <w:t>).</w:t>
      </w:r>
    </w:p>
    <w:p w:rsidR="002D1B8A" w:rsidRDefault="002D1B8A" w:rsidP="002D1B8A">
      <w:pPr>
        <w:pStyle w:val="Nadpis1"/>
      </w:pPr>
      <w:r>
        <w:t>5 </w:t>
      </w:r>
      <w:proofErr w:type="spellStart"/>
      <w:r>
        <w:t>Podmínky</w:t>
      </w:r>
      <w:proofErr w:type="spellEnd"/>
      <w:r>
        <w:t xml:space="preserve"> a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aplikace</w:t>
      </w:r>
      <w:proofErr w:type="spellEnd"/>
    </w:p>
    <w:p w:rsidR="002D1B8A" w:rsidRDefault="002D1B8A" w:rsidP="002D1B8A">
      <w:pPr>
        <w:spacing w:after="120"/>
        <w:jc w:val="both"/>
      </w:pPr>
      <w:r>
        <w:t>Tato kapitola (rozsah 1 strana, 5 článků) nejprve vymezuje použití identifikátoru aplikace (AID) v rámci informací o službě, kdy každá „aplikace“ TPEG má svůj identifikátor stanovený v části TPEG-INV. AID je v TPEG2-SNI použit k indikaci jakým způsobem má dekodér pracovat s předávaným obsahem.</w:t>
      </w:r>
    </w:p>
    <w:p w:rsidR="002D1B8A" w:rsidRDefault="002D1B8A" w:rsidP="002D1B8A">
      <w:pPr>
        <w:spacing w:after="120"/>
        <w:jc w:val="both"/>
      </w:pPr>
      <w:r>
        <w:lastRenderedPageBreak/>
        <w:t>Dále se kapitola věnuje signalizaci verze aplikace. Verze je klíčová z pohledu dekodéru, jednotlivé verze stejné aplikace se totiž mohou od sebe lišit strukturou, obsahem, atp. Princip přidělování verzí je stanoven v popisovaném dokumentu.</w:t>
      </w:r>
    </w:p>
    <w:p w:rsidR="002D1B8A" w:rsidRDefault="002D1B8A" w:rsidP="002D1B8A">
      <w:pPr>
        <w:spacing w:after="120"/>
        <w:jc w:val="both"/>
      </w:pPr>
      <w:r>
        <w:t>Za zmínku stojí článek 5.3, který uvádí, že díky zachování binární kompatibility (v DAB) mezi formáty TPEG1 a TPEG2 nebylo možné plně automatizovaně použít pravidel pro konverzi mezi modelem a binární reprezentací. Odchylky od postupu stanoveného v TPEG2-UBCR jsou popsány v Příloze A.</w:t>
      </w:r>
    </w:p>
    <w:p w:rsidR="002D1B8A" w:rsidRDefault="002D1B8A" w:rsidP="002D1B8A">
      <w:pPr>
        <w:spacing w:after="120"/>
        <w:jc w:val="both"/>
      </w:pPr>
      <w:r>
        <w:t>SNI používá rámec komponent služby TPEG. V posledním článku je uveden konceptuální model multiplexu aplikací a služeb.</w:t>
      </w:r>
    </w:p>
    <w:p w:rsidR="002D1B8A" w:rsidRDefault="002D1B8A" w:rsidP="002D1B8A">
      <w:pPr>
        <w:pStyle w:val="Nadpis1"/>
      </w:pPr>
      <w:r>
        <w:t>6 </w:t>
      </w:r>
      <w:proofErr w:type="spellStart"/>
      <w:r>
        <w:t>Zásady</w:t>
      </w:r>
      <w:proofErr w:type="spellEnd"/>
      <w:r>
        <w:t xml:space="preserve"> </w:t>
      </w:r>
      <w:proofErr w:type="spellStart"/>
      <w:r>
        <w:t>návrhu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</w:t>
      </w:r>
      <w:r w:rsidR="00EB2801">
        <w:t xml:space="preserve">obsahuje čtyři články </w:t>
      </w:r>
      <w:r>
        <w:t xml:space="preserve">(rozsah 4 stran) </w:t>
      </w:r>
      <w:r w:rsidR="00EB2801">
        <w:t xml:space="preserve">a </w:t>
      </w:r>
      <w:r>
        <w:t xml:space="preserve">uvádí základní zásady návrhu služby (principy) a sadu pravidel. </w:t>
      </w:r>
    </w:p>
    <w:p w:rsidR="002D1B8A" w:rsidRDefault="002D1B8A" w:rsidP="002D1B8A">
      <w:pPr>
        <w:spacing w:after="120"/>
        <w:jc w:val="both"/>
      </w:pPr>
      <w:r>
        <w:t xml:space="preserve">První zásada stanovuje tzv. „proměnné odkazování na obsah“, tedy způsob jak (prostřednictvím </w:t>
      </w:r>
      <w:r>
        <w:rPr>
          <w:b/>
        </w:rPr>
        <w:t>SCID</w:t>
      </w:r>
      <w:r>
        <w:t>) identif</w:t>
      </w:r>
      <w:r>
        <w:t>i</w:t>
      </w:r>
      <w:r>
        <w:t>kovat obsah sdílený mezi více službami, kdy tyto služby mohou být národní, regionální, lokální či kombinace lokálních a regionálních atp. (viz obrázek 1).</w:t>
      </w:r>
    </w:p>
    <w:p w:rsidR="002D1B8A" w:rsidRDefault="002D1B8A" w:rsidP="002D1B8A">
      <w:pPr>
        <w:keepNext/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21635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35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1 – Jak použít identifikaci obsahu (SCID) sdíleného mezi službami (výřez obr. 2 dokumentu) </w:t>
      </w:r>
    </w:p>
    <w:p w:rsidR="00EB2801" w:rsidRDefault="00EB2801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Další zásada ukazuje použití aplikace SNI v proudu TPEG dat v jednom datovém rámci, kdy právě SNI přiřazuje jednotlivým komponentům rámce jejich význam (viz obrázek 2). </w:t>
      </w:r>
    </w:p>
    <w:p w:rsidR="002D1B8A" w:rsidRDefault="002D1B8A" w:rsidP="002D1B8A">
      <w:pPr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17530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304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2 – Identifikace komponent služby v datovém rámci TPEG (výřez obr. 3 dokumentu) </w:t>
      </w:r>
    </w:p>
    <w:p w:rsidR="002D1B8A" w:rsidRDefault="002D1B8A" w:rsidP="002D1B8A">
      <w:pPr>
        <w:spacing w:after="120"/>
        <w:jc w:val="both"/>
      </w:pPr>
      <w:r>
        <w:t>Následující zásada ukazuje na dvou příkladech přidělování identifikačních čísel službám TPEG ve vazbě na identifikátor obsahu COID, aplikace AID a komponenty služby SCID.</w:t>
      </w:r>
    </w:p>
    <w:p w:rsidR="002D1B8A" w:rsidRDefault="002D1B8A" w:rsidP="002D1B8A">
      <w:pPr>
        <w:spacing w:after="120"/>
        <w:jc w:val="both"/>
      </w:pPr>
      <w:r>
        <w:t>Poslední článek kapitoly stanovuje obecná pravidla aplikace TPEG2-SNI pro přidělování služeb jejich poskyt</w:t>
      </w:r>
      <w:r>
        <w:t>o</w:t>
      </w:r>
      <w:r>
        <w:t>vatelem v rámci jednoho přenosového média. Například: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každá služba musí povinně použít SNI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SNI se ve službě smí vyskytnout pouze jednou a má rezervovaný identifikátor SCID=00</w:t>
      </w:r>
    </w:p>
    <w:p w:rsidR="002D1B8A" w:rsidRDefault="002D1B8A" w:rsidP="002D1B8A">
      <w:pPr>
        <w:pStyle w:val="Nadpis1"/>
      </w:pPr>
      <w:r>
        <w:lastRenderedPageBreak/>
        <w:t>7 </w:t>
      </w:r>
      <w:proofErr w:type="spellStart"/>
      <w:r>
        <w:t>Struktura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kapitola (rozsah 1 obrázek) uvádí strukturu SNI. Jsou ukázány pouze obecné části, GST a SIT jsou na této úrovni ukázány jen jako „prázdné“ obálky.</w:t>
      </w:r>
    </w:p>
    <w:p w:rsidR="002D1B8A" w:rsidRDefault="002D1B8A" w:rsidP="002D1B8A">
      <w:pPr>
        <w:pStyle w:val="Nadpis1"/>
      </w:pPr>
      <w:r>
        <w:t>8 </w:t>
      </w:r>
      <w:proofErr w:type="spellStart"/>
      <w:r>
        <w:t>Komponenty</w:t>
      </w:r>
      <w:proofErr w:type="spellEnd"/>
      <w:r>
        <w:t xml:space="preserve"> SNI </w:t>
      </w:r>
      <w:proofErr w:type="spellStart"/>
      <w:r>
        <w:t>zprávy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(rozsah 10 stran) podrobně popisuje komponenty zprávy SNI. </w:t>
      </w:r>
    </w:p>
    <w:p w:rsidR="002D1B8A" w:rsidRDefault="002D1B8A" w:rsidP="002D1B8A">
      <w:pPr>
        <w:spacing w:after="120"/>
        <w:jc w:val="both"/>
      </w:pPr>
      <w:r>
        <w:t>V článku 8.1 Šablona SNI se uvádí, že SNI poskytuje 3 skupiny komponent, které umožňují dekódovat službu TPEG; jsou to: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službě – obecný popis služby, např. logo a abstrakt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komponentách – tabulka GST obsahující základní popis služby a dynamický popis (tabulka SIT) obsahující například počet aktuálních zpráv. Frekvence vysílání těchto tabulek může být upravena podle možností média a požadavků služby.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propojení – propojení služeb nezávisle na médiu</w:t>
      </w:r>
    </w:p>
    <w:p w:rsidR="002D1B8A" w:rsidRDefault="002D1B8A" w:rsidP="002D1B8A">
      <w:pPr>
        <w:spacing w:after="120"/>
        <w:jc w:val="both"/>
      </w:pPr>
      <w:r>
        <w:t>Dále jsou v článku 8.1 stanovena pravidla na číslování verzí tabulek poskytovaných v rámci SNI.</w:t>
      </w:r>
    </w:p>
    <w:p w:rsidR="002D1B8A" w:rsidRDefault="002D1B8A" w:rsidP="002D1B8A">
      <w:pPr>
        <w:spacing w:after="120"/>
        <w:jc w:val="both"/>
      </w:pPr>
      <w:r>
        <w:t>Články 8.2 až 8.6 stanovují atributy (rozsahy, typy, příklady) obecných tříd (viz následující obrázek) vyskytuj</w:t>
      </w:r>
      <w:r>
        <w:t>í</w:t>
      </w:r>
      <w:r>
        <w:t>cích se v SNI, tak jak byly tyto třídy ukázány na obrázku v kapitole 7.</w:t>
      </w:r>
    </w:p>
    <w:p w:rsidR="002D1B8A" w:rsidRDefault="002D1B8A" w:rsidP="00EB2801">
      <w:pPr>
        <w:pStyle w:val="Obrzek"/>
      </w:pPr>
      <w:r>
        <w:rPr>
          <w:noProof/>
          <w:lang w:val="en-US" w:eastAsia="en-US"/>
        </w:rPr>
        <w:drawing>
          <wp:inline distT="0" distB="0" distL="0" distR="0" wp14:anchorId="1B445F13" wp14:editId="29002C01">
            <wp:extent cx="5975350" cy="2328545"/>
            <wp:effectExtent l="0" t="0" r="6350" b="0"/>
            <wp:docPr id="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3 – </w:t>
      </w:r>
      <w:r>
        <w:t xml:space="preserve">Obecné třídy SNI stanovené v kapitole 8 dokumentu (výřez obr. 6 dokumentu)</w:t>
      </w:r>
    </w:p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Článek 8.7 stanovuje strukturu a obsah tabulek GST, jejich struktura se skládá ze 7 částí. </w:t>
      </w:r>
    </w:p>
    <w:p w:rsidR="002D1B8A" w:rsidRDefault="002D1B8A" w:rsidP="002D1B8A">
      <w:pPr>
        <w:spacing w:after="120"/>
        <w:jc w:val="both"/>
      </w:pPr>
      <w:r>
        <w:t xml:space="preserve">Články 8.8 – 8.15 tyto části </w:t>
      </w:r>
      <w:r>
        <w:rPr>
          <w:b/>
        </w:rPr>
        <w:t>obecně</w:t>
      </w:r>
      <w:r>
        <w:t xml:space="preserve"> popisují (uvádějí pouze řádek textu a číslo tabulky s odkazem na externě definovanou pod-tabulku) následující tabulky: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rPr>
          <w:rFonts w:ascii="Courier New" w:eastAsia="Courier New" w:hAnsi="Courier New" w:cs="Courier New"/>
        </w:rPr>
        <w:t>GST1_FastTuningTable</w:t>
      </w:r>
      <w:r>
        <w:t xml:space="preserve"> – povinná tabulka, ve které musí být uvedeny všechny komponenty služby. Tabulka je uvedena verzí a kódováním a následně obsahuje řádky propojující SCID s COID a AID.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t xml:space="preserve">Další tabulky: </w:t>
      </w:r>
      <w:r>
        <w:rPr>
          <w:rFonts w:ascii="Courier New" w:eastAsia="Courier New" w:hAnsi="Courier New" w:cs="Courier New"/>
        </w:rPr>
        <w:t>GST2_TimeScheduleTable</w:t>
      </w:r>
      <w:r>
        <w:t xml:space="preserve">, </w:t>
      </w:r>
      <w:r>
        <w:rPr>
          <w:rFonts w:ascii="Courier New" w:eastAsia="Courier New" w:hAnsi="Courier New" w:cs="Courier New"/>
        </w:rPr>
        <w:t>GST3_ContentDescription (viz tabulka 1)</w:t>
      </w:r>
      <w:r>
        <w:t xml:space="preserve">, </w:t>
      </w:r>
      <w:r>
        <w:rPr>
          <w:rFonts w:ascii="Courier New" w:eastAsia="Courier New" w:hAnsi="Courier New" w:cs="Courier New"/>
        </w:rPr>
        <w:t>GST4_GeographicalCoverage</w:t>
      </w:r>
      <w:r>
        <w:t xml:space="preserve">, </w:t>
      </w:r>
      <w:r>
        <w:rPr>
          <w:rFonts w:ascii="Courier New" w:eastAsia="Courier New" w:hAnsi="Courier New" w:cs="Courier New"/>
        </w:rPr>
        <w:t>GST5_ServiceComponentReset</w:t>
      </w:r>
      <w:r>
        <w:t xml:space="preserve">, </w:t>
      </w:r>
      <w:r>
        <w:rPr>
          <w:rFonts w:ascii="Courier New" w:eastAsia="Courier New" w:hAnsi="Courier New" w:cs="Courier New"/>
        </w:rPr>
        <w:t>GST6_ConditionalAccessInformationReference</w:t>
      </w:r>
      <w:r>
        <w:t xml:space="preserve"> a </w:t>
      </w:r>
      <w:r>
        <w:rPr>
          <w:rFonts w:ascii="Courier New" w:eastAsia="Courier New" w:hAnsi="Courier New" w:cs="Courier New"/>
        </w:rPr>
        <w:t>GST7_Versioning</w:t>
      </w:r>
      <w:r>
        <w:t>.</w:t>
      </w:r>
    </w:p>
    <w:p w:rsidR="002D1B8A" w:rsidRDefault="002D1B8A" w:rsidP="002D1B8A">
      <w:pPr>
        <w:keepNext/>
        <w:spacing w:before="120" w:after="120"/>
        <w:rPr>
          <w:b/>
        </w:rPr>
      </w:pP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1 - Definice tabulky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10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tableVersion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Incremented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changed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tableEntry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GST3_Entry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1..255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Lines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table GST3.</w:t>
            </w:r>
          </w:p>
        </w:tc>
      </w:tr>
    </w:tbl>
    <w:p w:rsidR="002D1B8A" w:rsidRDefault="002D1B8A" w:rsidP="002D1B8A"/>
    <w:p w:rsidR="002D1B8A" w:rsidRDefault="002D1B8A" w:rsidP="002D1B8A">
      <w:pPr>
        <w:spacing w:after="120"/>
        <w:jc w:val="both"/>
      </w:pPr>
      <w:r>
        <w:t xml:space="preserve">Článek 8.15 stanovuje volitelnou komponentu </w:t>
      </w:r>
      <w:proofErr w:type="spellStart"/>
      <w:r>
        <w:rPr>
          <w:rFonts w:ascii="Courier New" w:eastAsia="Courier New" w:hAnsi="Courier New" w:cs="Courier New"/>
        </w:rPr>
        <w:t>GST_ServiceTableAccelerator</w:t>
      </w:r>
      <w:proofErr w:type="spellEnd"/>
      <w:r>
        <w:t>, která se opakuje ve vysíl</w:t>
      </w:r>
      <w:r>
        <w:t>a</w:t>
      </w:r>
      <w:r>
        <w:t>ném proudu častěji než GST a umožňuje „rychleji“ předat číslo verze tabulek GST = tedy to jediné, co tato ko</w:t>
      </w:r>
      <w:r>
        <w:t>m</w:t>
      </w:r>
      <w:r>
        <w:t>ponenta obsahuje.</w:t>
      </w:r>
    </w:p>
    <w:p w:rsidR="002D1B8A" w:rsidRDefault="002D1B8A" w:rsidP="002D1B8A">
      <w:pPr>
        <w:spacing w:after="120"/>
        <w:jc w:val="both"/>
      </w:pPr>
      <w:bookmarkStart w:id="3" w:name="_1fob9te" w:colFirst="0" w:colLast="0"/>
      <w:bookmarkEnd w:id="3"/>
      <w:r>
        <w:lastRenderedPageBreak/>
        <w:t xml:space="preserve">Článek 8.16 stanovuje volitelnou komponentu </w:t>
      </w:r>
      <w:proofErr w:type="spellStart"/>
      <w:r>
        <w:rPr>
          <w:rFonts w:ascii="Courier New" w:eastAsia="Courier New" w:hAnsi="Courier New" w:cs="Courier New"/>
        </w:rPr>
        <w:t>LinkageToSameService</w:t>
      </w:r>
      <w:proofErr w:type="spellEnd"/>
      <w:r>
        <w:t xml:space="preserve">, SNI „propojení“ pomáhá přijímači najít komponenty stejné služby na stejném médiu ve stejné síti nebo na jiných nosičích v jiných sítích. </w:t>
      </w:r>
    </w:p>
    <w:p w:rsidR="002D1B8A" w:rsidRDefault="002D1B8A" w:rsidP="002D1B8A">
      <w:pPr>
        <w:spacing w:after="120"/>
        <w:jc w:val="both"/>
      </w:pPr>
      <w:r>
        <w:t xml:space="preserve">Článek 8.17 stanovuje význam slovního spojení „stejná služba“ použitého v předchozím článku. Uvádí, že </w:t>
      </w:r>
      <w:proofErr w:type="spellStart"/>
      <w:r>
        <w:rPr>
          <w:rFonts w:ascii="Courier New" w:eastAsia="Courier New" w:hAnsi="Courier New" w:cs="Courier New"/>
        </w:rPr>
        <w:t>Li</w:t>
      </w:r>
      <w:r>
        <w:rPr>
          <w:rFonts w:ascii="Courier New" w:eastAsia="Courier New" w:hAnsi="Courier New" w:cs="Courier New"/>
        </w:rPr>
        <w:t>n</w:t>
      </w:r>
      <w:r>
        <w:rPr>
          <w:rFonts w:ascii="Courier New" w:eastAsia="Courier New" w:hAnsi="Courier New" w:cs="Courier New"/>
        </w:rPr>
        <w:t>kageToSameService</w:t>
      </w:r>
      <w:proofErr w:type="spellEnd"/>
      <w:r>
        <w:t xml:space="preserve"> se použije díky konceptu „dělitelnosti“ služby do malých, úzce tematicky a geograficky specializovaných částí (komponent) služby.</w:t>
      </w:r>
    </w:p>
    <w:p w:rsidR="002D1B8A" w:rsidRDefault="002D1B8A" w:rsidP="002D1B8A">
      <w:pPr>
        <w:spacing w:after="120"/>
        <w:jc w:val="both"/>
      </w:pPr>
      <w:bookmarkStart w:id="4" w:name="_3znysh7" w:colFirst="0" w:colLast="0"/>
      <w:bookmarkEnd w:id="4"/>
      <w:r>
        <w:t xml:space="preserve">Článek 8.18 stanovuje volitelnou komponentu </w:t>
      </w:r>
      <w:proofErr w:type="spellStart"/>
      <w:r>
        <w:rPr>
          <w:rFonts w:ascii="Courier New" w:eastAsia="Courier New" w:hAnsi="Courier New" w:cs="Courier New"/>
        </w:rPr>
        <w:t>LinkageToRelatedService</w:t>
      </w:r>
      <w:proofErr w:type="spellEnd"/>
      <w:r>
        <w:t>, SNI „propojení“ pomáhá přijímači najít komponenty návazné služby na stejném médiu ve stejné síti nebo na jiných nosičích v jiných sítích.</w:t>
      </w:r>
    </w:p>
    <w:p w:rsidR="002D1B8A" w:rsidRDefault="002D1B8A" w:rsidP="002D1B8A">
      <w:pPr>
        <w:spacing w:after="120"/>
        <w:jc w:val="both"/>
      </w:pPr>
      <w:bookmarkStart w:id="5" w:name="_2et92p0" w:colFirst="0" w:colLast="0"/>
      <w:bookmarkEnd w:id="5"/>
      <w:r>
        <w:t>Články 8.20 – 8.24 popisují informace o typu média a propojení služeb pro DAB (</w:t>
      </w:r>
      <w:proofErr w:type="spellStart"/>
      <w:r>
        <w:rPr>
          <w:rFonts w:ascii="Courier New" w:eastAsia="Courier New" w:hAnsi="Courier New" w:cs="Courier New"/>
        </w:rPr>
        <w:t>BearerLinkageInfoDAB</w:t>
      </w:r>
      <w:proofErr w:type="spellEnd"/>
      <w:r>
        <w:t>), DARC (</w:t>
      </w:r>
      <w:proofErr w:type="spellStart"/>
      <w:r>
        <w:rPr>
          <w:rFonts w:ascii="Courier New" w:eastAsia="Courier New" w:hAnsi="Courier New" w:cs="Courier New"/>
        </w:rPr>
        <w:t>BearerLinkageInfoDARC</w:t>
      </w:r>
      <w:proofErr w:type="spellEnd"/>
      <w:r>
        <w:t>), DVB (</w:t>
      </w:r>
      <w:proofErr w:type="spellStart"/>
      <w:r>
        <w:rPr>
          <w:rFonts w:ascii="Courier New" w:eastAsia="Courier New" w:hAnsi="Courier New" w:cs="Courier New"/>
        </w:rPr>
        <w:t>BearerLinkageInfoDVB</w:t>
      </w:r>
      <w:proofErr w:type="spellEnd"/>
      <w:r>
        <w:t>), Internet (</w:t>
      </w:r>
      <w:proofErr w:type="spellStart"/>
      <w:r>
        <w:rPr>
          <w:rFonts w:ascii="Courier New" w:eastAsia="Courier New" w:hAnsi="Courier New" w:cs="Courier New"/>
        </w:rPr>
        <w:t>BearerLinkageInfoURL</w:t>
      </w:r>
      <w:proofErr w:type="spellEnd"/>
      <w:r>
        <w:t xml:space="preserve">) (viz tabulka 2) a  HD </w:t>
      </w:r>
      <w:proofErr w:type="spellStart"/>
      <w:r>
        <w:t>Radio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</w:rPr>
        <w:t>BearerLinkageInfoHDRadio</w:t>
      </w:r>
      <w:proofErr w:type="spellEnd"/>
      <w:r>
        <w:t>).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2  - Definice tabulky </w:t>
      </w:r>
      <w:proofErr w:type="spellStart"/>
      <w:r>
        <w:rPr>
          <w:rFonts w:ascii="Courier New" w:eastAsia="Courier New" w:hAnsi="Courier New" w:cs="Courier New"/>
          <w:b/>
        </w:rPr>
        <w:t>BearerLinkageInfoURL</w:t>
      </w:r>
      <w:proofErr w:type="spellEnd"/>
      <w:r>
        <w:rPr>
          <w:b/>
        </w:rPr>
        <w:t xml:space="preserve"> (tab. 21 dokumentu)</w:t>
      </w:r>
    </w:p>
    <w:tbl>
      <w:tblPr>
        <w:tblW w:w="10065" w:type="dxa"/>
        <w:tblInd w:w="22" w:type="dxa"/>
        <w:tblLayout w:type="fixed"/>
        <w:tblLook w:val="0000" w:firstRow="0" w:lastRow="0" w:firstColumn="0" w:lastColumn="0" w:noHBand="0" w:noVBand="0"/>
      </w:tblPr>
      <w:tblGrid>
        <w:gridCol w:w="2265"/>
        <w:gridCol w:w="1755"/>
        <w:gridCol w:w="1035"/>
        <w:gridCol w:w="5010"/>
      </w:tblGrid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city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uniformResourceLocator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LongString</w:t>
            </w:r>
            <w:proofErr w:type="spellEnd"/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URL (</w:t>
            </w:r>
            <w:proofErr w:type="spellStart"/>
            <w:r>
              <w:rPr>
                <w:sz w:val="18"/>
                <w:szCs w:val="18"/>
              </w:rPr>
              <w:t>Uniform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 xml:space="preserve">Resource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Locator</w:t>
            </w:r>
            <w:proofErr w:type="spellEnd"/>
            <w:r>
              <w:rPr>
                <w:sz w:val="18"/>
                <w:szCs w:val="18"/>
              </w:rPr>
              <w:t xml:space="preserve">) as </w:t>
            </w:r>
            <w:proofErr w:type="spellStart"/>
            <w:r>
              <w:rPr>
                <w:sz w:val="18"/>
                <w:szCs w:val="18"/>
              </w:rPr>
              <w:t>defined</w:t>
            </w:r>
            <w:proofErr w:type="spellEnd"/>
            <w:r>
              <w:rPr>
                <w:sz w:val="18"/>
                <w:szCs w:val="18"/>
              </w:rPr>
              <w:t xml:space="preserve"> in RFC 1738.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bookmarkStart w:id="6" w:name="_tyjcwt" w:colFirst="0" w:colLast="0"/>
      <w:bookmarkEnd w:id="6"/>
      <w:r>
        <w:t xml:space="preserve">Článek 8.25 stanovuje </w:t>
      </w:r>
      <w:proofErr w:type="spellStart"/>
      <w:r>
        <w:rPr>
          <w:rFonts w:ascii="Courier New" w:eastAsia="Courier New" w:hAnsi="Courier New" w:cs="Courier New"/>
        </w:rPr>
        <w:t>SIT_ServiceInformationTables</w:t>
      </w:r>
      <w:proofErr w:type="spellEnd"/>
      <w:r>
        <w:t>, tabulky SIT mají stejnou strukturu jako GST ale liší se v definici a použití čísla verze (jsou dynamické a neplatí pro ně stejná pravidla jako pro verze tabulek GST).</w:t>
      </w:r>
    </w:p>
    <w:p w:rsidR="002D1B8A" w:rsidRDefault="002D1B8A" w:rsidP="002D1B8A">
      <w:pPr>
        <w:pStyle w:val="Nadpis1"/>
      </w:pPr>
      <w:r>
        <w:t>9 </w:t>
      </w:r>
      <w:proofErr w:type="spellStart"/>
      <w:r>
        <w:t>Datové</w:t>
      </w:r>
      <w:proofErr w:type="spellEnd"/>
      <w:r>
        <w:t xml:space="preserve"> </w:t>
      </w:r>
      <w:proofErr w:type="spellStart"/>
      <w:r>
        <w:t>typy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 xml:space="preserve">Tato kapitola (rozsah 13 stran) stanovuje obsah typů definovaných v předchozí kapitole. </w:t>
      </w:r>
    </w:p>
    <w:p w:rsidR="002D1B8A" w:rsidRDefault="002D1B8A" w:rsidP="002D1B8A">
      <w:pPr>
        <w:spacing w:after="120"/>
        <w:jc w:val="both"/>
      </w:pPr>
      <w:bookmarkStart w:id="8" w:name="_1t3h5sf" w:colFirst="0" w:colLast="0"/>
      <w:bookmarkEnd w:id="8"/>
      <w:r>
        <w:t xml:space="preserve">Jsou to základní typy: MaskedTime, DayMask, AppStartTime, TimeSlot, OpTime, GeographicCoverage, CoordinatePair a ByteField a odvozené typy (struktury): GST1_Entry, GST2_Entry, GST3_Entry (viz tabulka 3), GST4_Entry, GST5_Entry, GST6_Entry, GST7_Entry, RelatedServiceEntry, DABFrequency, DVBFrequency, FMFrequency, AMFrequency, SameServiceEntry, SIT1_Entry, HDRadioStationID a podřízené HDFMBearerInfo a HDAMBearerInfo.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3 - Definice tabulky </w:t>
      </w:r>
      <w:r>
        <w:rPr>
          <w:rFonts w:ascii="Courier New" w:eastAsia="Courier New" w:hAnsi="Courier New" w:cs="Courier New"/>
          <w:b/>
        </w:rPr>
        <w:t>GST3_Entry</w:t>
      </w:r>
      <w:r>
        <w:rPr>
          <w:b/>
        </w:rPr>
        <w:t xml:space="preserve"> (tab. 35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SCID</w:t>
            </w:r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Identification</w:t>
            </w:r>
            <w:proofErr w:type="spellEnd"/>
            <w:r>
              <w:rPr>
                <w:sz w:val="18"/>
                <w:szCs w:val="18"/>
              </w:rPr>
              <w:t xml:space="preserve"> (SCID).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contentDescription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ShortString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Gives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further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related</w:t>
            </w:r>
            <w:proofErr w:type="spellEnd"/>
            <w:r>
              <w:rPr>
                <w:sz w:val="18"/>
                <w:szCs w:val="18"/>
              </w:rPr>
              <w:t xml:space="preserve"> to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general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signalled</w:t>
            </w:r>
            <w:proofErr w:type="spellEnd"/>
            <w:r>
              <w:rPr>
                <w:sz w:val="18"/>
                <w:szCs w:val="18"/>
              </w:rPr>
              <w:t xml:space="preserve"> by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CurrentServiceInformation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Definice </w:t>
      </w:r>
      <w:proofErr w:type="spellStart"/>
      <w:r>
        <w:rPr>
          <w:rFonts w:ascii="Courier New" w:eastAsia="Courier New" w:hAnsi="Courier New" w:cs="Courier New"/>
        </w:rPr>
        <w:t>SameServiceEntry</w:t>
      </w:r>
      <w:proofErr w:type="spellEnd"/>
      <w:r>
        <w:t xml:space="preserve"> na rozdíl od ostatních definic obsahuje textově definovaná pravidla použití.</w:t>
      </w:r>
    </w:p>
    <w:p w:rsidR="002D1B8A" w:rsidRDefault="002D1B8A" w:rsidP="002D1B8A">
      <w:pPr>
        <w:pStyle w:val="Nadpis1"/>
      </w:pPr>
      <w:r>
        <w:t>10 </w:t>
      </w:r>
      <w:proofErr w:type="spellStart"/>
      <w:r>
        <w:t>Tabulky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bookmarkStart w:id="9" w:name="_4d34og8" w:colFirst="0" w:colLast="0"/>
      <w:bookmarkEnd w:id="9"/>
      <w:r>
        <w:t>Tato kapitola (rozsah 2 strany) uvádí 2 tabulky výčtových typů, formát obrázku loga (sni001:GraphicType) a kódování znaků (sni002:CharacterEncoding).</w:t>
      </w:r>
    </w:p>
    <w:p w:rsidR="002D1B8A" w:rsidRDefault="002D1B8A" w:rsidP="002D1B8A">
      <w:pPr>
        <w:pStyle w:val="Nadpis1"/>
      </w:pPr>
      <w:r>
        <w:t xml:space="preserve">11 Literatura</w:t>
      </w:r>
    </w:p>
    <w:p w:rsidR="002D1B8A" w:rsidRDefault="002D1B8A" w:rsidP="002D1B8A">
      <w:pPr>
        <w:spacing w:after="120"/>
        <w:jc w:val="both"/>
      </w:pPr>
      <w:r>
        <w:t>Tato kapitola (rozsah 1 odstavec) uvádí 2 odkazy, první na předchozí verzi SNI v TPEG1 a druhý na definici XML schématu.</w:t>
      </w:r>
    </w:p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A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TPEG-bin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20 stran je současně s Přílohou B klíčovou částí normy.</w:t>
      </w:r>
    </w:p>
    <w:p w:rsidR="002D1B8A" w:rsidRDefault="002D1B8A" w:rsidP="002D1B8A">
      <w:pPr>
        <w:spacing w:after="120"/>
        <w:jc w:val="both"/>
      </w:pPr>
      <w:r>
        <w:t>Příloha stanovuje binární reprezentaci aplikace informace o službách a síti (SNI) TPEG pro použití v DAB. P</w:t>
      </w:r>
      <w:r>
        <w:t>o</w:t>
      </w:r>
      <w:r>
        <w:t xml:space="preserve">pis binární reprezentace je uveden v pseudokódu, kde pro každé klíčové slovo zapsané struktury je znám jeho binární tvar. </w:t>
      </w:r>
    </w:p>
    <w:p w:rsidR="002D1B8A" w:rsidRDefault="002D1B8A" w:rsidP="002D1B8A">
      <w:pPr>
        <w:spacing w:after="120"/>
        <w:jc w:val="both"/>
      </w:pPr>
      <w:r>
        <w:lastRenderedPageBreak/>
        <w:t xml:space="preserve">V části A.1 se uvádí rozdíly konverze z UML do binární reprezentace od konverze stanovené v dokumentu TPEG2-UBCR. Například změna typu proměnné </w:t>
      </w:r>
      <w:proofErr w:type="spellStart"/>
      <w:r>
        <w:t>LengthIndicator</w:t>
      </w:r>
      <w:proofErr w:type="spellEnd"/>
      <w:r>
        <w:t xml:space="preserve"> na </w:t>
      </w:r>
      <w:proofErr w:type="spellStart"/>
      <w:r>
        <w:t>IntUnLi</w:t>
      </w:r>
      <w:proofErr w:type="spellEnd"/>
      <w:r>
        <w:t>, atp.</w:t>
      </w:r>
    </w:p>
    <w:p w:rsidR="002D1B8A" w:rsidRDefault="002D1B8A" w:rsidP="002D1B8A">
      <w:pPr>
        <w:spacing w:after="120"/>
        <w:jc w:val="both"/>
      </w:pPr>
      <w:r>
        <w:t xml:space="preserve">V části A.2 je uvedena tabulka (viz dole) identifikátorů komponent TPEG2 a TPEG1. 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0" w:name="_2s8eyo1" w:colFirst="0" w:colLast="0"/>
      <w:bookmarkEnd w:id="10"/>
      <w:r>
        <w:rPr>
          <w:b/>
        </w:rPr>
        <w:t>Tabulka 4 – Seznam identifikátorů obecných komponent (tab. 53 normy)</w:t>
      </w:r>
    </w:p>
    <w:tbl>
      <w:tblPr>
        <w:tblW w:w="970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35"/>
        <w:gridCol w:w="480"/>
        <w:gridCol w:w="5175"/>
        <w:gridCol w:w="615"/>
      </w:tblGrid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CurrentServiceInformation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LinkageToRelatedService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GST1_FastTuningTable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SubscriberInformation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GST2_TimeScheduleTable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FreeTextInformation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GST3_ContentDescription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HelpInformation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GST4_GeographicalCoverage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GST6_ConditionalAccessInformationReference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GST5_ServiceComponentReset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GST7_Versioning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GST_ServiceTableAccelerator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BearerLinkageInfoHDRadio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ServiceLogo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SIT1_NumberOfMessages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LinkageToSameService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Kapitola pokračuje „binárními“ definicemi dříve uvedených komponent.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1" w:name="_17dp8vu" w:colFirst="0" w:colLast="0"/>
      <w:bookmarkEnd w:id="11"/>
      <w:r>
        <w:rPr>
          <w:b/>
        </w:rPr>
        <w:t xml:space="preserve">Tabulka 5 – Popis obsahu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a 64 normy) 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71"/>
        <w:gridCol w:w="4678"/>
      </w:tblGrid>
      <w:tr w:rsidR="002D1B8A" w:rsidTr="00833B2C">
        <w:tc>
          <w:tcPr>
            <w:tcW w:w="5371" w:type="dxa"/>
          </w:tcPr>
          <w:p w:rsidR="002D1B8A" w:rsidRDefault="002D1B8A" w:rsidP="00833B2C">
            <w:r>
              <w:t>&lt;GST3_ContentDescription(3)&lt;SNI1Template(3)&gt;&gt;:=</w:t>
            </w:r>
          </w:p>
        </w:tc>
        <w:tc>
          <w:tcPr>
            <w:tcW w:w="4678" w:type="dxa"/>
          </w:tcPr>
          <w:p w:rsidR="002D1B8A" w:rsidRDefault="002D1B8A" w:rsidP="00833B2C"/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&gt;(3),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id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IntUnLi</w:t>
            </w:r>
            <w:proofErr w:type="spellEnd"/>
            <w:r>
              <w:t>&gt;(</w:t>
            </w:r>
            <w:proofErr w:type="spellStart"/>
            <w:r>
              <w:t>lengthComp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bytes</w:t>
            </w:r>
            <w:proofErr w:type="spellEnd"/>
            <w:r>
              <w:t xml:space="preserve"> in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</w:t>
            </w:r>
            <w:proofErr w:type="spellStart"/>
            <w:r>
              <w:t>tableVersion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Incremented</w:t>
            </w:r>
            <w:proofErr w:type="spellEnd"/>
            <w:r>
              <w:t xml:space="preserve">,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entries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changed</w:t>
            </w:r>
            <w:proofErr w:type="spellEnd"/>
            <w:r>
              <w:t>.</w:t>
            </w:r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n * &lt;GST3_Entry&gt;(</w:t>
            </w:r>
            <w:proofErr w:type="spellStart"/>
            <w:r>
              <w:t>tableEntry</w:t>
            </w:r>
            <w:proofErr w:type="spellEnd"/>
            <w:r>
              <w:t>);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Lines </w:t>
            </w:r>
            <w:proofErr w:type="spellStart"/>
            <w:r>
              <w:t>of</w:t>
            </w:r>
            <w:proofErr w:type="spellEnd"/>
            <w:r>
              <w:t xml:space="preserve"> table GST3.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Článek A.3 stejným způsobem zavádí „binární“ definice datových typů.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2" w:name="_3rdcrjn" w:colFirst="0" w:colLast="0"/>
      <w:bookmarkEnd w:id="12"/>
      <w:r>
        <w:t xml:space="preserve">Tabulka 6 – </w:t>
      </w:r>
      <w:r>
        <w:t xml:space="preserve">Popis obsahu GST3_Entry (tab. 90 normy)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96"/>
        <w:gridCol w:w="6753"/>
      </w:tblGrid>
      <w:tr w:rsidR="002D1B8A" w:rsidTr="00833B2C">
        <w:tc>
          <w:tcPr>
            <w:tcW w:w="3296" w:type="dxa"/>
          </w:tcPr>
          <w:p w:rsidR="002D1B8A" w:rsidRDefault="002D1B8A" w:rsidP="00833B2C">
            <w:r>
              <w:t>&lt;GST3_Entry&gt;:=</w:t>
            </w:r>
          </w:p>
        </w:tc>
        <w:tc>
          <w:tcPr>
            <w:tcW w:w="6753" w:type="dxa"/>
          </w:tcPr>
          <w:p w:rsidR="002D1B8A" w:rsidRDefault="002D1B8A" w:rsidP="00833B2C"/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&gt;(SCID),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(SCID).</w:t>
            </w:r>
          </w:p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ShortString</w:t>
            </w:r>
            <w:proofErr w:type="spellEnd"/>
            <w:r>
              <w:t>&gt;(</w:t>
            </w:r>
            <w:proofErr w:type="spellStart"/>
            <w:r>
              <w:t>contentDescription</w:t>
            </w:r>
            <w:proofErr w:type="spellEnd"/>
            <w:r>
              <w:t>);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>:</w:t>
            </w:r>
          </w:p>
          <w:p w:rsidR="002D1B8A" w:rsidRDefault="002D1B8A" w:rsidP="00833B2C">
            <w:proofErr w:type="spellStart"/>
            <w:r>
              <w:t>Gives</w:t>
            </w:r>
            <w:proofErr w:type="spellEnd"/>
            <w:r>
              <w:t xml:space="preserve"> </w:t>
            </w:r>
            <w:proofErr w:type="spellStart"/>
            <w:r>
              <w:t>further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general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signalled</w:t>
            </w:r>
            <w:proofErr w:type="spellEnd"/>
            <w:r>
              <w:t xml:space="preserve"> by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CurrentServiceInformation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>.</w:t>
            </w:r>
          </w:p>
        </w:tc>
      </w:tr>
    </w:tbl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B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TPEG-ML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30 stran je současně s Přílohou A klíčovou částí normy.</w:t>
      </w:r>
    </w:p>
    <w:p w:rsidR="002D1B8A" w:rsidRDefault="002D1B8A" w:rsidP="002D1B8A">
      <w:pPr>
        <w:spacing w:after="120"/>
        <w:jc w:val="both"/>
      </w:pPr>
      <w:r>
        <w:t>Příloha obsahuje popis XML reprezentace a XML schéma rámce TPEG.</w:t>
      </w:r>
    </w:p>
    <w:p w:rsidR="002D1B8A" w:rsidRDefault="002D1B8A" w:rsidP="002D1B8A">
      <w:pPr>
        <w:spacing w:after="120"/>
        <w:jc w:val="both"/>
      </w:pPr>
      <w:bookmarkStart w:id="13" w:name="_26in1rg" w:colFirst="0" w:colLast="0"/>
      <w:bookmarkEnd w:id="13"/>
      <w:r>
        <w:t>Část B.2 obsahuje reprezentaci XML struktury (komponent), tak jak byly stanoveny v kapitole 8. Například čl</w:t>
      </w:r>
      <w:r>
        <w:t>á</w:t>
      </w:r>
      <w:r>
        <w:t xml:space="preserve">nek B2.10 uvádí definici </w:t>
      </w:r>
      <w:r>
        <w:rPr>
          <w:rFonts w:ascii="Courier New" w:eastAsia="Courier New" w:hAnsi="Courier New" w:cs="Courier New"/>
        </w:rPr>
        <w:t>GST3_ContentDescription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"GST3_ContentDescription"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tableVersion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&lt;xs:element </w:t>
      </w:r>
      <w:r>
        <w:rPr>
          <w:color w:val="FF0000"/>
          <w:sz w:val="18"/>
          <w:szCs w:val="18"/>
        </w:rPr>
        <w:t>name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"tableEntry"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maxOccurs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"255"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spacing w:after="120"/>
        <w:ind w:left="284" w:hanging="284"/>
        <w:jc w:val="both"/>
      </w:pPr>
    </w:p>
    <w:p w:rsidR="002D1B8A" w:rsidRDefault="002D1B8A" w:rsidP="002D1B8A">
      <w:pPr>
        <w:spacing w:after="120"/>
        <w:jc w:val="both"/>
      </w:pPr>
      <w:r>
        <w:t xml:space="preserve">Část B.3 obsahuje reprezentaci datových typů v XML, tak jak byly stanoveny v kapitole 9. Například článek B3.11 uvádí definici </w:t>
      </w:r>
      <w:r>
        <w:rPr>
          <w:rFonts w:ascii="Courier New" w:eastAsia="Courier New" w:hAnsi="Courier New" w:cs="Courier New"/>
        </w:rPr>
        <w:t>GST3_Entry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"SCID"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contentDescription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tdt:ShortString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6D4C50" w:rsidRPr="00B90A20" w:rsidRDefault="006D4C50" w:rsidP="002D1B8A">
      <w:pPr>
        <w:pStyle w:val="Shodnost"/>
        <w:tabs>
          <w:tab w:val="clear" w:pos="9923"/>
          <w:tab w:val="left" w:pos="7088"/>
          <w:tab w:val="right" w:pos="9072"/>
          <w:tab w:val="left" w:pos="10490"/>
        </w:tabs>
      </w:pPr>
    </w:p>
    <w:sectPr w:rsidR="006D4C50" w:rsidRPr="00B90A20" w:rsidSect="00BB78B4"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567" w:footer="34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7A3A" w:rsidRDefault="006B7A3A">
      <w:r>
        <w:separator/>
      </w:r>
    </w:p>
  </w:endnote>
  <w:endnote w:type="continuationSeparator" w:id="0">
    <w:p w:rsidR="006B7A3A" w:rsidRDefault="006B7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OpenSymbol">
    <w:altName w:val="Times New Roman"/>
    <w:charset w:val="00"/>
    <w:family w:val="auto"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293">
    <w:altName w:val="Times New Roman"/>
    <w:charset w:val="EE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6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7A3A" w:rsidRDefault="006B7A3A">
      <w:r>
        <w:separator/>
      </w:r>
    </w:p>
  </w:footnote>
  <w:footnote w:type="continuationSeparator" w:id="0">
    <w:p w:rsidR="006B7A3A" w:rsidRDefault="006B7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D1F0DF3"/>
    <w:multiLevelType w:val="hybridMultilevel"/>
    <w:tmpl w:val="AB3A403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4">
    <w:nsid w:val="10553040"/>
    <w:multiLevelType w:val="hybridMultilevel"/>
    <w:tmpl w:val="9B36D012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145398E"/>
    <w:multiLevelType w:val="multilevel"/>
    <w:tmpl w:val="8402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11FC3722"/>
    <w:multiLevelType w:val="multilevel"/>
    <w:tmpl w:val="AF526C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7">
    <w:nsid w:val="171A7A36"/>
    <w:multiLevelType w:val="multilevel"/>
    <w:tmpl w:val="5E5A34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5E45748"/>
    <w:multiLevelType w:val="multilevel"/>
    <w:tmpl w:val="96CEE4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27C62129"/>
    <w:multiLevelType w:val="hybridMultilevel"/>
    <w:tmpl w:val="9BA0EB32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2B336F29"/>
    <w:multiLevelType w:val="hybridMultilevel"/>
    <w:tmpl w:val="63BC7C2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30D30D0"/>
    <w:multiLevelType w:val="hybridMultilevel"/>
    <w:tmpl w:val="A730680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5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27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8">
    <w:nsid w:val="494362B6"/>
    <w:multiLevelType w:val="multilevel"/>
    <w:tmpl w:val="4D424D2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>
    <w:nsid w:val="4A81733E"/>
    <w:multiLevelType w:val="hybridMultilevel"/>
    <w:tmpl w:val="A5483A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>
    <w:nsid w:val="51CD6654"/>
    <w:multiLevelType w:val="multilevel"/>
    <w:tmpl w:val="D2443B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33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0C51FB"/>
    <w:multiLevelType w:val="hybridMultilevel"/>
    <w:tmpl w:val="B9104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E34088"/>
    <w:multiLevelType w:val="hybridMultilevel"/>
    <w:tmpl w:val="EE2CB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7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38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39">
    <w:nsid w:val="78FD5753"/>
    <w:multiLevelType w:val="hybridMultilevel"/>
    <w:tmpl w:val="C0808A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AD20FAE"/>
    <w:multiLevelType w:val="multilevel"/>
    <w:tmpl w:val="79EE1334"/>
    <w:lvl w:ilvl="0">
      <w:numFmt w:val="bullet"/>
      <w:lvlText w:val="–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–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–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–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–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–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–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–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–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1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27"/>
  </w:num>
  <w:num w:numId="3">
    <w:abstractNumId w:val="32"/>
  </w:num>
  <w:num w:numId="4">
    <w:abstractNumId w:val="26"/>
  </w:num>
  <w:num w:numId="5">
    <w:abstractNumId w:val="10"/>
  </w:num>
  <w:num w:numId="6">
    <w:abstractNumId w:val="30"/>
  </w:num>
  <w:num w:numId="7">
    <w:abstractNumId w:val="25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4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41"/>
    <w:lvlOverride w:ilvl="0">
      <w:startOverride w:val="1"/>
    </w:lvlOverride>
  </w:num>
  <w:num w:numId="19">
    <w:abstractNumId w:val="11"/>
  </w:num>
  <w:num w:numId="20">
    <w:abstractNumId w:val="18"/>
  </w:num>
  <w:num w:numId="21">
    <w:abstractNumId w:val="32"/>
    <w:lvlOverride w:ilvl="0">
      <w:startOverride w:val="1"/>
    </w:lvlOverride>
  </w:num>
  <w:num w:numId="22">
    <w:abstractNumId w:val="32"/>
    <w:lvlOverride w:ilvl="0">
      <w:startOverride w:val="1"/>
    </w:lvlOverride>
  </w:num>
  <w:num w:numId="23">
    <w:abstractNumId w:val="32"/>
    <w:lvlOverride w:ilvl="0">
      <w:startOverride w:val="1"/>
    </w:lvlOverride>
  </w:num>
  <w:num w:numId="24">
    <w:abstractNumId w:val="33"/>
  </w:num>
  <w:num w:numId="25">
    <w:abstractNumId w:val="13"/>
  </w:num>
  <w:num w:numId="26">
    <w:abstractNumId w:val="38"/>
  </w:num>
  <w:num w:numId="27">
    <w:abstractNumId w:val="36"/>
  </w:num>
  <w:num w:numId="28">
    <w:abstractNumId w:val="37"/>
  </w:num>
  <w:num w:numId="29">
    <w:abstractNumId w:val="23"/>
  </w:num>
  <w:num w:numId="30">
    <w:abstractNumId w:val="16"/>
  </w:num>
  <w:num w:numId="31">
    <w:abstractNumId w:val="34"/>
  </w:num>
  <w:num w:numId="32">
    <w:abstractNumId w:val="35"/>
  </w:num>
  <w:num w:numId="33">
    <w:abstractNumId w:val="39"/>
  </w:num>
  <w:num w:numId="34">
    <w:abstractNumId w:val="29"/>
  </w:num>
  <w:num w:numId="35">
    <w:abstractNumId w:val="20"/>
  </w:num>
  <w:num w:numId="36">
    <w:abstractNumId w:val="19"/>
  </w:num>
  <w:num w:numId="37">
    <w:abstractNumId w:val="40"/>
  </w:num>
  <w:num w:numId="38">
    <w:abstractNumId w:val="21"/>
  </w:num>
  <w:num w:numId="39">
    <w:abstractNumId w:val="22"/>
  </w:num>
  <w:num w:numId="40">
    <w:abstractNumId w:val="14"/>
  </w:num>
  <w:num w:numId="41">
    <w:abstractNumId w:val="12"/>
  </w:num>
  <w:num w:numId="42">
    <w:abstractNumId w:val="28"/>
  </w:num>
  <w:num w:numId="43">
    <w:abstractNumId w:val="17"/>
  </w:num>
  <w:num w:numId="44">
    <w:abstractNumId w:val="31"/>
  </w:num>
  <w:num w:numId="45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B8A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00BC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E06E3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B7A3A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108E8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296F"/>
    <w:rsid w:val="00B876A8"/>
    <w:rsid w:val="00B90A20"/>
    <w:rsid w:val="00B94E4C"/>
    <w:rsid w:val="00B969D7"/>
    <w:rsid w:val="00BB24EF"/>
    <w:rsid w:val="00BB402A"/>
    <w:rsid w:val="00BB78B4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648E3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34B6"/>
    <w:rsid w:val="00DE45DE"/>
    <w:rsid w:val="00E01005"/>
    <w:rsid w:val="00E048DB"/>
    <w:rsid w:val="00E1690A"/>
    <w:rsid w:val="00E25702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B2801"/>
    <w:rsid w:val="00EC07EA"/>
    <w:rsid w:val="00EC525E"/>
    <w:rsid w:val="00ED608A"/>
    <w:rsid w:val="00EE0C7F"/>
    <w:rsid w:val="00F034F5"/>
    <w:rsid w:val="00F13173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96DBF"/>
    <w:rsid w:val="00FB1A5C"/>
    <w:rsid w:val="00FB2D43"/>
    <w:rsid w:val="00FB7150"/>
    <w:rsid w:val="00FC0B2C"/>
    <w:rsid w:val="00FC2B52"/>
    <w:rsid w:val="00FD3DA9"/>
    <w:rsid w:val="00FD4FFA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6DA255-716C-4283-BB16-F14DD605B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58</TotalTime>
  <Pages>6</Pages>
  <Words>2513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16805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5</cp:revision>
  <cp:lastPrinted>2017-02-17T13:02:00Z</cp:lastPrinted>
  <dcterms:created xsi:type="dcterms:W3CDTF">2018-04-04T11:27:00Z</dcterms:created>
  <dcterms:modified xsi:type="dcterms:W3CDTF">2018-04-04T13:46:00Z</dcterms:modified>
</cp:coreProperties>
</file>