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03.220.01, 35.240.60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a cestovní informace (TTI) – TTI předávané rozšiřitelným označovacím jazykem (XML) – Expertní skupiny protokolů pro dopravu (TPEG)</w:t>
              <w:br/>
              <w:t xml:space="preserve"> – Část 3: tpeg-rtmML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TrZn"/>
              <w:spacing w:before="80" w:after="80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  <w:t>ČSN P CEN ISO/TS 24530-3</w:t>
            </w:r>
          </w:p>
          <w:p>
            <w:pPr>
              <w:pStyle w:val="1StrTrZn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01 8257</w:t>
            </w:r>
          </w:p>
        </w:tc>
      </w:tr>
    </w:tbl>
    <w:p>
      <w:pPr>
        <w:pStyle w:val="Shodnost"/>
        <w:tabs>
          <w:tab w:val="left" w:pos="7800" w:leader="none"/>
        </w:tabs>
        <w:rPr/>
      </w:pPr>
      <w:r>
        <w:rPr/>
        <w:t>Platí od 1.1.2007</w:t>
        <w:tab/>
        <w:t>60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norma je 3. částí souboru norem věnujících se standardizaci protokolu pro dopravu TPEG. Detailně popisuje aplikaci tpeg-rtmML: zprávy o silniční dopravě za použití protokolu XML. Aplikace TPEG-RTM byla vytvořena za účelem poskytování informací účastníkům silničního provozu. Poskytované informace zahrnují hierarchicky uspořádané informace o událostech, informace o stavu na silnici a případně o infrastruktuře, ovlivňující dopravu. </w:t>
      </w:r>
    </w:p>
    <w:p>
      <w:pPr>
        <w:pStyle w:val="Textnormy"/>
        <w:rPr/>
      </w:pPr>
      <w:r>
        <w:rPr/>
        <w:t xml:space="preserve">Aplikace TPEG-RTM zahrnuje dále tabulky, které umožňují popis TTI událostí, informací o jejich charakteru, pozici, objížďce, atp. </w:t>
      </w:r>
    </w:p>
    <w:p>
      <w:pPr>
        <w:pStyle w:val="Textnormy"/>
        <w:rPr/>
      </w:pPr>
      <w:r>
        <w:rPr/>
        <w:t xml:space="preserve">Pro správné porozumění tomuto dokumentu je důležité se seznámit se specifikací binární TPEG-RTM (CEN ISO/TS 18234-4).  </w:t>
      </w:r>
    </w:p>
    <w:p>
      <w:pPr>
        <w:pStyle w:val="Textnormy"/>
        <w:rPr/>
      </w:pPr>
      <w:r>
        <w:rPr/>
        <w:t xml:space="preserve">TPEG aplikace byly prvotně vytvořeny za účelem poskytování dopravních informací tak, aby bylo umožněno jejich kódování, dekódování, filtrování a následná interpretace jak vizuální, tak hlasová. Původní technologie TPEG využívá bitový formát. Vývoj této původní binární technologie TPEG byl určen především pro přenos prostřednictvím digitálního rádia (DAB) a případně internetem s přenosovou rychlostí do 10 kbit/s. </w:t>
      </w:r>
    </w:p>
    <w:p>
      <w:pPr>
        <w:pStyle w:val="Textnormy"/>
        <w:rPr/>
      </w:pPr>
      <w:r>
        <w:rPr/>
        <w:t xml:space="preserve">V současnosti existují další nosiče, např. ARIB, ATSC, DAB, DVB či internet, které umožňují daleko rychlejší přenosovou rychlost a ekonomický a technický užitek. Právě pro tento účel byl vytvořen formát TPEGu XML (tpegML). TpegML je dále určen poskytovatelům služeb, kteří mají standardizované rozhraní pro příjem zpráv </w:t>
      </w:r>
      <w:r>
        <w:rPr>
          <w:i/>
        </w:rPr>
        <w:t>(standardised message generation interface)</w:t>
      </w:r>
      <w:r>
        <w:rPr/>
        <w:t xml:space="preserve"> a dále by jim bylo umožněno vyvíjet systém, který by uspokojil jejich požadavky. Tento způsob umožní poskytovatelům služeb vyměňovat předpřipravené informace bez ohledu na systémy generování zpráv </w:t>
      </w:r>
      <w:r>
        <w:rPr>
          <w:i/>
        </w:rPr>
        <w:t>(message generation systems)</w:t>
      </w:r>
      <w:r>
        <w:rPr/>
        <w:t xml:space="preserve">. TpegML dále umožňuje poskytovat jazykově nezávislou službu. To znamená, že v rámci tpegML lze předávat zprávy v kterémkoli jazyce, který zná daný internetový prohlížeč.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>Technologie TPEG je určena pro poskytovatele služeb, neboť byla navržena pro širokou škálu aplikací, které vyžadují efektivní přenos z jednoho bodu do více bodů přes veskrze nespolehlivé rádiové vysílání.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Pro lepší pochopení této normy je vhodné projít analogickou normu v binárním kódu CEN ISO/TS 18234-4.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Tato norma definuje kódování XML metody aplikace TPEG RTM. Aplikace TPEG RTM slouží k přenosu dopravních informací koncovým uživatelům s využitím široké škálu nosičů.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Zkratky</w:t>
      </w:r>
    </w:p>
    <w:p>
      <w:pPr>
        <w:pStyle w:val="Textnormy"/>
        <w:rPr/>
      </w:pPr>
      <w:r>
        <w:rPr/>
        <w:t xml:space="preserve">Tato kapitola uvádí 14 zkratek, podstatné z nich jsou uvedeny níže: </w:t>
      </w:r>
    </w:p>
    <w:p>
      <w:pPr>
        <w:pStyle w:val="Textnormy"/>
        <w:ind w:hanging="1440" w:start="1440" w:end="0"/>
        <w:rPr/>
      </w:pPr>
      <w:r>
        <w:rPr>
          <w:b/>
        </w:rPr>
        <w:t>3.1 ARIB</w:t>
      </w:r>
      <w:r>
        <w:rPr/>
        <w:tab/>
        <w:t>association of radio industries and business – Japonská Asociace rádiového průmyslu a obchodu</w:t>
      </w:r>
    </w:p>
    <w:p>
      <w:pPr>
        <w:pStyle w:val="Textnormy"/>
        <w:rPr/>
      </w:pPr>
      <w:r>
        <w:rPr>
          <w:b/>
        </w:rPr>
        <w:t>3.2 ATSC</w:t>
        <w:tab/>
      </w:r>
      <w:r>
        <w:rPr/>
        <w:t xml:space="preserve">American television standards committee – americká televizní standardizační komise</w:t>
      </w:r>
    </w:p>
    <w:p>
      <w:pPr>
        <w:pStyle w:val="Textnormy"/>
        <w:rPr/>
      </w:pPr>
      <w:r>
        <w:rPr>
          <w:b/>
        </w:rPr>
        <w:t>3.3 DAB</w:t>
      </w:r>
      <w:r>
        <w:rPr/>
        <w:tab/>
        <w:t xml:space="preserve">digital audio broadcasting – digitální audio vysílání </w:t>
      </w:r>
    </w:p>
    <w:p>
      <w:pPr>
        <w:pStyle w:val="Textnormy"/>
        <w:rPr/>
      </w:pPr>
      <w:r>
        <w:rPr>
          <w:b/>
        </w:rPr>
        <w:t>3.5 DVB</w:t>
      </w:r>
      <w:r>
        <w:rPr/>
        <w:tab/>
        <w:t>digital video broadcasting – digitální vysílání videosignálu</w:t>
      </w:r>
    </w:p>
    <w:p>
      <w:pPr>
        <w:pStyle w:val="Textnormy"/>
        <w:rPr/>
      </w:pPr>
      <w:r>
        <w:rPr>
          <w:b/>
        </w:rPr>
        <w:t>3.6 EBU</w:t>
      </w:r>
      <w:r>
        <w:rPr/>
        <w:tab/>
        <w:t xml:space="preserve">European broadcasting union – Evropská vysílací unie </w:t>
      </w:r>
    </w:p>
    <w:p>
      <w:pPr>
        <w:pStyle w:val="Textnormy"/>
        <w:rPr>
          <w:i/>
        </w:rPr>
      </w:pPr>
      <w:r>
        <w:rPr>
          <w:b/>
        </w:rPr>
        <w:t>3.8 RTM</w:t>
      </w:r>
      <w:r>
        <w:rPr/>
        <w:tab/>
        <w:t xml:space="preserve">road traffic message – zpráva o stavu dopravy </w:t>
      </w:r>
    </w:p>
    <w:p>
      <w:pPr>
        <w:pStyle w:val="Textnormy"/>
        <w:ind w:hanging="1440" w:start="1440" w:end="0"/>
        <w:rPr>
          <w:spacing w:val="-2"/>
        </w:rPr>
      </w:pPr>
      <w:r>
        <w:rPr>
          <w:b/>
        </w:rPr>
        <w:t>3.9 TPEG</w:t>
      </w:r>
      <w:r>
        <w:rPr/>
        <w:tab/>
      </w:r>
      <w:r>
        <w:rPr>
          <w:spacing w:val="-2"/>
        </w:rPr>
        <w:t xml:space="preserve">Transports protocol experts group – </w:t>
      </w:r>
      <w:r>
        <w:rPr/>
        <w:t>Expertní skupina dopravních protokolů,</w:t>
      </w:r>
      <w:r>
        <w:rPr>
          <w:spacing w:val="-2"/>
        </w:rPr>
        <w:t xml:space="preserve"> forma strukturovaného zápisu informací o dopravě </w:t>
      </w:r>
    </w:p>
    <w:p>
      <w:pPr>
        <w:pStyle w:val="Textnormy"/>
        <w:ind w:hanging="1440" w:start="1440" w:end="0"/>
        <w:rPr/>
      </w:pPr>
      <w:r>
        <w:rPr>
          <w:b/>
        </w:rPr>
        <w:t>tpegML</w:t>
      </w:r>
      <w:r>
        <w:rPr/>
        <w:tab/>
        <w:t xml:space="preserve">aplikace tpeg XML psaná malými písmeny, což ji odlišuje od binárních aplikací TPEG, psané s velkými písmeny. 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tpeg-loc</w:t>
      </w:r>
      <w:r>
        <w:rPr>
          <w:spacing w:val="-2"/>
        </w:rPr>
        <w:tab/>
        <w:t xml:space="preserve">location referencing for applications – označování polohy pro aplikace 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TTI</w:t>
      </w:r>
      <w:r>
        <w:rPr>
          <w:spacing w:val="-2"/>
        </w:rPr>
        <w:tab/>
        <w:tab/>
        <w:t>traffic and travel information – dopravní a cestovní informace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XML</w:t>
      </w:r>
      <w:r>
        <w:rPr>
          <w:spacing w:val="-2"/>
        </w:rPr>
        <w:tab/>
        <w:tab/>
        <w:t>extensible markup language – rozšiřitelný značkovací jazyk</w:t>
      </w:r>
    </w:p>
    <w:p>
      <w:pPr>
        <w:pStyle w:val="Textnormy"/>
        <w:rPr/>
      </w:pPr>
      <w:r>
        <w:rPr>
          <w:spacing w:val="-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Struktura normy</w:t>
      </w:r>
    </w:p>
    <w:p>
      <w:pPr>
        <w:pStyle w:val="Textnormy"/>
        <w:rPr/>
      </w:pPr>
      <w:r>
        <w:rPr/>
        <w:t xml:space="preserve">Tato norma je rozdělena do částí, které popisují každá jeden prvek, používaný v rámci tpegML. Článek vždy specifikuje účel daného prvku, příslušnou DTD definici a příklad. Úplný seznam .dtd a .ent souborů je uveden v přílohách A a B. </w:t>
      </w:r>
    </w:p>
    <w:p>
      <w:pPr>
        <w:pStyle w:val="Textnormy"/>
        <w:rPr/>
      </w:pPr>
      <w:r>
        <w:rPr/>
        <w:t xml:space="preserve">Seznamy atributů jednotlivých prvků, používaných v tpegML, jsou uvedeny v tabulkách specifikací TPEG. V XML struktuře jsou jednotlivé vstupy kódovány. Atributy prvků v této technické specifikaci jsou převzaté z příslušné části CEN ISO/TS 18234. </w:t>
      </w:r>
    </w:p>
    <w:p>
      <w:pPr>
        <w:pStyle w:val="Textnormy"/>
        <w:rPr/>
      </w:pPr>
      <w:r>
        <w:rPr/>
        <w:t>Pro kódování prvků je používán formát rtmX_Y, kde X vyjadřuje číslo tabulky a Y číslo řádku v dané tabulce (například rtm01_1).:</w:t>
      </w:r>
    </w:p>
    <w:p>
      <w:pPr>
        <w:pStyle w:val="NadpisTabObr"/>
        <w:rPr/>
      </w:pPr>
      <w:r>
        <w:rPr/>
        <w:t>Tabulka 1 – Příklad kódování „typu vozidla“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453890" cy="3717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90" cy="371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Kapitola dále obsahuje 3 vzorové XML: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„</w:t>
      </w:r>
      <w:r>
        <w:rPr/>
        <w:t xml:space="preserve">Uzavření silnice A12 u města Brentwood, Essex“; 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„</w:t>
      </w:r>
      <w:r>
        <w:rPr/>
        <w:t xml:space="preserve">Dočasný semafor instalován na silnici A811 u města Drymen“ a 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„</w:t>
      </w:r>
      <w:r>
        <w:rPr/>
        <w:t>Srážka motocyklu s větším vozidlem“.</w:t>
      </w:r>
    </w:p>
    <w:p>
      <w:pPr>
        <w:pStyle w:val="Textnormy"/>
        <w:rPr/>
      </w:pPr>
      <w:r>
        <w:rPr/>
        <w:t xml:space="preserve">Pro ilustraci je uveden příklad 2 „Dočasný semafor instalován na silnici A811 u města Drymen“: 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5755640" cy="501396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501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tpeg-rtmML</w:t>
      </w:r>
    </w:p>
    <w:p>
      <w:pPr>
        <w:pStyle w:val="Textnormy"/>
        <w:rPr/>
      </w:pPr>
      <w:r>
        <w:rPr/>
        <w:t xml:space="preserve">Popis tpeg-rtmML je uveden v přílohách A a B: soubory tpeg-rtmML.dtd a tpeg-rtmML.ent. Tato kapitola přináší seznam hodnot, jakých může dosahovat a způsoby, jakými je možné prostřednictvím tpeg-rtiML předat informace o následujících zprávách: 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popis zprávy o provozu na pozemní komunikaci (PK),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opakovaná událost,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neopakující se událost,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nehoda (její lokalizace, informace o vozidle, lidech, atp.),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zácpa/překážka,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aktivity (události, které mohou mít důsledek na silniční dopravu),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podmínky vozovky (povrch, přilnavost, značení),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průběh dopravy (dopravní stupně, délka dotčeného úseku, rychlost, zpoždění, travel time),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podmínky na síti PK (omezení, změny, práce na silnici),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dostupnost služeb (služby pomoci na PK),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pohybující se nebezpečí,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upozornění na hrozící nebezpečí,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informace o veřejné dopravě,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viditelnost (stupeň viditelnosti, překážka viditelnosti, jas, osvětlení),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počasí.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Příklady aktivit: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79090" cy="305879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9" t="-18" r="-1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305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Příklad služeb pomoci na silnici: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27960" cy="287909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9" t="-18" r="-1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87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 DTD pro tpeg-rtmML aplikace TPEG Dopravní zpravodajství (tpeg-rtmML.dtd)</w:t>
      </w:r>
    </w:p>
    <w:p>
      <w:pPr>
        <w:pStyle w:val="Textnormy"/>
        <w:rPr/>
      </w:pPr>
      <w:r>
        <w:rPr/>
        <w:t>Tato příloha obsahuje příklady zápisu jednotlivých prvků v XML struktuře. Část vzorové XML struktury je uvedena níže: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94985" cy="423799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423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B (normativní) Reference externích prvků pro tpeg-rtmML – aplikace TPEG Dopravní zpravodajství (tpeg-rtmML.ent). </w:t>
      </w:r>
    </w:p>
    <w:p>
      <w:pPr>
        <w:pStyle w:val="Textnormy"/>
        <w:rPr/>
      </w:pPr>
      <w:r>
        <w:rPr/>
        <w:t>Tato příloha obsahuje seznamy kódů jednotlivých atributů prvků, používaných v rámci tpeg-rtmML. Příklady problémů s osvětlením jsou uvedeny níže: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473575" cy="344106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" t="-24" r="-18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Textnormy"/>
        <w:rPr/>
      </w:pPr>
      <w:r>
        <w:rPr/>
        <w:t>Příklady typů problémů u vozidel jsou uvedeny níže: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87190" cy="17970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" t="-50" r="-22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sectPr>
      <w:footerReference w:type="default" r:id="rId9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IFBNE+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8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Wingdings" w:hAnsi="Wingdings" w:cs="StarSymbol;Times New Roman"/>
      <w:sz w:val="18"/>
      <w:szCs w:val="18"/>
    </w:rPr>
  </w:style>
  <w:style w:type="character" w:styleId="WW8Num4z1">
    <w:name w:val="WW8Num4z1"/>
    <w:qFormat/>
    <w:rPr>
      <w:rFonts w:ascii="Wingdings 2" w:hAnsi="Wingdings 2" w:cs="StarSymbol;Times New Roman"/>
      <w:sz w:val="18"/>
      <w:szCs w:val="18"/>
    </w:rPr>
  </w:style>
  <w:style w:type="character" w:styleId="WW8Num4z2">
    <w:name w:val="WW8Num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Times New Roman" w:hAnsi="Times New Roman" w:eastAsia="Lucida Sans Unicode" w:cs="Times New Roman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2z0">
    <w:name w:val="WW8Num12z0"/>
    <w:qFormat/>
    <w:rPr>
      <w:rFonts w:ascii="Wingdings" w:hAnsi="Wingdings" w:cs="StarSymbol;Times New Roman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0">
    <w:name w:val="WW8Num14z0"/>
    <w:qFormat/>
    <w:rPr>
      <w:rFonts w:ascii="Arial" w:hAnsi="Arial" w:cs="Arial"/>
      <w:sz w:val="18"/>
      <w:szCs w:val="18"/>
    </w:rPr>
  </w:style>
  <w:style w:type="character" w:styleId="WW8Num14z1">
    <w:name w:val="WW8Num14z1"/>
    <w:qFormat/>
    <w:rPr>
      <w:rFonts w:ascii="Wingdings 2" w:hAnsi="Wingdings 2" w:cs="StarSymbol;Times New Roman"/>
      <w:sz w:val="18"/>
      <w:szCs w:val="18"/>
    </w:rPr>
  </w:style>
  <w:style w:type="character" w:styleId="WW8Num14z2">
    <w:name w:val="WW8Num1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3">
    <w:name w:val="WW8Num14z3"/>
    <w:qFormat/>
    <w:rPr>
      <w:rFonts w:ascii="Wingdings" w:hAnsi="Wingdings" w:cs="StarSymbol;Times New Roman"/>
      <w:sz w:val="18"/>
      <w:szCs w:val="18"/>
    </w:rPr>
  </w:style>
  <w:style w:type="character" w:styleId="WW8Num15z0">
    <w:name w:val="WW8Num15z0"/>
    <w:qFormat/>
    <w:rPr>
      <w:rFonts w:ascii="Arial" w:hAnsi="Arial" w:cs="Arial"/>
      <w:sz w:val="18"/>
      <w:szCs w:val="18"/>
    </w:rPr>
  </w:style>
  <w:style w:type="character" w:styleId="WW8Num15z1">
    <w:name w:val="WW8Num15z1"/>
    <w:qFormat/>
    <w:rPr>
      <w:rFonts w:ascii="Wingdings 2" w:hAnsi="Wingdings 2" w:cs="StarSymbol;Times New Roman"/>
      <w:sz w:val="18"/>
      <w:szCs w:val="18"/>
    </w:rPr>
  </w:style>
  <w:style w:type="character" w:styleId="WW8Num15z2">
    <w:name w:val="WW8Num15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5z3">
    <w:name w:val="WW8Num15z3"/>
    <w:qFormat/>
    <w:rPr>
      <w:rFonts w:ascii="Wingdings" w:hAnsi="Wingdings" w:cs="StarSymbol;Times New Roman"/>
      <w:sz w:val="18"/>
      <w:szCs w:val="18"/>
    </w:rPr>
  </w:style>
  <w:style w:type="character" w:styleId="WW8Num16z0">
    <w:name w:val="WW8Num16z0"/>
    <w:qFormat/>
    <w:rPr>
      <w:rFonts w:ascii="Times New Roman" w:hAnsi="Times New Roman" w:eastAsia="Lucida Sans Unicode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FootnoteCharacters">
    <w:name w:val="Footnote Characters"/>
    <w:basedOn w:val="Standardnpsmoodstavce"/>
    <w:qFormat/>
    <w:rPr>
      <w:vertAlign w:val="superscript"/>
    </w:rPr>
  </w:style>
  <w:style w:type="character" w:styleId="NadpisTabObrChar">
    <w:name w:val="NadpisTabObr Char"/>
    <w:basedOn w:val="Standardnpsmoodstavce"/>
    <w:qFormat/>
    <w:rPr>
      <w:rFonts w:ascii="Arial" w:hAnsi="Arial" w:cs="Arial"/>
      <w:b/>
      <w:lang w:val="cs-CZ" w:bidi="ar-SA"/>
    </w:rPr>
  </w:style>
  <w:style w:type="character" w:styleId="NadpislnkuChar">
    <w:name w:val="Nadpis článku Char"/>
    <w:basedOn w:val="TextnormyChar1"/>
    <w:qFormat/>
    <w:rPr>
      <w:b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3"/>
      </w:numPr>
    </w:pPr>
    <w:rPr/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ecednseznam">
    <w:name w:val="Abecední seznam"/>
    <w:basedOn w:val="Textnormy"/>
    <w:qFormat/>
    <w:pPr>
      <w:numPr>
        <w:ilvl w:val="0"/>
        <w:numId w:val="6"/>
      </w:numPr>
      <w:tabs>
        <w:tab w:val="clear" w:pos="708"/>
      </w:tabs>
    </w:pPr>
    <w:rPr/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MIFBNE+Arial,Bold;Arial" w:hAnsi="MIFBNE+Arial,Bold;Arial" w:eastAsia="Times New Roman" w:cs="MIFBNE+Arial,Bold;Arial"/>
      <w:color w:val="000000"/>
      <w:sz w:val="24"/>
      <w:szCs w:val="24"/>
      <w:lang w:val="cs-CZ" w:bidi="ar-SA" w:eastAsia="zh-CN"/>
    </w:rPr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FootnoteText">
    <w:name w:val="footnote text"/>
    <w:basedOn w:val="Poznmka"/>
    <w:pPr>
      <w:spacing w:before="60" w:after="0"/>
    </w:pPr>
    <w:rPr/>
  </w:style>
  <w:style w:type="paragraph" w:styleId="slovanseznam">
    <w:name w:val="Číslovaný seznam"/>
    <w:basedOn w:val="Textnormy"/>
    <w:qFormat/>
    <w:pPr>
      <w:numPr>
        <w:ilvl w:val="0"/>
        <w:numId w:val="5"/>
      </w:numPr>
    </w:pPr>
    <w:rPr/>
  </w:style>
  <w:style w:type="paragraph" w:styleId="Tabletext9">
    <w:name w:val="Table text (9)"/>
    <w:basedOn w:val="Normal"/>
    <w:qFormat/>
    <w:pPr>
      <w:spacing w:lineRule="atLeast" w:line="210" w:before="60" w:after="60"/>
    </w:pPr>
    <w:rPr>
      <w:sz w:val="18"/>
    </w:rPr>
  </w:style>
  <w:style w:type="paragraph" w:styleId="Seznamsodrkami">
    <w:name w:val="Seznam s odrážkami"/>
    <w:basedOn w:val="Normal"/>
    <w:qFormat/>
    <w:pPr>
      <w:widowControl w:val="false"/>
      <w:numPr>
        <w:ilvl w:val="0"/>
        <w:numId w:val="2"/>
      </w:numPr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kern w:val="2"/>
      <w:sz w:val="24"/>
      <w:szCs w:val="24"/>
    </w:rPr>
  </w:style>
  <w:style w:type="paragraph" w:styleId="Obrzek">
    <w:name w:val="Obrázek"/>
    <w:basedOn w:val="Textnormy"/>
    <w:next w:val="NadpisTabObr"/>
    <w:qFormat/>
    <w:pPr>
      <w:keepNext w:val="true"/>
      <w:spacing w:before="0" w:after="160"/>
      <w:jc w:val="center"/>
    </w:pPr>
    <w:rPr/>
  </w:style>
  <w:style w:type="paragraph" w:styleId="DodatekN2">
    <w:name w:val="Dodatek N2"/>
    <w:basedOn w:val="Heading2"/>
    <w:qFormat/>
    <w:pPr>
      <w:widowControl w:val="false"/>
      <w:numPr>
        <w:ilvl w:val="0"/>
        <w:numId w:val="4"/>
      </w:numPr>
      <w:suppressAutoHyphens w:val="true"/>
      <w:jc w:val="both"/>
    </w:pPr>
    <w:rPr>
      <w:rFonts w:eastAsia="Lucida Sans Unicode"/>
      <w:kern w:val="2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emf"/><Relationship Id="rId5" Type="http://schemas.openxmlformats.org/officeDocument/2006/relationships/image" Target="media/image4.emf"/><Relationship Id="rId6" Type="http://schemas.openxmlformats.org/officeDocument/2006/relationships/image" Target="media/image5.png"/><Relationship Id="rId7" Type="http://schemas.openxmlformats.org/officeDocument/2006/relationships/image" Target="media/image6.emf"/><Relationship Id="rId8" Type="http://schemas.openxmlformats.org/officeDocument/2006/relationships/image" Target="media/image7.emf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2008-11-26T20:34:00Z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2008-11-26T20:34:00Z</dcterms:modified>
  <cp:revision>2</cp:revision>
  <dc:subject/>
  <dc:title>ČESKÁ TECHNICKÁ NORMA</dc:title>
</cp:coreProperties>
</file>