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Str1Rad"/>
        <w:tabs>
          <w:tab w:val="clear" w:pos="7371"/>
          <w:tab w:val="clear" w:pos="9866"/>
          <w:tab w:val="left" w:pos="7080" w:leader="none"/>
          <w:tab w:val="right" w:pos="9923" w:leader="none"/>
        </w:tabs>
        <w:spacing w:before="0" w:after="6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EXTRAKT z české technické normy</w:t>
      </w:r>
    </w:p>
    <w:p>
      <w:pPr>
        <w:pStyle w:val="Textnormy"/>
        <w:rPr>
          <w:b/>
        </w:rPr>
      </w:pPr>
      <w:r>
        <w:rPr>
          <w:b/>
        </w:rPr>
        <w:t>Extrakt nenahrazuje samotnou technickou normu, je pouze informativním materiálem o normě.</w:t>
      </w:r>
    </w:p>
    <w:p>
      <w:pPr>
        <w:pStyle w:val="1Str1Rad"/>
        <w:tabs>
          <w:tab w:val="clear" w:pos="7371"/>
          <w:tab w:val="clear" w:pos="9866"/>
          <w:tab w:val="left" w:pos="7080" w:leader="none"/>
          <w:tab w:val="right" w:pos="9923" w:leader="none"/>
        </w:tabs>
        <w:spacing w:before="0" w:after="60"/>
        <w:rPr>
          <w:b/>
          <w:sz w:val="40"/>
          <w:szCs w:val="40"/>
        </w:rPr>
      </w:pPr>
      <w:r>
        <w:rPr>
          <w:b/>
          <w:sz w:val="40"/>
          <w:szCs w:val="40"/>
        </w:rPr>
        <w:t>03.220.01, 35.240.60</w:t>
        <w:tab/>
      </w:r>
    </w:p>
    <w:tbl>
      <w:tblPr>
        <w:tblW w:w="9923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371"/>
        <w:gridCol w:w="2552"/>
      </w:tblGrid>
      <w:tr>
        <w:trPr>
          <w:trHeight w:val="1701" w:hRule="atLeast"/>
          <w:cantSplit/>
        </w:trPr>
        <w:tc>
          <w:tcPr>
            <w:tcW w:w="737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1StrCN"/>
              <w:spacing w:before="180" w:after="0"/>
              <w:rPr/>
            </w:pPr>
            <w:r>
              <w:rPr/>
              <w:t>Dopravní a cestovní informace (TTI) – TTI předávané rozšiřitelným označovacím jazykem (XML) – Expertní skupiny protokolů pro dopravu (TPEG)</w:t>
              <w:br/>
              <w:t xml:space="preserve"> – Část 4: tpeg-ptiML</w:t>
            </w:r>
          </w:p>
        </w:tc>
        <w:tc>
          <w:tcPr>
            <w:tcW w:w="255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1StrTrZn"/>
              <w:spacing w:before="80" w:after="80"/>
              <w:rPr>
                <w:b/>
                <w:sz w:val="32"/>
                <w:lang w:val="en-US" w:eastAsia="en-US"/>
              </w:rPr>
            </w:pPr>
            <w:r>
              <w:rPr>
                <w:b/>
                <w:sz w:val="32"/>
                <w:lang w:val="en-US" w:eastAsia="en-US"/>
              </w:rPr>
              <w:t>ČSN P CEN ISO/TS 24530-4</w:t>
            </w:r>
          </w:p>
          <w:p>
            <w:pPr>
              <w:pStyle w:val="1StrTrZn"/>
              <w:rPr>
                <w:b/>
                <w:sz w:val="32"/>
                <w:lang w:val="en-US" w:eastAsia="en-US"/>
              </w:rPr>
            </w:pPr>
            <w:r>
              <w:rPr>
                <w:b/>
                <w:sz w:val="32"/>
                <w:lang w:val="en-US" w:eastAsia="en-US"/>
              </w:rPr>
            </w:r>
          </w:p>
          <w:p>
            <w:pPr>
              <w:pStyle w:val="1StrTrZn"/>
              <w:spacing w:before="80" w:after="80"/>
              <w:rPr/>
            </w:pPr>
            <w:r>
              <w:rPr/>
              <w:t>01 8257</w:t>
            </w:r>
          </w:p>
        </w:tc>
      </w:tr>
    </w:tbl>
    <w:p>
      <w:pPr>
        <w:pStyle w:val="Shodnost"/>
        <w:tabs>
          <w:tab w:val="left" w:pos="7800" w:leader="none"/>
        </w:tabs>
        <w:rPr/>
      </w:pPr>
      <w:r>
        <w:rPr/>
        <w:t>Platí od 1.1.2007</w:t>
        <w:tab/>
        <w:t>36 stran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Úvod</w:t>
      </w:r>
    </w:p>
    <w:p>
      <w:pPr>
        <w:pStyle w:val="Textnormy"/>
        <w:rPr/>
      </w:pPr>
      <w:r>
        <w:rPr/>
        <w:t xml:space="preserve">Tato norma je 4. částí souboru norem věnujících se standardizaci protokolu pro dopravu TPEG. Detailně popisuje aplikaci tpeg-ptiML: Informace o veřejné dopravě, za použití XML protokolu, její základní datovou strukturu a dále způsoby kódování a dekódování zpráv s informacemi o veřejné dopravě. </w:t>
      </w:r>
    </w:p>
    <w:p>
      <w:pPr>
        <w:pStyle w:val="Textnormy"/>
        <w:rPr/>
      </w:pPr>
      <w:r>
        <w:rPr/>
        <w:t xml:space="preserve">Cílem aplikace tpeg-ptiML je postihnout všechny druhy veřejné dopravy a to jak dopravy v rámci města tak i meziměstské. Aplikace byla vytvořena s ohledem na efektivitu a jazykovou nezávislost předávání informací o veřejné dopravě přímo od poskytovatele koncovému uživateli, dalším poskytovatelům služeb, vysílacím stanicím, apod. </w:t>
      </w:r>
    </w:p>
    <w:p>
      <w:pPr>
        <w:pStyle w:val="Textnormy"/>
        <w:rPr/>
      </w:pPr>
      <w:r>
        <w:rPr/>
        <w:t xml:space="preserve">Pro správné porozumění tomuto dokumentu je důležité se seznámit se specifikací binární TPEG-PTI (CEN ISO/TS 18234-5). </w:t>
      </w:r>
    </w:p>
    <w:p>
      <w:pPr>
        <w:pStyle w:val="Textnormy"/>
        <w:rPr/>
      </w:pPr>
      <w:r>
        <w:rPr/>
        <w:t xml:space="preserve">TPEG aplikace byly prvotně vytvořeny za účelem poskytování dopravních informací tak, aby bylo umožněno jejich kódování, dekódování, filtrování a následná interpretace jak vizuální, tak hlasová. Původní technologie TPEG využívá bitový formát. Vývoj této původní binární technologie TPEG byl určen především pro přenos prostřednictvím digitálního rádia (DAB) a případně internetem s přenosovou rychlostí do 10 kbit/s. </w:t>
      </w:r>
    </w:p>
    <w:p>
      <w:pPr>
        <w:pStyle w:val="Textnormy"/>
        <w:rPr/>
      </w:pPr>
      <w:r>
        <w:rPr/>
        <w:t xml:space="preserve">V současnosti existují další nosiče, např. ARIB, ATSC, DAB, DVB či internet, které umožňují daleko rychlejší přenosovou rychlost a ekonomický a technický užitek. Právě pro tento účel byl vytvořen formát TPEGu XML (tpegML). TpegML je dále určen poskytovatelům služeb, kteří mají standardizované rozhraní pro vysílání zpráv </w:t>
      </w:r>
      <w:r>
        <w:rPr>
          <w:i/>
        </w:rPr>
        <w:t>(standardised message generation interface)</w:t>
      </w:r>
      <w:r>
        <w:rPr/>
        <w:t xml:space="preserve"> a dále by jim bylo umožněno vyvíjet systém, který by uspokojil jejich požadavky. Tento způsob umožní poskytovatelům služeb vyměňovat předpřipravené informace bez ohledu na systémy generování zpráv </w:t>
      </w:r>
      <w:r>
        <w:rPr>
          <w:i/>
        </w:rPr>
        <w:t>(message generation systems)</w:t>
      </w:r>
      <w:r>
        <w:rPr/>
        <w:t xml:space="preserve">. TpegML dále umožňuje poskytovat jazykově nezávislou službu. To znamená, že v rámci tpegML lze předávat zprávy v kterémkoli jazyce, který zná daný internetový prohlížeč. 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Užití</w:t>
      </w:r>
    </w:p>
    <w:p>
      <w:pPr>
        <w:pStyle w:val="Textnormy"/>
        <w:rPr/>
      </w:pPr>
      <w:r>
        <w:rPr/>
        <w:t>Technologie TPEG je určena pro poskytovatele služeb, neboť byla navržena pro širokou škálu aplikací, které vyžadují efektivní přenos z jednoho bodu do více bodů přes veskrze nespolehlivé širokopásmové vysílání.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Souvisící normy</w:t>
      </w:r>
    </w:p>
    <w:p>
      <w:pPr>
        <w:pStyle w:val="Textnormy"/>
        <w:rPr/>
      </w:pPr>
      <w:r>
        <w:rPr/>
        <w:t>Pro lepší pochopení této normy je vhodné projít analogickou normu v binárním kódu CEN ISO/TS 18234-5.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1 Předmět normy</w:t>
      </w:r>
    </w:p>
    <w:p>
      <w:pPr>
        <w:pStyle w:val="Textnormy"/>
        <w:rPr/>
      </w:pPr>
      <w:r>
        <w:rPr/>
        <w:t>TPEG-PTI umožňuje popis jednotlivých služeb a dále také obecný popis trasy, služeb a širší oblasti. Informace o veřejné dopravě jsou většinou využívány v jednom z následujících případů:</w:t>
      </w:r>
    </w:p>
    <w:p>
      <w:pPr>
        <w:pStyle w:val="Seznamvnorm"/>
        <w:numPr>
          <w:ilvl w:val="0"/>
          <w:numId w:val="3"/>
        </w:numPr>
        <w:ind w:hanging="0" w:start="0"/>
        <w:rPr/>
      </w:pPr>
      <w:r>
        <w:rPr/>
        <w:t>elektronické informační tabule na zastávkách veřejné dopravy,</w:t>
      </w:r>
    </w:p>
    <w:p>
      <w:pPr>
        <w:pStyle w:val="Seznamvnorm"/>
        <w:numPr>
          <w:ilvl w:val="0"/>
          <w:numId w:val="3"/>
        </w:numPr>
        <w:ind w:hanging="0" w:start="0"/>
        <w:rPr/>
      </w:pPr>
      <w:r>
        <w:rPr/>
        <w:t>zprávy o stavu sítě,</w:t>
      </w:r>
    </w:p>
    <w:p>
      <w:pPr>
        <w:pStyle w:val="Seznamvnorm"/>
        <w:numPr>
          <w:ilvl w:val="0"/>
          <w:numId w:val="3"/>
        </w:numPr>
        <w:ind w:hanging="0" w:start="0"/>
        <w:rPr/>
      </w:pPr>
      <w:r>
        <w:rPr/>
        <w:t>popis jednotlivých služeb,</w:t>
      </w:r>
    </w:p>
    <w:p>
      <w:pPr>
        <w:pStyle w:val="Seznamvnorm"/>
        <w:numPr>
          <w:ilvl w:val="0"/>
          <w:numId w:val="3"/>
        </w:numPr>
        <w:ind w:hanging="0" w:start="0"/>
        <w:rPr/>
      </w:pPr>
      <w:r>
        <w:rPr/>
        <w:t>aktuální zprávy.</w:t>
      </w:r>
    </w:p>
    <w:p>
      <w:pPr>
        <w:pStyle w:val="Textnormy"/>
        <w:rPr/>
      </w:pPr>
      <w:r>
        <w:rPr/>
        <w:t>Zprávy TPEG-PTI mohou být seskupovány tak, aby výsledná „prezentace“ měla charakter na který je uživatel zvyklý, např.:</w:t>
      </w:r>
    </w:p>
    <w:p>
      <w:pPr>
        <w:pStyle w:val="Seznamvnorm"/>
        <w:numPr>
          <w:ilvl w:val="0"/>
          <w:numId w:val="3"/>
        </w:numPr>
        <w:ind w:hanging="0" w:start="0"/>
        <w:rPr/>
      </w:pPr>
      <w:r>
        <w:rPr/>
        <w:t>zprávy o nehodách,</w:t>
      </w:r>
    </w:p>
    <w:p>
      <w:pPr>
        <w:pStyle w:val="Seznamvnorm"/>
        <w:numPr>
          <w:ilvl w:val="0"/>
          <w:numId w:val="3"/>
        </w:numPr>
        <w:ind w:hanging="0" w:start="0"/>
        <w:rPr/>
      </w:pPr>
      <w:r>
        <w:rPr/>
        <w:t>informace o zastávkách a konečných stanicích,</w:t>
      </w:r>
    </w:p>
    <w:p>
      <w:pPr>
        <w:pStyle w:val="Seznamvnorm"/>
        <w:numPr>
          <w:ilvl w:val="0"/>
          <w:numId w:val="3"/>
        </w:numPr>
        <w:ind w:hanging="0" w:start="0"/>
        <w:rPr/>
      </w:pPr>
      <w:r>
        <w:rPr/>
        <w:t>informace o trase,</w:t>
      </w:r>
    </w:p>
    <w:p>
      <w:pPr>
        <w:pStyle w:val="Seznamvnorm"/>
        <w:numPr>
          <w:ilvl w:val="0"/>
          <w:numId w:val="3"/>
        </w:numPr>
        <w:ind w:hanging="0" w:start="0"/>
        <w:rPr/>
      </w:pPr>
      <w:r>
        <w:rPr/>
        <w:t xml:space="preserve">informace o jednotlivých službách. 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3 Zkratky</w:t>
      </w:r>
    </w:p>
    <w:p>
      <w:pPr>
        <w:pStyle w:val="Textnormy"/>
        <w:rPr/>
      </w:pPr>
      <w:r>
        <w:rPr/>
        <w:t xml:space="preserve">Tato kapitola uvádí 14 zkratek, podstatné z nich jsou uvedeny níže: </w:t>
      </w:r>
    </w:p>
    <w:p>
      <w:pPr>
        <w:pStyle w:val="Textnormy"/>
        <w:ind w:hanging="1440" w:start="1440" w:end="0"/>
        <w:rPr/>
      </w:pPr>
      <w:r>
        <w:rPr>
          <w:b/>
        </w:rPr>
        <w:t>3.1 ARIB</w:t>
      </w:r>
      <w:r>
        <w:rPr/>
        <w:tab/>
        <w:t xml:space="preserve">association of radio industries and business – Japonská asociace průmyslu a obchodu rádií </w:t>
      </w:r>
    </w:p>
    <w:p>
      <w:pPr>
        <w:pStyle w:val="Textnormy"/>
        <w:rPr/>
      </w:pPr>
      <w:r>
        <w:rPr>
          <w:b/>
        </w:rPr>
        <w:t>3.2 ATSC</w:t>
        <w:tab/>
      </w:r>
      <w:r>
        <w:rPr/>
        <w:t xml:space="preserve">American television standards committee – americká televizní standardizační komise</w:t>
      </w:r>
    </w:p>
    <w:p>
      <w:pPr>
        <w:pStyle w:val="Textnormy"/>
        <w:rPr/>
      </w:pPr>
      <w:r>
        <w:rPr>
          <w:b/>
        </w:rPr>
        <w:t>3.3 DAB</w:t>
      </w:r>
      <w:r>
        <w:rPr/>
        <w:tab/>
        <w:t xml:space="preserve">digital audio broadcasting – digitální audio vysílání </w:t>
      </w:r>
    </w:p>
    <w:p>
      <w:pPr>
        <w:pStyle w:val="Textnormy"/>
        <w:rPr/>
      </w:pPr>
      <w:r>
        <w:rPr>
          <w:b/>
        </w:rPr>
        <w:t>3.5 DVB</w:t>
      </w:r>
      <w:r>
        <w:rPr/>
        <w:tab/>
        <w:t>digital video broadcasting – digitální vysílání videosignálu</w:t>
      </w:r>
    </w:p>
    <w:p>
      <w:pPr>
        <w:pStyle w:val="Textnormy"/>
        <w:rPr/>
      </w:pPr>
      <w:r>
        <w:rPr>
          <w:b/>
        </w:rPr>
        <w:t>3.6 EBU</w:t>
      </w:r>
      <w:r>
        <w:rPr/>
        <w:tab/>
        <w:t xml:space="preserve">European broadcasting union – Evropská vysílací unie </w:t>
      </w:r>
    </w:p>
    <w:p>
      <w:pPr>
        <w:pStyle w:val="Textnormy"/>
        <w:rPr>
          <w:i/>
        </w:rPr>
      </w:pPr>
      <w:r>
        <w:rPr>
          <w:b/>
        </w:rPr>
        <w:t>3.8 PTI</w:t>
      </w:r>
      <w:r>
        <w:rPr/>
        <w:tab/>
        <w:tab/>
        <w:t xml:space="preserve">public transport information – dopravní informace o veřejné dopravě </w:t>
      </w:r>
    </w:p>
    <w:p>
      <w:pPr>
        <w:pStyle w:val="Textnormy"/>
        <w:ind w:hanging="1440" w:start="1440" w:end="0"/>
        <w:rPr>
          <w:b/>
        </w:rPr>
      </w:pPr>
      <w:r>
        <w:rPr>
          <w:b/>
        </w:rPr>
        <w:t>3.9 TPEG</w:t>
      </w:r>
      <w:r>
        <w:rPr/>
        <w:tab/>
      </w:r>
      <w:r>
        <w:rPr>
          <w:spacing w:val="-2"/>
        </w:rPr>
        <w:t xml:space="preserve">Transports protocol experts group – </w:t>
      </w:r>
      <w:r>
        <w:rPr/>
        <w:t>Expertní skupina dopravních protokolů,</w:t>
      </w:r>
      <w:r>
        <w:rPr>
          <w:spacing w:val="-2"/>
        </w:rPr>
        <w:t xml:space="preserve"> forma strukturovaného zápisu informací o dopravě</w:t>
      </w:r>
      <w:r>
        <w:rPr>
          <w:b/>
        </w:rPr>
        <w:t xml:space="preserve"> </w:t>
      </w:r>
    </w:p>
    <w:p>
      <w:pPr>
        <w:pStyle w:val="Textnormy"/>
        <w:ind w:hanging="1440" w:start="1440" w:end="0"/>
        <w:rPr/>
      </w:pPr>
      <w:r>
        <w:rPr>
          <w:b/>
        </w:rPr>
        <w:t>tpegML</w:t>
      </w:r>
      <w:r>
        <w:rPr/>
        <w:tab/>
        <w:t xml:space="preserve">aplikace tpeg XML psaná malými písmeny, což ji odlišuje od binárních aplikací TPEG, psané s velkými písmeny. </w:t>
      </w:r>
    </w:p>
    <w:p>
      <w:pPr>
        <w:pStyle w:val="Textnormy"/>
        <w:rPr>
          <w:spacing w:val="-2"/>
        </w:rPr>
      </w:pPr>
      <w:r>
        <w:rPr>
          <w:b/>
          <w:spacing w:val="-2"/>
        </w:rPr>
        <w:t>tpeg-loc</w:t>
        <w:tab/>
      </w:r>
      <w:r>
        <w:rPr>
          <w:spacing w:val="-2"/>
        </w:rPr>
        <w:t xml:space="preserve">location referencing for applications – označování polohy pro aplikace </w:t>
      </w:r>
    </w:p>
    <w:p>
      <w:pPr>
        <w:pStyle w:val="Textnormy"/>
        <w:rPr>
          <w:spacing w:val="-2"/>
        </w:rPr>
      </w:pPr>
      <w:r>
        <w:rPr>
          <w:b/>
          <w:spacing w:val="-2"/>
        </w:rPr>
        <w:t>TTI</w:t>
      </w:r>
      <w:r>
        <w:rPr>
          <w:spacing w:val="-2"/>
        </w:rPr>
        <w:tab/>
        <w:tab/>
        <w:t>traffic and travel information – dopravní a cestovní informace</w:t>
      </w:r>
    </w:p>
    <w:p>
      <w:pPr>
        <w:pStyle w:val="Textnormy"/>
        <w:rPr>
          <w:spacing w:val="-2"/>
        </w:rPr>
      </w:pPr>
      <w:r>
        <w:rPr>
          <w:b/>
          <w:spacing w:val="-2"/>
        </w:rPr>
        <w:t>XML</w:t>
      </w:r>
      <w:r>
        <w:rPr>
          <w:spacing w:val="-2"/>
        </w:rPr>
        <w:tab/>
        <w:tab/>
        <w:t>extensible markup language – rozšiřitelný značkovací jazyk</w:t>
      </w:r>
    </w:p>
    <w:p>
      <w:pPr>
        <w:pStyle w:val="Textnormy"/>
        <w:rPr/>
      </w:pPr>
      <w:r>
        <w:rPr>
          <w:spacing w:val="-2"/>
        </w:rPr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4</w:t>
      </w:r>
      <w:r>
        <w:rPr>
          <w:rFonts w:eastAsia="Arial Unicode MS" w:cs="Arial Unicode MS" w:hint="eastAsia" w:ascii="Arial Unicode MS" w:hAnsi="Arial Unicode MS"/>
          <w:b/>
          <w:sz w:val="22"/>
          <w:szCs w:val="22"/>
        </w:rPr>
        <w:t> </w:t>
      </w:r>
      <w:r>
        <w:rPr>
          <w:b/>
          <w:sz w:val="22"/>
          <w:szCs w:val="22"/>
        </w:rPr>
        <w:t>Struktura normy</w:t>
      </w:r>
    </w:p>
    <w:p>
      <w:pPr>
        <w:pStyle w:val="Textnormy"/>
        <w:rPr>
          <w:spacing w:val="-2"/>
        </w:rPr>
      </w:pPr>
      <w:r>
        <w:rPr>
          <w:spacing w:val="-2"/>
        </w:rPr>
        <w:t xml:space="preserve">Tato norma je rozdělena do částí, které popisují každá jeden prvek, používaný v rámci tpegML. Článek vždy specifikuje účel daného prvku, příslušnou DTD definici a příklad. Úplný seznam .dtd a .ent souborů je uveden v přílohách A a B. </w:t>
      </w:r>
    </w:p>
    <w:p>
      <w:pPr>
        <w:pStyle w:val="Textnormy"/>
        <w:rPr>
          <w:spacing w:val="-2"/>
        </w:rPr>
      </w:pPr>
      <w:r>
        <w:rPr>
          <w:spacing w:val="-2"/>
        </w:rPr>
        <w:t xml:space="preserve">Seznamy atributů jednotlivých prvků, používaných v tpegML, jsou uvedeny v tabulkách specifikací TPEG. V XML struktuře jsou jednotlivé vstupy kódovány. Atributy prvků v této technické specifikaci jsou převzaté z příslušné části CEN ISO/TS 18234. </w:t>
      </w:r>
    </w:p>
    <w:p>
      <w:pPr>
        <w:pStyle w:val="Textnormy"/>
        <w:rPr>
          <w:spacing w:val="-2"/>
        </w:rPr>
      </w:pPr>
      <w:r>
        <w:rPr>
          <w:spacing w:val="-2"/>
        </w:rPr>
        <w:t xml:space="preserve">Pro kódování prvků je používán formát ptiX_Y, kdy X vyjadřuje číslo tabulky a Y číslo řádku v dané tabulce (například pti01_1). 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111625" cy="189738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1" t="-24" r="-11" b="-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625" cy="1897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normy"/>
        <w:rPr>
          <w:spacing w:val="-2"/>
        </w:rPr>
      </w:pPr>
      <w:r>
        <w:rPr>
          <w:spacing w:val="-2"/>
        </w:rPr>
        <w:t xml:space="preserve">Kapitola dále obsahuje 2 vzorové XML: „ Bezpečnostní výstraha na King´s Cross – všechny služby přerušeny“ a „Informace o speciální službě Expresu Hogwart“. </w:t>
      </w:r>
    </w:p>
    <w:p>
      <w:pPr>
        <w:pStyle w:val="Textnormy"/>
        <w:rPr>
          <w:color w:val="FF0000"/>
          <w:spacing w:val="-2"/>
        </w:rPr>
      </w:pPr>
      <w:r>
        <w:rPr>
          <w:color w:val="FF0000"/>
          <w:spacing w:val="-2"/>
        </w:rPr>
        <w:t xml:space="preserve"/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5</w:t>
      </w:r>
      <w:r>
        <w:rPr>
          <w:rFonts w:hint="eastAsia"/>
          <w:b/>
          <w:sz w:val="22"/>
          <w:szCs w:val="22"/>
        </w:rPr>
        <w:t> </w:t>
      </w:r>
      <w:r>
        <w:rPr>
          <w:b/>
          <w:sz w:val="22"/>
          <w:szCs w:val="22"/>
        </w:rPr>
        <w:t>Aplikace tpeg-ptiML</w:t>
      </w:r>
    </w:p>
    <w:p>
      <w:pPr>
        <w:pStyle w:val="Textnormy"/>
        <w:rPr>
          <w:spacing w:val="-2"/>
        </w:rPr>
      </w:pPr>
      <w:r>
        <w:rPr>
          <w:spacing w:val="-2"/>
        </w:rPr>
        <w:t xml:space="preserve">Popis tpeg-ptiML je uveden v přílohách A a B: tpeg-ptiML.dtd a tpeg-ptiML.ent soubory. </w:t>
      </w:r>
    </w:p>
    <w:p>
      <w:pPr>
        <w:pStyle w:val="Textnormy"/>
        <w:rPr>
          <w:spacing w:val="-2"/>
        </w:rPr>
      </w:pPr>
      <w:r>
        <w:rPr>
          <w:spacing w:val="-2"/>
        </w:rPr>
        <w:t xml:space="preserve">Tato kapitola přináší seznam hodnot, jakých může dosahovat a způsoby, jakými je možné prostřednictvím tpeg-ptiML předat informaci o: </w:t>
      </w:r>
    </w:p>
    <w:p>
      <w:pPr>
        <w:pStyle w:val="Seznamvnorm"/>
        <w:numPr>
          <w:ilvl w:val="0"/>
          <w:numId w:val="3"/>
        </w:numPr>
        <w:tabs>
          <w:tab w:val="clear" w:pos="708"/>
          <w:tab w:val="left" w:pos="276" w:leader="none"/>
        </w:tabs>
        <w:ind w:hanging="0" w:start="0"/>
        <w:rPr/>
      </w:pPr>
      <w:r>
        <w:rPr/>
        <w:t>frekvenci veřejné dopravy,</w:t>
      </w:r>
    </w:p>
    <w:p>
      <w:pPr>
        <w:pStyle w:val="Seznamvnorm"/>
        <w:numPr>
          <w:ilvl w:val="0"/>
          <w:numId w:val="3"/>
        </w:numPr>
        <w:tabs>
          <w:tab w:val="clear" w:pos="708"/>
          <w:tab w:val="left" w:pos="276" w:leader="none"/>
        </w:tabs>
        <w:ind w:hanging="0" w:start="0"/>
        <w:rPr/>
      </w:pPr>
      <w:r>
        <w:rPr/>
        <w:t xml:space="preserve">způsobu veřejné dopravy (dopravním prostředku, typu prostředku, typu dopravy, názvu dopravce), </w:t>
      </w:r>
    </w:p>
    <w:p>
      <w:pPr>
        <w:pStyle w:val="Seznamvnorm"/>
        <w:numPr>
          <w:ilvl w:val="0"/>
          <w:numId w:val="3"/>
        </w:numPr>
        <w:tabs>
          <w:tab w:val="clear" w:pos="708"/>
          <w:tab w:val="left" w:pos="276" w:leader="none"/>
        </w:tabs>
        <w:ind w:hanging="0" w:start="0"/>
        <w:rPr/>
      </w:pPr>
      <w:r>
        <w:rPr/>
        <w:t xml:space="preserve">informacích o službách (např. stav dané služby, možnost rezervace, frekvence, potřebná jízdenka, stavu služby, další poskytované služby, status rezervace, informace o jízdence, důvod události, druh jízdního řádu, popisu trasy - místo a čas doručení služby, specifikace, formát uvedeného času, den služby, specifikace trasy, atp.), </w:t>
      </w:r>
    </w:p>
    <w:p>
      <w:pPr>
        <w:pStyle w:val="Seznamvnorm"/>
        <w:numPr>
          <w:ilvl w:val="0"/>
          <w:numId w:val="3"/>
        </w:numPr>
        <w:tabs>
          <w:tab w:val="clear" w:pos="708"/>
          <w:tab w:val="left" w:pos="276" w:leader="none"/>
        </w:tabs>
        <w:ind w:hanging="0" w:start="0"/>
        <w:rPr/>
      </w:pPr>
      <w:r>
        <w:rPr/>
        <w:t>doplňujících informacích,</w:t>
      </w:r>
    </w:p>
    <w:p>
      <w:pPr>
        <w:pStyle w:val="Seznamvnorm"/>
        <w:numPr>
          <w:ilvl w:val="0"/>
          <w:numId w:val="3"/>
        </w:numPr>
        <w:tabs>
          <w:tab w:val="clear" w:pos="708"/>
          <w:tab w:val="left" w:pos="276" w:leader="none"/>
        </w:tabs>
        <w:ind w:hanging="0" w:start="0"/>
        <w:rPr/>
      </w:pPr>
      <w:r>
        <w:rPr/>
        <w:t xml:space="preserve">odkazu na navazující služby. </w:t>
      </w:r>
    </w:p>
    <w:p>
      <w:pPr>
        <w:pStyle w:val="Textnormy"/>
        <w:rPr>
          <w:spacing w:val="-2"/>
        </w:rPr>
      </w:pPr>
      <w:r>
        <w:rPr>
          <w:spacing w:val="-2"/>
        </w:rPr>
      </w:r>
    </w:p>
    <w:p>
      <w:pPr>
        <w:pStyle w:val="Textnormy"/>
        <w:rPr>
          <w:spacing w:val="-2"/>
        </w:rPr>
      </w:pPr>
      <w:r>
        <w:rPr>
          <w:spacing w:val="-2"/>
        </w:rPr>
      </w:r>
    </w:p>
    <w:p>
      <w:pPr>
        <w:pStyle w:val="Textnormy"/>
        <w:rPr>
          <w:spacing w:val="-2"/>
        </w:rPr>
      </w:pPr>
      <w:r>
        <w:rPr>
          <w:spacing w:val="-2"/>
        </w:rPr>
      </w:r>
    </w:p>
    <w:p>
      <w:pPr>
        <w:pStyle w:val="Textnormy"/>
        <w:rPr>
          <w:spacing w:val="-2"/>
        </w:rPr>
      </w:pPr>
      <w:r>
        <w:rPr>
          <w:spacing w:val="-2"/>
        </w:rPr>
      </w:r>
    </w:p>
    <w:p>
      <w:pPr>
        <w:pStyle w:val="Textnormy"/>
        <w:rPr>
          <w:spacing w:val="-2"/>
        </w:rPr>
      </w:pPr>
      <w:r>
        <w:rPr>
          <w:spacing w:val="-2"/>
        </w:rPr>
      </w:r>
    </w:p>
    <w:p>
      <w:pPr>
        <w:pStyle w:val="Textnormy"/>
        <w:rPr>
          <w:spacing w:val="-2"/>
        </w:rPr>
      </w:pPr>
      <w:r>
        <w:rPr>
          <w:spacing w:val="-2"/>
        </w:rPr>
      </w:r>
    </w:p>
    <w:p>
      <w:pPr>
        <w:pStyle w:val="Textnormy"/>
        <w:rPr>
          <w:spacing w:val="-2"/>
        </w:rPr>
      </w:pPr>
      <w:r>
        <w:rPr>
          <w:spacing w:val="-2"/>
        </w:rPr>
      </w:r>
    </w:p>
    <w:p>
      <w:pPr>
        <w:pStyle w:val="Textnormy"/>
        <w:rPr>
          <w:spacing w:val="-2"/>
        </w:rPr>
      </w:pPr>
      <w:r>
        <w:rPr>
          <w:spacing w:val="-2"/>
        </w:rPr>
      </w:r>
    </w:p>
    <w:p>
      <w:pPr>
        <w:pStyle w:val="Textnormy"/>
        <w:rPr>
          <w:spacing w:val="-2"/>
        </w:rPr>
      </w:pPr>
      <w:r>
        <w:rPr>
          <w:spacing w:val="-2"/>
        </w:rPr>
      </w:r>
    </w:p>
    <w:p>
      <w:pPr>
        <w:pStyle w:val="Textnormy"/>
        <w:rPr>
          <w:spacing w:val="-2"/>
        </w:rPr>
      </w:pPr>
      <w:r>
        <w:rPr>
          <w:spacing w:val="-2"/>
        </w:rPr>
      </w:r>
    </w:p>
    <w:p>
      <w:pPr>
        <w:pStyle w:val="Textnormy"/>
        <w:rPr>
          <w:spacing w:val="-2"/>
        </w:rPr>
      </w:pPr>
      <w:r>
        <w:rPr>
          <w:spacing w:val="-2"/>
        </w:rPr>
      </w:r>
    </w:p>
    <w:p>
      <w:pPr>
        <w:pStyle w:val="Textnormy"/>
        <w:rPr>
          <w:spacing w:val="-2"/>
        </w:rPr>
      </w:pPr>
      <w:r>
        <w:rPr>
          <w:spacing w:val="-2"/>
        </w:rPr>
      </w:r>
    </w:p>
    <w:p>
      <w:pPr>
        <w:pStyle w:val="Textnormy"/>
        <w:rPr>
          <w:spacing w:val="-2"/>
        </w:rPr>
      </w:pPr>
      <w:r>
        <w:rPr>
          <w:spacing w:val="-2"/>
        </w:rPr>
      </w:r>
    </w:p>
    <w:p>
      <w:pPr>
        <w:pStyle w:val="Textnormy"/>
        <w:rPr>
          <w:spacing w:val="-2"/>
        </w:rPr>
      </w:pPr>
      <w:r>
        <w:rPr>
          <w:spacing w:val="-2"/>
        </w:rPr>
      </w:r>
    </w:p>
    <w:p>
      <w:pPr>
        <w:pStyle w:val="Textnormy"/>
        <w:rPr>
          <w:spacing w:val="-2"/>
        </w:rPr>
      </w:pPr>
      <w:r>
        <w:rPr>
          <w:spacing w:val="-2"/>
        </w:rPr>
      </w:r>
    </w:p>
    <w:p>
      <w:pPr>
        <w:pStyle w:val="Textnormy"/>
        <w:rPr>
          <w:spacing w:val="-2"/>
        </w:rPr>
      </w:pPr>
      <w:r>
        <w:rPr>
          <w:spacing w:val="-2"/>
        </w:rPr>
      </w:r>
    </w:p>
    <w:p>
      <w:pPr>
        <w:pStyle w:val="Textnormy"/>
        <w:rPr>
          <w:spacing w:val="-2"/>
        </w:rPr>
      </w:pPr>
      <w:r>
        <w:rPr>
          <w:spacing w:val="-2"/>
        </w:rPr>
      </w:r>
    </w:p>
    <w:p>
      <w:pPr>
        <w:pStyle w:val="Textnormy"/>
        <w:rPr>
          <w:spacing w:val="-2"/>
        </w:rPr>
      </w:pPr>
      <w:r>
        <w:rPr>
          <w:spacing w:val="-2"/>
        </w:rPr>
      </w:r>
    </w:p>
    <w:p>
      <w:pPr>
        <w:pStyle w:val="Textnormy"/>
        <w:rPr>
          <w:spacing w:val="-2"/>
        </w:rPr>
      </w:pPr>
      <w:r>
        <w:rPr>
          <w:spacing w:val="-2"/>
        </w:rPr>
        <w:t>Příklad seznamu hodnot, kterých může nabývat prvek „druhy dopravy“: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205605" cy="498792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6" t="-14" r="-16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605" cy="4987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normy"/>
        <w:rPr>
          <w:spacing w:val="-2"/>
        </w:rPr>
      </w:pPr>
      <w:r>
        <w:rPr>
          <w:spacing w:val="-2"/>
        </w:rPr>
      </w:r>
    </w:p>
    <w:p>
      <w:pPr>
        <w:pStyle w:val="Textnormy"/>
        <w:rPr>
          <w:spacing w:val="-2"/>
        </w:rPr>
      </w:pPr>
      <w:r>
        <w:rPr>
          <w:spacing w:val="-2"/>
        </w:rPr>
      </w:r>
    </w:p>
    <w:p>
      <w:pPr>
        <w:pStyle w:val="Textnormy"/>
        <w:rPr>
          <w:spacing w:val="-2"/>
        </w:rPr>
      </w:pPr>
      <w:r>
        <w:rPr>
          <w:spacing w:val="-2"/>
        </w:rPr>
      </w:r>
    </w:p>
    <w:p>
      <w:pPr>
        <w:pStyle w:val="Textnormy"/>
        <w:rPr>
          <w:spacing w:val="-2"/>
        </w:rPr>
      </w:pPr>
      <w:r>
        <w:rPr>
          <w:spacing w:val="-2"/>
        </w:rPr>
      </w:r>
    </w:p>
    <w:p>
      <w:pPr>
        <w:pStyle w:val="Textnormy"/>
        <w:rPr>
          <w:spacing w:val="-2"/>
        </w:rPr>
      </w:pPr>
      <w:r>
        <w:rPr>
          <w:spacing w:val="-2"/>
        </w:rPr>
      </w:r>
    </w:p>
    <w:p>
      <w:pPr>
        <w:pStyle w:val="Textnormy"/>
        <w:rPr>
          <w:spacing w:val="-2"/>
        </w:rPr>
      </w:pPr>
      <w:r>
        <w:rPr>
          <w:spacing w:val="-2"/>
        </w:rPr>
      </w:r>
    </w:p>
    <w:p>
      <w:pPr>
        <w:pStyle w:val="Textnormy"/>
        <w:rPr>
          <w:spacing w:val="-2"/>
        </w:rPr>
      </w:pPr>
      <w:r>
        <w:rPr>
          <w:spacing w:val="-2"/>
        </w:rPr>
      </w:r>
    </w:p>
    <w:p>
      <w:pPr>
        <w:pStyle w:val="Textnormy"/>
        <w:rPr>
          <w:spacing w:val="-2"/>
        </w:rPr>
      </w:pPr>
      <w:r>
        <w:rPr>
          <w:spacing w:val="-2"/>
        </w:rPr>
      </w:r>
    </w:p>
    <w:p>
      <w:pPr>
        <w:pStyle w:val="Textnormy"/>
        <w:rPr>
          <w:spacing w:val="-2"/>
        </w:rPr>
      </w:pPr>
      <w:r>
        <w:rPr>
          <w:spacing w:val="-2"/>
        </w:rPr>
      </w:r>
    </w:p>
    <w:p>
      <w:pPr>
        <w:pStyle w:val="Textnormy"/>
        <w:rPr>
          <w:spacing w:val="-2"/>
        </w:rPr>
      </w:pPr>
      <w:r>
        <w:rPr>
          <w:spacing w:val="-2"/>
        </w:rPr>
      </w:r>
    </w:p>
    <w:p>
      <w:pPr>
        <w:pStyle w:val="Textnormy"/>
        <w:rPr>
          <w:spacing w:val="-2"/>
        </w:rPr>
      </w:pPr>
      <w:r>
        <w:rPr>
          <w:spacing w:val="-2"/>
        </w:rPr>
      </w:r>
    </w:p>
    <w:p>
      <w:pPr>
        <w:pStyle w:val="Textnormy"/>
        <w:rPr>
          <w:spacing w:val="-2"/>
        </w:rPr>
      </w:pPr>
      <w:r>
        <w:rPr>
          <w:spacing w:val="-2"/>
        </w:rPr>
      </w:r>
    </w:p>
    <w:p>
      <w:pPr>
        <w:pStyle w:val="Textnormy"/>
        <w:rPr>
          <w:spacing w:val="-2"/>
        </w:rPr>
      </w:pPr>
      <w:r>
        <w:rPr>
          <w:spacing w:val="-2"/>
        </w:rPr>
      </w:r>
    </w:p>
    <w:p>
      <w:pPr>
        <w:pStyle w:val="Textnormy"/>
        <w:rPr>
          <w:spacing w:val="-2"/>
        </w:rPr>
      </w:pPr>
      <w:r>
        <w:rPr>
          <w:spacing w:val="-2"/>
        </w:rPr>
      </w:r>
    </w:p>
    <w:p>
      <w:pPr>
        <w:pStyle w:val="Textnormy"/>
        <w:rPr>
          <w:spacing w:val="-2"/>
        </w:rPr>
      </w:pPr>
      <w:r>
        <w:rPr>
          <w:spacing w:val="-2"/>
        </w:rPr>
      </w:r>
    </w:p>
    <w:p>
      <w:pPr>
        <w:pStyle w:val="Textnormy"/>
        <w:rPr>
          <w:spacing w:val="-2"/>
        </w:rPr>
      </w:pPr>
      <w:r>
        <w:rPr>
          <w:spacing w:val="-2"/>
        </w:rPr>
      </w:r>
    </w:p>
    <w:p>
      <w:pPr>
        <w:pStyle w:val="Textnormy"/>
        <w:rPr>
          <w:spacing w:val="-2"/>
        </w:rPr>
      </w:pPr>
      <w:r>
        <w:rPr>
          <w:spacing w:val="-2"/>
        </w:rPr>
        <w:t>Příklady hodnot pro prvek „stav služby“: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377565" cy="316674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9" t="-20" r="-19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7565" cy="3166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normy"/>
        <w:rPr>
          <w:spacing w:val="-2"/>
        </w:rPr>
      </w:pPr>
      <w:r>
        <w:rPr>
          <w:spacing w:val="-2"/>
        </w:rPr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Příloha A (normativní) DTD pro tpeg-ptiML aplikace TPEG Informace o veřejné dopravě (tpeg-ptiML.dtd)</w:t>
      </w:r>
    </w:p>
    <w:p>
      <w:pPr>
        <w:pStyle w:val="Textnormy"/>
        <w:rPr>
          <w:color w:val="FF0000"/>
        </w:rPr>
      </w:pPr>
      <w:r>
        <w:rPr/>
        <w:t xml:space="preserve">Tato příloha obsahuje příklady zápisu jednotlivých prvků v XML struktuře. </w:t>
      </w:r>
      <w:r>
        <w:rPr>
          <w:color w:val="FF0000"/>
        </w:rPr>
        <w:t>Část vzorové XML struktury je uvedena níže: chybí originál</w:t>
      </w:r>
    </w:p>
    <w:p>
      <w:pPr>
        <w:pStyle w:val="Textnormy"/>
        <w:rPr>
          <w:spacing w:val="-2"/>
        </w:rPr>
      </w:pPr>
      <w:r>
        <w:rPr>
          <w:color w:val="FF0000"/>
          <w:spacing w:val="-2"/>
        </w:rPr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Příloha B (normativní) Reference externích prvků pro tpeg-ptiML – aplikace TPEG Informace o veřejné dopravě (tpeg-ptiML.ent). </w:t>
      </w:r>
    </w:p>
    <w:p>
      <w:pPr>
        <w:pStyle w:val="Textnormy"/>
        <w:rPr>
          <w:spacing w:val="-2"/>
        </w:rPr>
      </w:pPr>
      <w:r>
        <w:rPr>
          <w:spacing w:val="-2"/>
        </w:rPr>
        <w:t xml:space="preserve">Příloha obsahuje seznamy kódů jednotlivých atributů prvků, používaných v rámci tpeg-ptiML. </w:t>
      </w:r>
    </w:p>
    <w:p>
      <w:pPr>
        <w:pStyle w:val="Textnormy"/>
        <w:rPr>
          <w:spacing w:val="-2"/>
        </w:rPr>
      </w:pPr>
      <w:r>
        <w:rPr>
          <w:spacing w:val="-2"/>
        </w:rPr>
        <w:t>Příklad</w:t>
      </w:r>
      <w:r>
        <w:rPr/>
        <w:t xml:space="preserve"> hodnoty pro „typ dne“</w:t>
      </w:r>
      <w:r>
        <w:rPr>
          <w:spacing w:val="-2"/>
        </w:rPr>
        <w:t>:</w:t>
      </w:r>
    </w:p>
    <w:p>
      <w:pPr>
        <w:pStyle w:val="Normal"/>
        <w:jc w:val="center"/>
        <w:rPr/>
      </w:pPr>
      <w:r>
        <w:rPr/>
        <w:t xml:space="preserve">   </w:t>
      </w:r>
      <w:r>
        <w:rPr/>
        <w:drawing>
          <wp:inline distT="0" distB="0" distL="0" distR="0">
            <wp:extent cx="3519170" cy="276733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23" t="-30" r="-23" b="-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170" cy="2767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normy"/>
        <w:rPr/>
      </w:pPr>
      <w:r>
        <w:rPr/>
      </w:r>
    </w:p>
    <w:p>
      <w:pPr>
        <w:pStyle w:val="Textnormy"/>
        <w:rPr/>
      </w:pPr>
      <w:r>
        <w:rPr/>
      </w:r>
    </w:p>
    <w:p>
      <w:pPr>
        <w:pStyle w:val="Textnormy"/>
        <w:rPr/>
      </w:pPr>
      <w:r>
        <w:rPr/>
      </w:r>
    </w:p>
    <w:p>
      <w:pPr>
        <w:pStyle w:val="Textnormy"/>
        <w:rPr>
          <w:spacing w:val="-2"/>
        </w:rPr>
      </w:pPr>
      <w:r>
        <w:rPr>
          <w:spacing w:val="-2"/>
        </w:rPr>
        <w:t>Příklad</w:t>
      </w:r>
      <w:r>
        <w:rPr/>
        <w:t xml:space="preserve"> hodnoty pro „lokalizaci trasy“</w:t>
      </w:r>
      <w:r>
        <w:rPr>
          <w:spacing w:val="-2"/>
        </w:rPr>
        <w:t>:</w:t>
      </w:r>
    </w:p>
    <w:p>
      <w:pPr>
        <w:pStyle w:val="Normal"/>
        <w:ind w:start="2124" w:end="0"/>
        <w:rPr/>
      </w:pPr>
      <w:r>
        <w:rPr/>
        <w:drawing>
          <wp:inline distT="0" distB="0" distL="0" distR="0">
            <wp:extent cx="3633470" cy="412940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6" t="-14" r="-16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470" cy="4129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footerReference w:type="default" r:id="rId7"/>
      <w:type w:val="nextPage"/>
      <w:pgSz w:w="11906" w:h="16838"/>
      <w:pgMar w:left="1417" w:right="1417" w:gutter="0" w:header="0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ee" w:characterSet="windows-1250"/>
    <w:family w:val="swiss"/>
    <w:pitch w:val="variable"/>
  </w:font>
  <w:font w:name="Wingdings">
    <w:charset w:val="02"/>
    <w:family w:val="auto"/>
    <w:pitch w:val="variable"/>
  </w:font>
  <w:font w:name="Wingdings 2">
    <w:charset w:val="02"/>
    <w:family w:val="roman"/>
    <w:pitch w:val="variable"/>
  </w:font>
  <w:font w:name="StarSymbol">
    <w:altName w:val="Arial Unicode MS"/>
    <w:charset w:val="ee" w:characterSet="windows-1250"/>
    <w:family w:val="auto"/>
    <w:pitch w:val="default"/>
  </w:font>
  <w:font w:name="Courier New">
    <w:charset w:val="ee" w:characterSet="windows-1250"/>
    <w:family w:val="modern"/>
    <w:pitch w:val="default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MIFBNE+Arial">
    <w:altName w:val="Bold"/>
    <w:charset w:val="00" w:characterSet="windows-1252"/>
    <w:family w:val="swiss"/>
    <w:pitch w:val="default"/>
  </w:font>
  <w:font w:name="Tahoma">
    <w:charset w:val="ee" w:characterSet="windows-1250"/>
    <w:family w:val="swiss"/>
    <w:pitch w:val="variable"/>
  </w:font>
  <w:font w:name="Arial Unicode MS">
    <w:charset w:val="8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12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1120" cy="146050"/>
              <wp:effectExtent l="0" t="0" r="0" b="0"/>
              <wp:wrapSquare wrapText="bothSides"/>
              <wp:docPr id="6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20" cy="1460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6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6pt;height:11.5pt;mso-wrap-distance-left:0pt;mso-wrap-distance-right:0pt;mso-wrap-distance-top:0pt;mso-wrap-distance-bottom:0pt;margin-top:0.05pt;mso-position-vertical-relative:text;margin-left:224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6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–"/>
      <w:lvlJc w:val="start"/>
      <w:pPr>
        <w:tabs>
          <w:tab w:val="num" w:pos="360"/>
        </w:tabs>
        <w:ind w:start="283" w:hanging="283"/>
      </w:pPr>
      <w:rPr>
        <w:rFonts w:ascii="Arial" w:hAnsi="Arial" w:cs="Arial" w:hint="default"/>
      </w:rPr>
    </w:lvl>
  </w:abstractNum>
  <w:abstractNum w:abstractNumId="4">
    <w:lvl w:ilvl="0">
      <w:start w:val="1"/>
      <w:numFmt w:val="decimal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decimal"/>
      <w:lvlText w:val="%1.%2"/>
      <w:lvlJc w:val="start"/>
      <w:pPr>
        <w:tabs>
          <w:tab w:val="num" w:pos="576"/>
        </w:tabs>
        <w:ind w:start="576" w:hanging="576"/>
      </w:pPr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</w:lvl>
    <w:lvl w:ilvl="4">
      <w:start w:val="1"/>
      <w:numFmt w:val="decimal"/>
      <w:lvlText w:val="%1.%2.%3.%4.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decimal"/>
      <w:lvlText w:val="%1.%2.%3.%4.%5.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decimal"/>
      <w:lvlText w:val="%1.%2.%3.%4.%5.%6.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283"/>
        </w:tabs>
        <w:ind w:start="283" w:hanging="283"/>
      </w:pPr>
    </w:lvl>
  </w:abstractNum>
  <w:abstractNum w:abstractNumId="6">
    <w:lvl w:ilvl="0">
      <w:start w:val="1"/>
      <w:numFmt w:val="lowerLetter"/>
      <w:lvlText w:val="%1)"/>
      <w:lvlJc w:val="start"/>
      <w:pPr>
        <w:tabs>
          <w:tab w:val="num" w:pos="360"/>
        </w:tabs>
        <w:ind w:start="284" w:hanging="2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0"/>
      <w:szCs w:val="20"/>
      <w:lang w:val="cs-CZ" w:bidi="ar-SA" w:eastAsia="zh-CN"/>
    </w:rPr>
  </w:style>
  <w:style w:type="paragraph" w:styleId="Heading1">
    <w:name w:val="heading 1"/>
    <w:basedOn w:val="Normal"/>
    <w:next w:val="BodyText"/>
    <w:qFormat/>
    <w:pPr>
      <w:keepNext w:val="true"/>
      <w:widowControl w:val="false"/>
      <w:numPr>
        <w:ilvl w:val="0"/>
        <w:numId w:val="1"/>
      </w:numPr>
      <w:suppressAutoHyphens w:val="true"/>
      <w:spacing w:before="240" w:after="120"/>
      <w:jc w:val="both"/>
      <w:outlineLvl w:val="0"/>
    </w:pPr>
    <w:rPr>
      <w:rFonts w:eastAsia="Lucida Sans Unicode" w:cs="Tahoma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spacing w:before="240" w:after="60"/>
      <w:outlineLvl w:val="2"/>
    </w:pPr>
    <w:rPr>
      <w:rFonts w:cs="Arial"/>
      <w:b/>
      <w:bCs/>
      <w:sz w:val="26"/>
      <w:szCs w:val="26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cs="StarSymbol;Times New Roman"/>
      <w:sz w:val="18"/>
      <w:szCs w:val="18"/>
    </w:rPr>
  </w:style>
  <w:style w:type="character" w:styleId="WW8Num3z1">
    <w:name w:val="WW8Num3z1"/>
    <w:qFormat/>
    <w:rPr>
      <w:rFonts w:ascii="Wingdings 2" w:hAnsi="Wingdings 2" w:cs="StarSymbol;Times New Roman"/>
      <w:sz w:val="18"/>
      <w:szCs w:val="18"/>
    </w:rPr>
  </w:style>
  <w:style w:type="character" w:styleId="WW8Num3z2">
    <w:name w:val="WW8Num3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4z0">
    <w:name w:val="WW8Num4z0"/>
    <w:qFormat/>
    <w:rPr>
      <w:rFonts w:ascii="Wingdings" w:hAnsi="Wingdings" w:cs="StarSymbol;Times New Roman"/>
      <w:sz w:val="18"/>
      <w:szCs w:val="18"/>
    </w:rPr>
  </w:style>
  <w:style w:type="character" w:styleId="WW8Num4z1">
    <w:name w:val="WW8Num4z1"/>
    <w:qFormat/>
    <w:rPr>
      <w:rFonts w:ascii="Wingdings 2" w:hAnsi="Wingdings 2" w:cs="StarSymbol;Times New Roman"/>
      <w:sz w:val="18"/>
      <w:szCs w:val="18"/>
    </w:rPr>
  </w:style>
  <w:style w:type="character" w:styleId="WW8Num4z2">
    <w:name w:val="WW8Num4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5z0">
    <w:name w:val="WW8Num5z0"/>
    <w:qFormat/>
    <w:rPr>
      <w:rFonts w:ascii="Arial" w:hAnsi="Arial" w:cs="Aria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Times New Roman" w:hAnsi="Times New Roman" w:eastAsia="Lucida Sans Unicode" w:cs="Times New Roman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4">
    <w:name w:val="WW8Num9z4"/>
    <w:qFormat/>
    <w:rPr>
      <w:rFonts w:ascii="Courier New" w:hAnsi="Courier New" w:cs="Courier New"/>
    </w:rPr>
  </w:style>
  <w:style w:type="character" w:styleId="WW8Num12z0">
    <w:name w:val="WW8Num12z0"/>
    <w:qFormat/>
    <w:rPr>
      <w:rFonts w:ascii="Wingdings" w:hAnsi="Wingdings" w:cs="StarSymbol;Times New Roman"/>
      <w:sz w:val="18"/>
      <w:szCs w:val="18"/>
    </w:rPr>
  </w:style>
  <w:style w:type="character" w:styleId="WW8Num12z1">
    <w:name w:val="WW8Num12z1"/>
    <w:qFormat/>
    <w:rPr>
      <w:rFonts w:ascii="Wingdings 2" w:hAnsi="Wingdings 2" w:cs="StarSymbol;Times New Roman"/>
      <w:sz w:val="18"/>
      <w:szCs w:val="18"/>
    </w:rPr>
  </w:style>
  <w:style w:type="character" w:styleId="WW8Num12z2">
    <w:name w:val="WW8Num12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14z0">
    <w:name w:val="WW8Num14z0"/>
    <w:qFormat/>
    <w:rPr>
      <w:rFonts w:ascii="Arial" w:hAnsi="Arial" w:cs="Arial"/>
      <w:sz w:val="18"/>
      <w:szCs w:val="18"/>
    </w:rPr>
  </w:style>
  <w:style w:type="character" w:styleId="WW8Num14z1">
    <w:name w:val="WW8Num14z1"/>
    <w:qFormat/>
    <w:rPr>
      <w:rFonts w:ascii="Wingdings 2" w:hAnsi="Wingdings 2" w:cs="StarSymbol;Times New Roman"/>
      <w:sz w:val="18"/>
      <w:szCs w:val="18"/>
    </w:rPr>
  </w:style>
  <w:style w:type="character" w:styleId="WW8Num14z2">
    <w:name w:val="WW8Num14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14z3">
    <w:name w:val="WW8Num14z3"/>
    <w:qFormat/>
    <w:rPr>
      <w:rFonts w:ascii="Wingdings" w:hAnsi="Wingdings" w:cs="StarSymbol;Times New Roman"/>
      <w:sz w:val="18"/>
      <w:szCs w:val="18"/>
    </w:rPr>
  </w:style>
  <w:style w:type="character" w:styleId="WW8Num15z0">
    <w:name w:val="WW8Num15z0"/>
    <w:qFormat/>
    <w:rPr>
      <w:rFonts w:ascii="Times New Roman" w:hAnsi="Times New Roman" w:eastAsia="Lucida Sans Unicode" w:cs="Times New Roman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rFonts w:ascii="Arial" w:hAnsi="Arial" w:cs="Arial"/>
      <w:sz w:val="18"/>
      <w:szCs w:val="18"/>
    </w:rPr>
  </w:style>
  <w:style w:type="character" w:styleId="WW8Num16z1">
    <w:name w:val="WW8Num16z1"/>
    <w:qFormat/>
    <w:rPr>
      <w:rFonts w:ascii="Wingdings 2" w:hAnsi="Wingdings 2" w:cs="StarSymbol;Times New Roman"/>
      <w:sz w:val="18"/>
      <w:szCs w:val="18"/>
    </w:rPr>
  </w:style>
  <w:style w:type="character" w:styleId="WW8Num16z2">
    <w:name w:val="WW8Num16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16z3">
    <w:name w:val="WW8Num16z3"/>
    <w:qFormat/>
    <w:rPr>
      <w:rFonts w:ascii="Wingdings" w:hAnsi="Wingdings" w:cs="StarSymbol;Times New Roman"/>
      <w:sz w:val="18"/>
      <w:szCs w:val="18"/>
    </w:rPr>
  </w:style>
  <w:style w:type="character" w:styleId="WW8Num17z0">
    <w:name w:val="WW8Num17z0"/>
    <w:qFormat/>
    <w:rPr>
      <w:rFonts w:ascii="Times New Roman" w:hAnsi="Times New Roman" w:eastAsia="Lucida Sans Unicode" w:cs="Times New Roman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7z3">
    <w:name w:val="WW8Num17z3"/>
    <w:qFormat/>
    <w:rPr>
      <w:rFonts w:ascii="Symbol" w:hAnsi="Symbol" w:cs="Symbol"/>
    </w:rPr>
  </w:style>
  <w:style w:type="character" w:styleId="Standardnpsmoodstavce">
    <w:name w:val="Standardní písmo odstavce"/>
    <w:qFormat/>
    <w:rPr/>
  </w:style>
  <w:style w:type="character" w:styleId="TextnormyChar1">
    <w:name w:val="Text normy Char1"/>
    <w:basedOn w:val="Standardnpsmoodstavce"/>
    <w:qFormat/>
    <w:rPr>
      <w:rFonts w:ascii="Arial" w:hAnsi="Arial" w:cs="Arial"/>
      <w:lang w:val="cs-CZ" w:bidi="ar-SA"/>
    </w:rPr>
  </w:style>
  <w:style w:type="character" w:styleId="Hyperlink">
    <w:name w:val="Hyperlink"/>
    <w:rPr>
      <w:color w:val="000080"/>
      <w:u w:val="single"/>
    </w:rPr>
  </w:style>
  <w:style w:type="character" w:styleId="PageNumber">
    <w:name w:val="page number"/>
    <w:basedOn w:val="Standardnpsmoodstavce"/>
    <w:rPr/>
  </w:style>
  <w:style w:type="character" w:styleId="FootnoteCharacters">
    <w:name w:val="Footnote Characters"/>
    <w:basedOn w:val="Standardnpsmoodstavce"/>
    <w:qFormat/>
    <w:rPr>
      <w:vertAlign w:val="superscript"/>
    </w:rPr>
  </w:style>
  <w:style w:type="character" w:styleId="NadpisTabObrChar">
    <w:name w:val="NadpisTabObr Char"/>
    <w:basedOn w:val="Standardnpsmoodstavce"/>
    <w:qFormat/>
    <w:rPr>
      <w:rFonts w:ascii="Arial" w:hAnsi="Arial" w:cs="Arial"/>
      <w:b/>
      <w:lang w:val="cs-CZ" w:bidi="ar-SA"/>
    </w:rPr>
  </w:style>
  <w:style w:type="character" w:styleId="NadpislnkuChar">
    <w:name w:val="Nadpis článku Char"/>
    <w:basedOn w:val="TextnormyChar1"/>
    <w:qFormat/>
    <w:rPr>
      <w:b/>
    </w:rPr>
  </w:style>
  <w:style w:type="character" w:styleId="Odkaznakoment">
    <w:name w:val="Odkaz na komentář"/>
    <w:basedOn w:val="Standardnpsmoodstavce"/>
    <w:qFormat/>
    <w:rPr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extnormy">
    <w:name w:val="Text normy"/>
    <w:qFormat/>
    <w:pPr>
      <w:widowControl/>
      <w:bidi w:val="0"/>
      <w:spacing w:before="0" w:after="120"/>
      <w:jc w:val="both"/>
    </w:pPr>
    <w:rPr>
      <w:rFonts w:ascii="Arial" w:hAnsi="Arial" w:eastAsia="Times New Roman" w:cs="Arial"/>
      <w:color w:val="auto"/>
      <w:sz w:val="20"/>
      <w:szCs w:val="20"/>
      <w:lang w:val="cs-CZ" w:bidi="ar-SA" w:eastAsia="zh-CN"/>
    </w:rPr>
  </w:style>
  <w:style w:type="paragraph" w:styleId="Nadpislnku">
    <w:name w:val="Nadpis článku"/>
    <w:basedOn w:val="Textnormy"/>
    <w:next w:val="Textnormy"/>
    <w:qFormat/>
    <w:pPr>
      <w:keepNext w:val="true"/>
      <w:keepLines/>
      <w:suppressAutoHyphens w:val="true"/>
      <w:spacing w:before="120" w:after="120"/>
      <w:jc w:val="start"/>
    </w:pPr>
    <w:rPr>
      <w:b/>
    </w:rPr>
  </w:style>
  <w:style w:type="paragraph" w:styleId="1StrTrZn">
    <w:name w:val="1StrTrZn"/>
    <w:basedOn w:val="Textnormy"/>
    <w:qFormat/>
    <w:pPr>
      <w:spacing w:lineRule="exact" w:line="340" w:before="80" w:after="80"/>
      <w:jc w:val="start"/>
    </w:pPr>
    <w:rPr>
      <w:sz w:val="28"/>
    </w:rPr>
  </w:style>
  <w:style w:type="paragraph" w:styleId="1StrNN-1-23">
    <w:name w:val="1StrNN-1-23"/>
    <w:basedOn w:val="Textnormy"/>
    <w:qFormat/>
    <w:pPr>
      <w:widowControl w:val="false"/>
      <w:suppressAutoHyphens w:val="true"/>
      <w:spacing w:lineRule="exact" w:line="340" w:before="640" w:after="0"/>
      <w:ind w:hanging="0" w:start="0" w:end="567"/>
      <w:jc w:val="start"/>
    </w:pPr>
    <w:rPr>
      <w:b/>
      <w:sz w:val="28"/>
    </w:rPr>
  </w:style>
  <w:style w:type="paragraph" w:styleId="Cizojazynnzev">
    <w:name w:val="Cizojazyčný název"/>
    <w:basedOn w:val="Textnormy"/>
    <w:qFormat/>
    <w:pPr>
      <w:widowControl w:val="false"/>
      <w:suppressAutoHyphens w:val="true"/>
      <w:jc w:val="start"/>
    </w:pPr>
    <w:rPr>
      <w:sz w:val="18"/>
    </w:rPr>
  </w:style>
  <w:style w:type="paragraph" w:styleId="Shodnost">
    <w:name w:val="Shodnost"/>
    <w:basedOn w:val="Textnormy"/>
    <w:next w:val="Textnormy"/>
    <w:qFormat/>
    <w:pPr>
      <w:keepNext w:val="true"/>
      <w:keepLines/>
      <w:tabs>
        <w:tab w:val="clear" w:pos="708"/>
        <w:tab w:val="right" w:pos="9923" w:leader="none"/>
      </w:tabs>
      <w:spacing w:before="240" w:after="360"/>
      <w:jc w:val="start"/>
    </w:pPr>
    <w:rPr>
      <w:sz w:val="28"/>
    </w:rPr>
  </w:style>
  <w:style w:type="paragraph" w:styleId="1Str1Rad">
    <w:name w:val="1Str1Rad"/>
    <w:basedOn w:val="Textnormy"/>
    <w:qFormat/>
    <w:pPr>
      <w:widowControl w:val="false"/>
      <w:tabs>
        <w:tab w:val="clear" w:pos="708"/>
        <w:tab w:val="left" w:pos="7371" w:leader="none"/>
        <w:tab w:val="right" w:pos="9866" w:leader="none"/>
      </w:tabs>
    </w:pPr>
    <w:rPr/>
  </w:style>
  <w:style w:type="paragraph" w:styleId="esknorma">
    <w:name w:val="Česká norma"/>
    <w:basedOn w:val="Textnormy"/>
    <w:next w:val="1Str1Rad"/>
    <w:qFormat/>
    <w:pPr>
      <w:spacing w:before="0" w:after="0"/>
      <w:jc w:val="start"/>
    </w:pPr>
    <w:rPr>
      <w:sz w:val="28"/>
    </w:rPr>
  </w:style>
  <w:style w:type="paragraph" w:styleId="1StrCN">
    <w:name w:val="1StrCN"/>
    <w:basedOn w:val="Textnormy"/>
    <w:next w:val="1StrTrZn"/>
    <w:qFormat/>
    <w:pPr>
      <w:spacing w:lineRule="exact" w:line="340" w:before="180" w:after="0"/>
      <w:jc w:val="start"/>
    </w:pPr>
    <w:rPr>
      <w:b/>
      <w:sz w:val="32"/>
      <w:lang w:val="en-US" w:eastAsia="en-US"/>
    </w:rPr>
  </w:style>
  <w:style w:type="paragraph" w:styleId="Tabulka">
    <w:name w:val="Tabulka"/>
    <w:basedOn w:val="Normal"/>
    <w:qFormat/>
    <w:pPr>
      <w:widowControl w:val="false"/>
      <w:suppressLineNumbers/>
      <w:suppressAutoHyphens w:val="true"/>
      <w:spacing w:before="120" w:after="120"/>
      <w:jc w:val="both"/>
    </w:pPr>
    <w:rPr>
      <w:rFonts w:ascii="Times New Roman" w:hAnsi="Times New Roman" w:eastAsia="Lucida Sans Unicode" w:cs="Tahoma"/>
      <w:i/>
      <w:iCs/>
      <w:kern w:val="2"/>
      <w:sz w:val="24"/>
      <w:szCs w:val="24"/>
    </w:rPr>
  </w:style>
  <w:style w:type="paragraph" w:styleId="Texttabulky">
    <w:name w:val="Text tabulky"/>
    <w:basedOn w:val="Textnormy"/>
    <w:qFormat/>
    <w:pPr>
      <w:suppressAutoHyphens w:val="true"/>
      <w:spacing w:before="60" w:after="60"/>
      <w:jc w:val="start"/>
    </w:pPr>
    <w:rPr>
      <w:rFonts w:eastAsia="Arial"/>
      <w:kern w:val="2"/>
      <w:sz w:val="18"/>
    </w:rPr>
  </w:style>
  <w:style w:type="paragraph" w:styleId="Ilustrace">
    <w:name w:val="Ilustrace"/>
    <w:basedOn w:val="Normal"/>
    <w:qFormat/>
    <w:pPr>
      <w:widowControl w:val="false"/>
      <w:suppressLineNumbers/>
      <w:suppressAutoHyphens w:val="true"/>
      <w:spacing w:before="120" w:after="120"/>
      <w:jc w:val="both"/>
    </w:pPr>
    <w:rPr>
      <w:rFonts w:ascii="Times New Roman" w:hAnsi="Times New Roman" w:eastAsia="Lucida Sans Unicode" w:cs="Tahoma"/>
      <w:i/>
      <w:iCs/>
      <w:kern w:val="2"/>
      <w:sz w:val="24"/>
      <w:szCs w:val="24"/>
    </w:rPr>
  </w:style>
  <w:style w:type="paragraph" w:styleId="NadpisTabObr">
    <w:name w:val="NadpisTabObr"/>
    <w:basedOn w:val="Nadpislnku"/>
    <w:next w:val="Textnormy"/>
    <w:qFormat/>
    <w:pPr>
      <w:keepNext w:val="false"/>
      <w:jc w:val="cente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Textnormy"/>
    <w:pPr/>
    <w:rPr>
      <w:sz w:val="18"/>
    </w:rPr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Seznamvnorm">
    <w:name w:val="Seznam v normě"/>
    <w:basedOn w:val="Textnormy"/>
    <w:qFormat/>
    <w:pPr>
      <w:numPr>
        <w:ilvl w:val="0"/>
        <w:numId w:val="3"/>
      </w:numPr>
    </w:pPr>
    <w:rPr/>
  </w:style>
  <w:style w:type="paragraph" w:styleId="TextnormyUS">
    <w:name w:val="Text normy US"/>
    <w:basedOn w:val="Textnormy"/>
    <w:qFormat/>
    <w:pPr>
      <w:spacing w:before="0" w:after="0"/>
    </w:pPr>
    <w:rPr>
      <w:lang w:val="en-US" w:eastAsia="en-US"/>
    </w:rPr>
  </w:style>
  <w:style w:type="paragraph" w:styleId="Abecednseznam">
    <w:name w:val="Abecední seznam"/>
    <w:basedOn w:val="Textnormy"/>
    <w:qFormat/>
    <w:pPr>
      <w:numPr>
        <w:ilvl w:val="0"/>
        <w:numId w:val="6"/>
      </w:numPr>
      <w:tabs>
        <w:tab w:val="clear" w:pos="708"/>
      </w:tabs>
    </w:pPr>
    <w:rPr/>
  </w:style>
  <w:style w:type="paragraph" w:styleId="Nadpiskapitoly">
    <w:name w:val="Nadpis kapitoly"/>
    <w:basedOn w:val="Nadpislnku"/>
    <w:next w:val="Textnormy"/>
    <w:qFormat/>
    <w:pPr>
      <w:spacing w:before="240" w:after="180"/>
    </w:pPr>
    <w:rPr>
      <w:sz w:val="24"/>
    </w:rPr>
  </w:style>
  <w:style w:type="paragraph" w:styleId="Default">
    <w:name w:val="Default"/>
    <w:qFormat/>
    <w:pPr>
      <w:widowControl/>
      <w:autoSpaceDE w:val="false"/>
      <w:bidi w:val="0"/>
    </w:pPr>
    <w:rPr>
      <w:rFonts w:ascii="MIFBNE+Arial,Bold;Arial" w:hAnsi="MIFBNE+Arial,Bold;Arial" w:eastAsia="Times New Roman" w:cs="MIFBNE+Arial,Bold;Arial"/>
      <w:color w:val="000000"/>
      <w:sz w:val="24"/>
      <w:szCs w:val="24"/>
      <w:lang w:val="cs-CZ" w:bidi="ar-SA" w:eastAsia="zh-CN"/>
    </w:rPr>
  </w:style>
  <w:style w:type="paragraph" w:styleId="Poznmka">
    <w:name w:val="Poznámka"/>
    <w:basedOn w:val="Textnormy"/>
    <w:next w:val="Textnormy"/>
    <w:qFormat/>
    <w:pPr>
      <w:spacing w:before="80" w:after="200"/>
    </w:pPr>
    <w:rPr>
      <w:sz w:val="18"/>
    </w:rPr>
  </w:style>
  <w:style w:type="paragraph" w:styleId="FootnoteText">
    <w:name w:val="footnote text"/>
    <w:basedOn w:val="Poznmka"/>
    <w:pPr>
      <w:spacing w:before="60" w:after="0"/>
    </w:pPr>
    <w:rPr/>
  </w:style>
  <w:style w:type="paragraph" w:styleId="slovanseznam">
    <w:name w:val="Číslovaný seznam"/>
    <w:basedOn w:val="Textnormy"/>
    <w:qFormat/>
    <w:pPr>
      <w:numPr>
        <w:ilvl w:val="0"/>
        <w:numId w:val="5"/>
      </w:numPr>
    </w:pPr>
    <w:rPr/>
  </w:style>
  <w:style w:type="paragraph" w:styleId="Tabletext9">
    <w:name w:val="Table text (9)"/>
    <w:basedOn w:val="Normal"/>
    <w:qFormat/>
    <w:pPr>
      <w:spacing w:lineRule="atLeast" w:line="210" w:before="60" w:after="60"/>
    </w:pPr>
    <w:rPr>
      <w:sz w:val="18"/>
    </w:rPr>
  </w:style>
  <w:style w:type="paragraph" w:styleId="Seznamsodrkami">
    <w:name w:val="Seznam s odrážkami"/>
    <w:basedOn w:val="Normal"/>
    <w:qFormat/>
    <w:pPr>
      <w:widowControl w:val="false"/>
      <w:numPr>
        <w:ilvl w:val="0"/>
        <w:numId w:val="2"/>
      </w:numPr>
      <w:suppressAutoHyphens w:val="true"/>
      <w:spacing w:before="113" w:after="113"/>
      <w:jc w:val="both"/>
    </w:pPr>
    <w:rPr>
      <w:rFonts w:ascii="Times New Roman" w:hAnsi="Times New Roman" w:eastAsia="Lucida Sans Unicode" w:cs="Times New Roman"/>
      <w:kern w:val="2"/>
      <w:sz w:val="24"/>
      <w:szCs w:val="24"/>
    </w:rPr>
  </w:style>
  <w:style w:type="paragraph" w:styleId="Obrzek">
    <w:name w:val="Obrázek"/>
    <w:basedOn w:val="Textnormy"/>
    <w:next w:val="NadpisTabObr"/>
    <w:qFormat/>
    <w:pPr>
      <w:keepNext w:val="true"/>
      <w:spacing w:before="0" w:after="160"/>
      <w:jc w:val="center"/>
    </w:pPr>
    <w:rPr/>
  </w:style>
  <w:style w:type="paragraph" w:styleId="DodatekN2">
    <w:name w:val="Dodatek N2"/>
    <w:basedOn w:val="Heading2"/>
    <w:qFormat/>
    <w:pPr>
      <w:widowControl w:val="false"/>
      <w:numPr>
        <w:ilvl w:val="0"/>
        <w:numId w:val="4"/>
      </w:numPr>
      <w:suppressAutoHyphens w:val="true"/>
      <w:jc w:val="both"/>
    </w:pPr>
    <w:rPr>
      <w:rFonts w:eastAsia="Lucida Sans Unicode"/>
      <w:kern w:val="2"/>
    </w:rPr>
  </w:style>
  <w:style w:type="paragraph" w:styleId="Textkomente">
    <w:name w:val="Text komentáře"/>
    <w:basedOn w:val="Normal"/>
    <w:qFormat/>
    <w:pPr/>
    <w:rPr/>
  </w:style>
  <w:style w:type="paragraph" w:styleId="Pedmtkomente">
    <w:name w:val="Předmět komentáře"/>
    <w:basedOn w:val="Textkomente"/>
    <w:next w:val="Textkomente"/>
    <w:qFormat/>
    <w:pPr/>
    <w:rPr>
      <w:b/>
      <w:bCs/>
    </w:rPr>
  </w:style>
  <w:style w:type="paragraph" w:styleId="Textbubliny">
    <w:name w:val="Text bubliny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emf"/><Relationship Id="rId3" Type="http://schemas.openxmlformats.org/officeDocument/2006/relationships/image" Target="media/image2.emf"/><Relationship Id="rId4" Type="http://schemas.openxmlformats.org/officeDocument/2006/relationships/image" Target="media/image3.emf"/><Relationship Id="rId5" Type="http://schemas.openxmlformats.org/officeDocument/2006/relationships/image" Target="media/image4.emf"/><Relationship Id="rId6" Type="http://schemas.openxmlformats.org/officeDocument/2006/relationships/image" Target="media/image5.emf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2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2008-11-26T20:37:00Z</dcterms:created>
  <dc:creator>David Bárta</dc:creator>
  <dc:description/>
  <cp:keywords/>
  <dc:language>en-US</dc:language>
  <cp:lastModifiedBy>David Bárta</cp:lastModifiedBy>
  <cp:lastPrinted>2008-08-26T00:25:00Z</cp:lastPrinted>
  <dcterms:modified xsi:type="dcterms:W3CDTF">2008-11-26T20:37:00Z</dcterms:modified>
  <cp:revision>2</cp:revision>
  <dc:subject/>
  <dc:title>ČESKÁ TECHNICKÁ NORMA</dc:title>
</cp:coreProperties>
</file>