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Style w:val="Title"/>
        <w:widowControl w:val="0"/>
        <w:pBdr/>
        <w:tabs>
          <w:tab w:val="left" w:pos="7080"/>
          <w:tab w:val="right" w:pos="9923"/>
        </w:tabs>
        <w:spacing w:after="60" w:line="240" w:lineRule="auto"/>
        <w:contextualSpacing w:val="0"/>
        <w:jc w:val="center"/>
        <w:rPr/>
      </w:pPr>
      <w:bookmarkStart w:colFirst="0" w:colLast="0" w:name="_3gb1u46ly9kb" w:id="0"/>
      <w:bookmarkEnd w:id="0"/>
      <w:r w:rsidDel="00000000" w:rsidR="00000000" w:rsidRPr="00000000">
        <w:rPr>
          <w:rtl w:val="0"/>
        </w:rPr>
        <w:t xml:space="preserve">EXTRAKT z technické zprávy CEN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Extrakt nenahrazuje samotnou technickou normu, je pouze informativním materiálem 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b w:val="1"/>
          <w:rtl w:val="0"/>
        </w:rPr>
        <w:t xml:space="preserve"> normě.</w:t>
      </w:r>
    </w:p>
    <w:p w:rsidR="00000000" w:rsidDel="00000000" w:rsidP="00000000" w:rsidRDefault="00000000" w:rsidRPr="00000000">
      <w:pPr>
        <w:widowControl w:val="0"/>
        <w:pBdr/>
        <w:tabs>
          <w:tab w:val="left" w:pos="7080"/>
          <w:tab w:val="right" w:pos="9923"/>
        </w:tabs>
        <w:spacing w:after="60" w:before="0" w:line="240" w:lineRule="auto"/>
        <w:contextualSpacing w:val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sz w:val="16"/>
          <w:szCs w:val="16"/>
          <w:rtl w:val="0"/>
        </w:rPr>
        <w:t xml:space="preserve">ICS 03.220.20, 35.240.60</w:t>
      </w:r>
      <w:r w:rsidDel="00000000" w:rsidR="00000000" w:rsidRPr="00000000">
        <w:rPr>
          <w:rFonts w:ascii="Arial" w:cs="Arial" w:eastAsia="Arial" w:hAnsi="Arial"/>
          <w:b w:val="0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923.0" w:type="dxa"/>
        <w:jc w:val="left"/>
        <w:tblLayout w:type="fixed"/>
        <w:tblLook w:val="0000"/>
      </w:tblPr>
      <w:tblGrid>
        <w:gridCol w:w="7371"/>
        <w:gridCol w:w="2552"/>
        <w:tblGridChange w:id="0">
          <w:tblGrid>
            <w:gridCol w:w="7371"/>
            <w:gridCol w:w="2552"/>
          </w:tblGrid>
        </w:tblGridChange>
      </w:tblGrid>
      <w:tr>
        <w:trPr>
          <w:trHeight w:val="1200" w:hRule="atLeast"/>
        </w:trPr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>
            <w:pPr>
              <w:pStyle w:val="Subtitle"/>
              <w:pBdr/>
              <w:spacing w:after="0" w:before="180" w:line="240" w:lineRule="auto"/>
              <w:contextualSpacing w:val="0"/>
              <w:jc w:val="left"/>
              <w:rPr/>
            </w:pPr>
            <w:bookmarkStart w:colFirst="0" w:colLast="0" w:name="_u9hf97vgxzm6" w:id="1"/>
            <w:bookmarkEnd w:id="1"/>
            <w:r w:rsidDel="00000000" w:rsidR="00000000" w:rsidRPr="00000000">
              <w:rPr>
                <w:rtl w:val="0"/>
              </w:rPr>
              <w:t xml:space="preserve">Dopravní telematika – Elektronický výběr poplatků (EFC) – Zajištění správné funkce zařízení pro elektronický výběr mýtného instalovaného za pokoveným čelním sklem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>
            <w:pPr>
              <w:pBdr/>
              <w:spacing w:after="0" w:before="1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CEN/TR 15762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/>
              <w:spacing w:after="80" w:before="80" w:line="240" w:lineRule="auto"/>
              <w:contextualSpacing w:val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Bdr/>
              <w:spacing w:after="80" w:before="80" w:line="240" w:lineRule="auto"/>
              <w:contextualSpacing w:val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sz w:val="28"/>
                <w:szCs w:val="28"/>
                <w:rtl w:val="0"/>
              </w:rPr>
              <w:t xml:space="preserve">01 8388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keepNext w:val="1"/>
        <w:keepLines w:val="1"/>
        <w:pBdr/>
        <w:tabs>
          <w:tab w:val="left" w:pos="7920"/>
        </w:tabs>
        <w:spacing w:after="360" w:before="240" w:line="240" w:lineRule="auto"/>
        <w:contextualSpacing w:val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sz w:val="28"/>
          <w:szCs w:val="28"/>
          <w:rtl w:val="0"/>
        </w:rPr>
        <w:tab/>
        <w:t xml:space="preserve">10 stran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hy4xvjmhsj0w" w:id="2"/>
      <w:bookmarkEnd w:id="2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>
      <w:pPr>
        <w:pBdr/>
        <w:contextualSpacing w:val="0"/>
        <w:rPr/>
      </w:pPr>
      <w:bookmarkStart w:colFirst="0" w:colLast="0" w:name="_gjdgxs" w:id="3"/>
      <w:bookmarkEnd w:id="3"/>
      <w:r w:rsidDel="00000000" w:rsidR="00000000" w:rsidRPr="00000000">
        <w:rPr>
          <w:rtl w:val="0"/>
        </w:rPr>
        <w:t xml:space="preserve">Tato technická zpráva se zabývá identifikací omezení vyplývajících z technického a normalizačního rámce pro komunikaci prostřednictvím DSRC mezi zařízením ve vozidle se zařízením podél komunikace (silnice) u vozidel s pokoveným čelním sklem a následně návrhem nepokovené oblasti v takovém čelním skle. Tato technická zpráva neodpovídá rozsahově ani strukturou obvyklým zvyklostem.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Poznámka: Extrakt přejímá původní číslování kapitol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pozvxqu8fee8" w:id="4"/>
      <w:bookmarkEnd w:id="4"/>
      <w:r w:rsidDel="00000000" w:rsidR="00000000" w:rsidRPr="00000000">
        <w:rPr>
          <w:rtl w:val="0"/>
        </w:rPr>
        <w:t xml:space="preserve">Užití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Tato technická </w:t>
      </w:r>
      <w:r w:rsidDel="00000000" w:rsidR="00000000" w:rsidRPr="00000000">
        <w:rPr>
          <w:rtl w:val="0"/>
        </w:rPr>
        <w:t xml:space="preserve">zpráva </w:t>
      </w:r>
      <w:r w:rsidDel="00000000" w:rsidR="00000000" w:rsidRPr="00000000">
        <w:rPr>
          <w:rtl w:val="0"/>
        </w:rPr>
        <w:t xml:space="preserve">vychází z testů a simulací DSRC komunikace a určuje, jak by měla vypadat, a kde by měla být umístěna nepokovená oblast v pokoveném čelním skle. Z toho důvodu</w:t>
      </w:r>
      <w:r w:rsidDel="00000000" w:rsidR="00000000" w:rsidRPr="00000000">
        <w:rPr>
          <w:b w:val="1"/>
          <w:rtl w:val="0"/>
        </w:rPr>
        <w:t xml:space="preserve"> je důležitá primárně pro výrobce pokovených čelních</w:t>
      </w:r>
      <w:r w:rsidDel="00000000" w:rsidR="00000000" w:rsidRPr="00000000">
        <w:rPr>
          <w:rtl w:val="0"/>
        </w:rPr>
        <w:t xml:space="preserve"> skel vozidel, u kterých je předpoklad že budou zapojeny v systému EFC. Výrobcům dává parametry, které mohou při výrobě použít.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Pro </w:t>
      </w:r>
      <w:r w:rsidDel="00000000" w:rsidR="00000000" w:rsidRPr="00000000">
        <w:rPr>
          <w:b w:val="1"/>
          <w:rtl w:val="0"/>
        </w:rPr>
        <w:t xml:space="preserve">poskytovatele služeb</w:t>
      </w:r>
      <w:r w:rsidDel="00000000" w:rsidR="00000000" w:rsidRPr="00000000">
        <w:rPr>
          <w:rtl w:val="0"/>
        </w:rPr>
        <w:t xml:space="preserve"> je tato norma přinejmenším zajímavá, protože stanovuje, jak by měla být tato nepokovená oblast označena.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Je ovšem otázkou jestli je tato norma vůbec použitelná, protože její tvůrci udávají, že výsledky v ní uvedené </w:t>
      </w:r>
      <w:r w:rsidDel="00000000" w:rsidR="00000000" w:rsidRPr="00000000">
        <w:rPr>
          <w:b w:val="1"/>
          <w:rtl w:val="0"/>
        </w:rPr>
        <w:t xml:space="preserve">nelze aplikovat na vertikální čelní skla</w:t>
      </w:r>
      <w:r w:rsidDel="00000000" w:rsidR="00000000" w:rsidRPr="00000000">
        <w:rPr>
          <w:rtl w:val="0"/>
        </w:rPr>
        <w:t xml:space="preserve"> a zahřívaná čelní skla. Přičemž vertikální čelní skla mají autobusy, kamiony a nákladní vozy, tedy cílová skupina systému EFC. To jestli bývají tato skla metalizovaná, tato technická zpráva neřeší.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paseh5579lb6" w:id="5"/>
      <w:bookmarkEnd w:id="5"/>
      <w:r w:rsidDel="00000000" w:rsidR="00000000" w:rsidRPr="00000000">
        <w:rPr>
          <w:rtl w:val="0"/>
        </w:rPr>
        <w:t xml:space="preserve">Souvisící normy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Tato technická zpráva neobsahuje samostatnou kapitolu věnující se souvisícím normám. V textu odkazuje 7 evropských norem elektronického mýta, zejména těch, které se zabývají vyhrazeným spojením krátkého dosahu DSRC, např </w:t>
      </w:r>
      <w:r w:rsidDel="00000000" w:rsidR="00000000" w:rsidRPr="00000000">
        <w:rPr>
          <w:rtl w:val="0"/>
        </w:rPr>
        <w:t xml:space="preserve">EN 15509 - aplikační profil interoperability pro DSRC, zkouškami </w:t>
      </w:r>
      <w:r w:rsidDel="00000000" w:rsidR="00000000" w:rsidRPr="00000000">
        <w:rPr>
          <w:rtl w:val="0"/>
        </w:rPr>
        <w:t xml:space="preserve">CEN ISO/TS 14907-1 a 2 postupy zkoušek uživatelského i pevného zařízení.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pBdr/>
        <w:spacing w:before="200" w:lineRule="auto"/>
        <w:contextualSpacing w:val="0"/>
        <w:rPr/>
      </w:pPr>
      <w:bookmarkStart w:colFirst="0" w:colLast="0" w:name="_e0s3u5l75ag9" w:id="6"/>
      <w:bookmarkEnd w:id="6"/>
      <w:r w:rsidDel="00000000" w:rsidR="00000000" w:rsidRPr="00000000">
        <w:rPr>
          <w:rtl w:val="0"/>
        </w:rPr>
        <w:t xml:space="preserve">1 Předmět normy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Do vozidel jsou montována metalizovaná skla (kovové mikro-částečky v jedné z vrstev skla), které zvyšují efektivitu klimatizace a zkracují dobu potřebnou pro odmrazení skla. Tato vrstva ale dramaticky zvyšuje útlum signálu DSRC, který z 2-5 dB pro normální skla stoupá na 20-40 dB.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Tato technická zpráva navrhuje řešení, které je ale platné pouze pro vozidla s vyšším sklonem čelního skla. Navrhované řešení tedy NELZE použít pro autobusy či kamiony!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ngsx7sm3f4nv" w:id="7"/>
      <w:bookmarkEnd w:id="7"/>
      <w:r w:rsidDel="00000000" w:rsidR="00000000" w:rsidRPr="00000000">
        <w:rPr>
          <w:rtl w:val="0"/>
        </w:rPr>
        <w:t xml:space="preserve">2 Podmínky a omezení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Technická zpráva zkoumá omezení, která přinášejí metalizovaná čelní skla ze tří pohledů. Omezení daná pravidly pro konstrukci vozidla a umístění palubního vybavení, omezení daná evropskými normami a omezení daná tržním prostředím.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Část 2.2 identifikuje regulatorní omezení pro čelní skla (ECE-R43 a další), zpětná zrcátka (EU 71/127 a další) a pro bezpečnost interiéru při nárazu (EU 74/60 a další). Z této identifikace vyplývá, že čelní výhled z vozidla nesmí být blokován umístěním OBU.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Část 2.3 identifikuje evropské normy pro EFC </w:t>
      </w:r>
      <w:r w:rsidDel="00000000" w:rsidR="00000000" w:rsidRPr="00000000">
        <w:rPr>
          <w:rtl w:val="0"/>
        </w:rPr>
        <w:t xml:space="preserve">(celkem 7),</w:t>
      </w:r>
      <w:r w:rsidDel="00000000" w:rsidR="00000000" w:rsidRPr="00000000">
        <w:rPr>
          <w:rtl w:val="0"/>
        </w:rPr>
        <w:t xml:space="preserve"> které kladou požadavky na transakci elektronického mýtného systému (přenos informace z RSE do OBE).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65iiyilb76ql" w:id="8"/>
      <w:bookmarkEnd w:id="8"/>
      <w:r w:rsidDel="00000000" w:rsidR="00000000" w:rsidRPr="00000000">
        <w:rPr>
          <w:rtl w:val="0"/>
        </w:rPr>
        <w:t xml:space="preserve">3 Část čelního skla bez pokovené vrstvy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Tato kapitola se zabývá tím, jak by mělo vypadat čelní sklo s oblastí bez pokovené vrstvy z prvovýroby.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Část 3.2 identifikuje klíčové parametry, jejich </w:t>
      </w:r>
      <w:r w:rsidDel="00000000" w:rsidR="00000000" w:rsidRPr="00000000">
        <w:rPr>
          <w:b w:val="1"/>
          <w:rtl w:val="0"/>
        </w:rPr>
        <w:t xml:space="preserve">hodnoty </w:t>
      </w:r>
      <w:r w:rsidDel="00000000" w:rsidR="00000000" w:rsidRPr="00000000">
        <w:rPr>
          <w:rtl w:val="0"/>
        </w:rPr>
        <w:t xml:space="preserve">a přípustné rozmezí (tolerance)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pro tuto nepokovenou oblast. Mimo jiné je to podélné umístění, minimální velikost, minimální vzdálenost od nejvzdálenějšího okraje skla a minimální prostor za nepokovenou oblastí.  Dále také určuje, jak musí být tato oblast na skle označena. 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drawing>
          <wp:inline distB="114300" distT="114300" distL="114300" distR="114300">
            <wp:extent cx="5772150" cy="3238500"/>
            <wp:effectExtent b="0" l="0" r="0" t="0"/>
            <wp:docPr descr="imgX.gif" id="2" name="image6.gif"/>
            <a:graphic>
              <a:graphicData uri="http://schemas.openxmlformats.org/drawingml/2006/picture">
                <pic:pic>
                  <pic:nvPicPr>
                    <pic:cNvPr descr="imgX.gif" id="0" name="image6.gif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Obr 1 vyznačení oblastí (šedá barva) kde může být umístěna oblast čelního skla bez pokovené vrstvy, vzhledem k podélnému středu čelního skla (obrázek 4 normy)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Navržené parametry a jejich hodnoty zaručují pozitivní průběh komunikace DSRC pouze pro nevyhřívaná skla s velkým sklonem, ostatní typy skel mají příliš velký útlum. 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Touto kapitolou tato technická zpráva končí.</w:t>
      </w:r>
    </w:p>
    <w:p w:rsidR="00000000" w:rsidDel="00000000" w:rsidP="00000000" w:rsidRDefault="00000000" w:rsidRPr="00000000">
      <w:pPr>
        <w:pStyle w:val="Heading1"/>
        <w:pBdr/>
        <w:contextualSpacing w:val="0"/>
        <w:rPr/>
      </w:pPr>
      <w:bookmarkStart w:colFirst="0" w:colLast="0" w:name="_4yhrpgtbqovq" w:id="9"/>
      <w:bookmarkEnd w:id="9"/>
      <w:r w:rsidDel="00000000" w:rsidR="00000000" w:rsidRPr="00000000">
        <w:rPr>
          <w:rtl w:val="0"/>
        </w:rPr>
        <w:t xml:space="preserve">Zkratky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Tato kapitola v dokumentu zcela chybí. Vzhledem k čitelnosti extraktu alespoň uvedeme používané zkratky zde.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b w:val="1"/>
          <w:rtl w:val="0"/>
        </w:rPr>
        <w:t xml:space="preserve">DSRC</w:t>
        <w:tab/>
      </w:r>
      <w:r w:rsidDel="00000000" w:rsidR="00000000" w:rsidRPr="00000000">
        <w:rPr>
          <w:rtl w:val="0"/>
        </w:rPr>
        <w:t xml:space="preserve">vyhrazené spojení krátkého dosahu </w:t>
      </w:r>
      <w:r w:rsidDel="00000000" w:rsidR="00000000" w:rsidRPr="00000000">
        <w:rPr>
          <w:i w:val="1"/>
          <w:rtl w:val="0"/>
        </w:rPr>
        <w:t xml:space="preserve">(Dedicated Short Range Communication)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b w:val="1"/>
          <w:rtl w:val="0"/>
        </w:rPr>
        <w:t xml:space="preserve">EFC</w:t>
        <w:tab/>
      </w:r>
      <w:r w:rsidDel="00000000" w:rsidR="00000000" w:rsidRPr="00000000">
        <w:rPr>
          <w:rtl w:val="0"/>
        </w:rPr>
        <w:t xml:space="preserve">elektronický výběr poplatků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(Electronic Fee Collection)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b w:val="1"/>
          <w:rtl w:val="0"/>
        </w:rPr>
        <w:t xml:space="preserve">OBU</w:t>
        <w:tab/>
      </w:r>
      <w:r w:rsidDel="00000000" w:rsidR="00000000" w:rsidRPr="00000000">
        <w:rPr>
          <w:rtl w:val="0"/>
        </w:rPr>
        <w:t xml:space="preserve">zařízení ve vozidle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(On Board Unit)</w:t>
      </w:r>
    </w:p>
    <w:p w:rsidR="00000000" w:rsidDel="00000000" w:rsidP="00000000" w:rsidRDefault="00000000" w:rsidRPr="00000000">
      <w:pPr>
        <w:pBdr/>
        <w:contextualSpacing w:val="0"/>
        <w:rPr>
          <w:i w:val="1"/>
        </w:rPr>
      </w:pPr>
      <w:r w:rsidDel="00000000" w:rsidR="00000000" w:rsidRPr="00000000">
        <w:rPr>
          <w:b w:val="1"/>
          <w:rtl w:val="0"/>
        </w:rPr>
        <w:t xml:space="preserve">RSE</w:t>
        <w:tab/>
      </w:r>
      <w:r w:rsidDel="00000000" w:rsidR="00000000" w:rsidRPr="00000000">
        <w:rPr>
          <w:rtl w:val="0"/>
        </w:rPr>
        <w:t xml:space="preserve">zařízení podél pozemní komunikace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(Road Side Equipment)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/>
      <w:pgMar w:bottom="1134" w:top="1417" w:left="1417" w:right="141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pBdr/>
      <w:contextualSpacing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0" locked="0" relativeHeight="0" simplePos="0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76200" cy="152400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2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0" locked="0" relativeHeight="0" simplePos="0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76200" cy="152400"/>
              <wp:effectExtent b="0" l="0" r="0" t="0"/>
              <wp:wrapSquare wrapText="bothSides" distB="0" distT="0" distL="114300" distR="11430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52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120" w:before="0" w:line="276" w:lineRule="auto"/>
        <w:ind w:left="0" w:right="0" w:firstLine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60" w:before="200" w:lineRule="auto"/>
      <w:contextualSpacing w:val="1"/>
    </w:pPr>
    <w:rPr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pBdr/>
      <w:tabs>
        <w:tab w:val="left" w:pos="7080"/>
        <w:tab w:val="right" w:pos="9923"/>
      </w:tabs>
      <w:spacing w:after="60" w:line="240" w:lineRule="auto"/>
      <w:contextualSpacing w:val="1"/>
      <w:jc w:val="center"/>
    </w:pPr>
    <w:rPr>
      <w:b w:val="1"/>
      <w:sz w:val="40"/>
      <w:szCs w:val="40"/>
    </w:rPr>
  </w:style>
  <w:style w:type="paragraph" w:styleId="Subtitle">
    <w:name w:val="Subtitle"/>
    <w:basedOn w:val="Normal"/>
    <w:next w:val="Normal"/>
    <w:pPr>
      <w:pBdr/>
      <w:spacing w:after="0" w:before="180" w:line="240" w:lineRule="auto"/>
      <w:contextualSpacing w:val="1"/>
      <w:jc w:val="left"/>
    </w:pPr>
    <w:rPr>
      <w:b w:val="1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image" Target="media/image6.gif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