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pBdr/>
        <w:tabs>
          <w:tab w:val="left" w:pos="7080"/>
          <w:tab w:val="right" w:pos="9923"/>
        </w:tabs>
        <w:spacing w:after="60" w:before="0" w:line="240" w:lineRule="auto"/>
        <w:contextualSpacing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EXTRAKT z technické specifikace 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/>
        <w:tabs>
          <w:tab w:val="left" w:pos="7080"/>
          <w:tab w:val="right" w:pos="9923"/>
        </w:tabs>
        <w:spacing w:after="6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6"/>
          <w:szCs w:val="16"/>
          <w:vertAlign w:val="baseline"/>
          <w:rtl w:val="0"/>
        </w:rPr>
        <w:t xml:space="preserve">ICS 35.240.60; 03.220.20</w:t>
        <w:tab/>
      </w: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923.0" w:type="dxa"/>
        <w:jc w:val="left"/>
        <w:tblLayout w:type="fixed"/>
        <w:tblLook w:val="0000"/>
      </w:tblPr>
      <w:tblGrid>
        <w:gridCol w:w="7371"/>
        <w:gridCol w:w="2552"/>
        <w:tblGridChange w:id="0">
          <w:tblGrid>
            <w:gridCol w:w="7371"/>
            <w:gridCol w:w="2552"/>
          </w:tblGrid>
        </w:tblGridChange>
      </w:tblGrid>
      <w:tr>
        <w:trPr>
          <w:trHeight w:val="1700" w:hRule="atLeast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ffffff"/>
          </w:tcPr>
          <w:p w:rsidR="00000000" w:rsidDel="00000000" w:rsidP="00000000" w:rsidRDefault="00000000" w:rsidRPr="00000000">
            <w:pPr>
              <w:widowControl w:val="1"/>
              <w:pBdr/>
              <w:spacing w:after="0" w:before="1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0"/>
              </w:rPr>
              <w:t xml:space="preserve">Elektronický výběr poplatků (EFC) – </w:t>
              <w:br w:type="textWrapping"/>
              <w:t xml:space="preserve">Posouzení shody zařízení s ISO/TS 17575-3 – </w:t>
              <w:br w:type="textWrapping"/>
              <w:t xml:space="preserve">Část 2: Abstraktní sestava zkoušek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fffff"/>
          </w:tcPr>
          <w:p w:rsidR="00000000" w:rsidDel="00000000" w:rsidP="00000000" w:rsidRDefault="00000000" w:rsidRPr="00000000">
            <w:pPr>
              <w:widowControl w:val="1"/>
              <w:pBdr/>
              <w:spacing w:after="0" w:before="1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0"/>
              </w:rPr>
              <w:br w:type="textWrapping"/>
              <w:t xml:space="preserve">ČSN P</w:t>
              <w:br w:type="textWrapping"/>
              <w:t xml:space="preserve">CEN ISO/TS</w:t>
              <w:br w:type="textWrapping"/>
              <w:t xml:space="preserve">16410-2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1"/>
        <w:keepLines w:val="1"/>
        <w:widowControl w:val="1"/>
        <w:pBdr/>
        <w:tabs>
          <w:tab w:val="left" w:pos="7920"/>
        </w:tabs>
        <w:spacing w:after="360" w:before="240" w:line="240" w:lineRule="auto"/>
        <w:contextualSpacing w:val="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sz w:val="28"/>
          <w:szCs w:val="28"/>
          <w:vertAlign w:val="baseline"/>
          <w:rtl w:val="0"/>
        </w:rPr>
        <w:t xml:space="preserve">12 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Úvod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Technická specifikace 16410-2 patří do skupiny normativních dokumentů umožňujících zavedení interoperabilních autonomních mýtných systémů. Důležitou součástí této skupiny jsou technické specifikace 17575 části 1 – 4 popisující datové struktury a způsob komunikace v rámci systému poskytovatele služby (Service Provider). Technická specifikace 17575 část 3 je zaměřena na popis datových struktur, prostřednictvím kterých je definován způsob výběru mýta v konkrétní oblasti, tarify i vlastní definice zpoplatněných objektů.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Poznámka: Extrakt přejímá původní číslování kapitol</w:t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technická specifikace je určena jako návod </w:t>
      </w:r>
      <w:r w:rsidDel="00000000" w:rsidR="00000000" w:rsidRPr="00000000">
        <w:rPr>
          <w:rtl w:val="0"/>
        </w:rPr>
        <w:t xml:space="preserve">posouzení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shody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autonomní mýtné palubní jednotky a centrálního systému s technickou specifikací 17575-3 jak z pohledu podporovaných schopností, tak z pohledu chování. Na základě výsledků zkoušek lze udělit schválení typu. Uživateli jsou technici, kteří implementují software pro mýtné jednotky, a pracovníci zkušebních laboratoří.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Souvisící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normy (výběr)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technická specifikace souvisí s následujícími normativními dokumenty: ISO/TS 17575-3 Definice </w:t>
      </w:r>
      <w:r w:rsidDel="00000000" w:rsidR="00000000" w:rsidRPr="00000000">
        <w:rPr>
          <w:rtl w:val="0"/>
        </w:rPr>
        <w:t xml:space="preserve">aplikačního rozhraní pro autonomní mýtné systémy,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část 3: Kon</w:t>
      </w:r>
      <w:r w:rsidDel="00000000" w:rsidR="00000000" w:rsidRPr="00000000">
        <w:rPr>
          <w:rtl w:val="0"/>
        </w:rPr>
        <w:t xml:space="preserve">textová data,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ISO/IEC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9646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Propojení otev</w:t>
      </w:r>
      <w:r w:rsidDel="00000000" w:rsidR="00000000" w:rsidRPr="00000000">
        <w:rPr>
          <w:rtl w:val="0"/>
        </w:rPr>
        <w:t xml:space="preserve">řených systémů (OSI), Metodologie posuzování shody.</w:t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1  Předmět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norma definuje abstraktní sestavu zkoušek (ATS) pro posouzení shody koncového zařízení a centrálního zařízení s požadavky ISO/TS 17575-3.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Cílem je poskytnout základ pro zkoušení shody koncových a centrálních zařízení v systému elektronického výběru poplatků, který se zakládá na autonomním palubním zařízení (OBE); tento základ umožní interoperabilitu mezi různými zařízeními od různých výrobců.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3  Termíny a definice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technická specifikace definuje čtyři termíny.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Dále tato kapitola obsahuje 9 zkratek, například: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DUT – zkoušené zařízení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(Device Under Tests)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IUT – zkoušená implementace 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(Implementation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nder 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i w:val="1"/>
          <w:sz w:val="20"/>
          <w:szCs w:val="20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Abstraktní popis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zkoušek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Zkoušet lze buď implementaci centrálního systém</w:t>
      </w:r>
      <w:r w:rsidDel="00000000" w:rsidR="00000000" w:rsidRPr="00000000">
        <w:rPr>
          <w:rtl w:val="0"/>
        </w:rPr>
        <w:t xml:space="preserve">u (b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ack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nd), nebo konco</w:t>
      </w:r>
      <w:r w:rsidDel="00000000" w:rsidR="00000000" w:rsidRPr="00000000">
        <w:rPr>
          <w:rtl w:val="0"/>
        </w:rPr>
        <w:t xml:space="preserve">vého zařízení (f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ront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). V obou případech je součástí zkoušené implementace i komunikační vrstva. Zkouška se zahájí spuštěním sady zkušebních případů zapsaných v jazyku TTCN-3.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Jak je patrné z obrázku 1, testovaný systém (zkoušená implementace) a tester jsou propojeny pomocí  komunikační vrstvy definované v ISO TS 17575-2.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0" locked="0" relativeHeight="0" simplePos="0">
            <wp:simplePos x="0" y="0"/>
            <wp:positionH relativeFrom="margin">
              <wp:posOffset>390525</wp:posOffset>
            </wp:positionH>
            <wp:positionV relativeFrom="paragraph">
              <wp:posOffset>66675</wp:posOffset>
            </wp:positionV>
            <wp:extent cx="4970780" cy="2097143"/>
            <wp:effectExtent b="0" l="0" r="0" t="0"/>
            <wp:wrapSquare wrapText="bothSides" distB="0" distT="0" distL="0" distR="0"/>
            <wp:docPr descr="ttcn3-tester.png" id="1" name="image2.png"/>
            <a:graphic>
              <a:graphicData uri="http://schemas.openxmlformats.org/drawingml/2006/picture">
                <pic:pic>
                  <pic:nvPicPr>
                    <pic:cNvPr descr="ttcn3-tester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2097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Obrázek 1</w:t>
      </w:r>
      <w:r w:rsidDel="00000000" w:rsidR="00000000" w:rsidRPr="00000000">
        <w:rPr>
          <w:b w:val="1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 Architektura testovacího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systému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 (obrázek </w:t>
      </w:r>
      <w:r w:rsidDel="00000000" w:rsidR="00000000" w:rsidRPr="00000000">
        <w:rPr>
          <w:b w:val="1"/>
          <w:rtl w:val="0"/>
        </w:rPr>
        <w:t xml:space="preserve">1 normy)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6  Neproveditelné zkoušky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Žádné nejsou známy.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7  Datové typy abstraktní sestavy zkoušek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Všechny datové typy potřebné k provedení sady zkušebních případů zapsaných v jazyce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TTCN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jsou dodány jako moduly ve formátu ASN.1. Jedná se 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ContextDataModule: obsahuje kontextová data (ContextData)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ChargingModule: obsahuje mimo jiné hlášení mýtného (ChargeReport) a odpověď na něj (ChargeReportResponse).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EfcModule: obsahuje mýtnou DSRC komunikaci mezi palubní jednotkou a zařízením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na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infrastruktuře.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CccModule: obsahuje kontrolní DSRC komunikaci mezi palubní jednotkou a zařízení na infrastruktuře.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DSRCModule: obsahuje popis pro DSRC komunikaci.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AVIAEINumberingAndDataStructures: obsahuje popis pro automatickou identifikaci zařízení a vozidla.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8 Externí funkce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Definice v TTCN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obsahuje tyto externí funkce: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Inicializace komunikační vrstvy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Uvolnění komunikační vrstvy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9 Filtrování zpráv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Aplikační datové jednotky (ADU) posílané mezi UIT a testerem, které nejsou součástí testovacích cílů, by měly být ignorovány. Do TTCN-3 kódu je proto přidán příkaz, kterým se všechny ADU nezpracované skriptem pro účely zkušebních případů, ignorují.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10 Konvence pro pojmenovávání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Pro vyšší přehlednost je v rámci TTCN-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doporučeno používat určité konvence při tvorbě identifikátorů. Konvence určují používání velkých a malých písmen, předpon a přípon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 dělení identifikátorů do částí oddělených „podtržítkem“.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V technické specifikaci je dále na příkladech ukázán způsob pojmenovávání různých objektů v rámci TTCN</w:t>
      </w:r>
      <w:r w:rsidDel="00000000" w:rsidR="00000000" w:rsidRPr="00000000">
        <w:rPr>
          <w:rtl w:val="0"/>
        </w:rPr>
        <w:t xml:space="preserve">-3, viz tabulka 1.</w:t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center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Tabulka 1. Příkad konvencí pro pojmenovávání identifikátorů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v TTCN-</w:t>
      </w:r>
      <w:r w:rsidDel="00000000" w:rsidR="00000000" w:rsidRPr="00000000">
        <w:rPr>
          <w:b w:val="1"/>
          <w:rtl w:val="0"/>
        </w:rPr>
        <w:t xml:space="preserve">3</w:t>
      </w:r>
    </w:p>
    <w:tbl>
      <w:tblPr>
        <w:tblStyle w:val="Table2"/>
        <w:bidiVisual w:val="0"/>
        <w:tblW w:w="90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935"/>
        <w:gridCol w:w="1170"/>
        <w:gridCol w:w="975"/>
        <w:gridCol w:w="2055"/>
        <w:gridCol w:w="1245"/>
        <w:tblGridChange w:id="0">
          <w:tblGrid>
            <w:gridCol w:w="1710"/>
            <w:gridCol w:w="1935"/>
            <w:gridCol w:w="1170"/>
            <w:gridCol w:w="975"/>
            <w:gridCol w:w="2055"/>
            <w:gridCol w:w="124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Prvek jazyka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Konvence pojmenování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Předpona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Přípona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Příklad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Poznámka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Počáteční písmeno velké (camel case)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žádná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žádná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ContextData_TE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Skupina testů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Všechna písmena velká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žádná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žádná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TP_RT_PS_TR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Skupina položek v rámci modulu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Počáteční písmeno velké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žádná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žádná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Valid_Behaviour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Popsán je také způsob pojmenovávání zkušebních případů, ze kterého je možné zjistit: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skupinu zkušebního případu,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zařízení, kterého se zkouška týká (Back End nebo Front End),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typ zkoušky (pozitivní nebo negativní),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sekvenční číslo zkoušky.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0" w:before="0" w:line="240" w:lineRule="auto"/>
        <w:ind w:left="0" w:righ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0" w:before="0" w:line="240" w:lineRule="auto"/>
        <w:ind w:left="0" w:right="0" w:firstLine="0"/>
        <w:contextualSpacing w:val="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Dále je popsáno tvoření jmen modulů TTCN-3.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_TypesAndValues: modul obsahuje všechny datové typy a konstanty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_Functions: modul obsahuje funkce TTCN-3 určené pro porovnávání a ověření správnosti výsledků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_Templates: modul obsahuje šablony odesílaných a přijímaných zpráv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_Pixits: modul obsahuje rozšířené informace o implementaci (PIXIT) pro automatickou konfiguraci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_PICS: modul obsahuje definice 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_TCs: modul obsahuje  zkušební případy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4"/>
        </w:numPr>
        <w:pBdr/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_TE: modul obsahuje řídící část zkušebního skriptu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0" w:before="0" w:line="240" w:lineRule="auto"/>
        <w:ind w:left="0" w:righ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0" w:before="0" w:line="240" w:lineRule="auto"/>
        <w:ind w:left="0" w:righ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Příloha A  </w:t>
      </w:r>
      <w:r w:rsidDel="00000000" w:rsidR="00000000" w:rsidRPr="00000000">
        <w:rPr>
          <w:rFonts w:ascii="Arial" w:cs="Arial" w:eastAsia="Arial" w:hAnsi="Arial"/>
          <w:b w:val="0"/>
          <w:i w:val="1"/>
          <w:sz w:val="22"/>
          <w:szCs w:val="22"/>
          <w:vertAlign w:val="baseline"/>
          <w:rtl w:val="0"/>
        </w:rPr>
        <w:t xml:space="preserve">(normativní)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Knihovna TTCN-3 modulů </w:t>
      </w:r>
      <w:r w:rsidDel="00000000" w:rsidR="00000000" w:rsidRPr="00000000">
        <w:rPr>
          <w:b w:val="1"/>
          <w:sz w:val="22"/>
          <w:szCs w:val="22"/>
          <w:rtl w:val="0"/>
        </w:rPr>
        <w:t xml:space="preserve">pro koncové zařízení a centrální systém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Jedná se o elektronickou přílohu tvořenou dvěma archivy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pBdr/>
        <w:spacing w:after="120" w:before="0" w:line="240" w:lineRule="auto"/>
        <w:ind w:left="78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„ContextData_ttcn3_asn1.zip“, který obsahuje skripty TTCN-3 a definice datových typů v ASN.1.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pBdr/>
        <w:spacing w:after="120" w:before="0" w:line="240" w:lineRule="auto"/>
        <w:ind w:left="78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„ContextData_html_doc.zip“, HTML dokumentace.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Příloha B  </w:t>
      </w:r>
      <w:r w:rsidDel="00000000" w:rsidR="00000000" w:rsidRPr="00000000">
        <w:rPr>
          <w:rFonts w:ascii="Arial" w:cs="Arial" w:eastAsia="Arial" w:hAnsi="Arial"/>
          <w:b w:val="0"/>
          <w:i w:val="1"/>
          <w:sz w:val="22"/>
          <w:szCs w:val="22"/>
          <w:vertAlign w:val="baseline"/>
          <w:rtl w:val="0"/>
        </w:rPr>
        <w:t xml:space="preserve">(informativní)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Proforma formulář PIXI</w:t>
      </w:r>
      <w:r w:rsidDel="00000000" w:rsidR="00000000" w:rsidRPr="00000000">
        <w:rPr>
          <w:b w:val="1"/>
          <w:sz w:val="22"/>
          <w:szCs w:val="22"/>
          <w:rtl w:val="0"/>
        </w:rPr>
        <w:t xml:space="preserve">T pro koncové zařízení a centrální systém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Proforma protokolu s rozšířenými informacemi o implementaci pro potřeby zkoušení centrálního systému a koncového zařízení (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PIXIT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/>
      <w:pgMar w:bottom="1417" w:top="1417" w:left="1417" w:right="141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widowControl w:val="1"/>
      <w:pBdr/>
      <w:tabs>
        <w:tab w:val="center" w:pos="4536"/>
        <w:tab w:val="right" w:pos="9072"/>
      </w:tabs>
      <w:spacing w:after="0" w:before="0" w:line="240" w:lineRule="auto"/>
      <w:contextualSpacing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0" locked="0" relativeHeight="0" simplePos="0">
              <wp:simplePos x="0" y="0"/>
              <wp:positionH relativeFrom="margin">
                <wp:posOffset>2832100</wp:posOffset>
              </wp:positionH>
              <wp:positionV relativeFrom="paragraph">
                <wp:posOffset>0</wp:posOffset>
              </wp:positionV>
              <wp:extent cx="76200" cy="152400"/>
              <wp:effectExtent b="0" l="0" r="0" t="0"/>
              <wp:wrapSquare wrapText="bothSides" distB="0" distT="0" distL="0" distR="0"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10757" y="3707292"/>
                        <a:ext cx="70484" cy="1454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0" locked="0" relativeHeight="0" simplePos="0">
              <wp:simplePos x="0" y="0"/>
              <wp:positionH relativeFrom="margin">
                <wp:posOffset>2832100</wp:posOffset>
              </wp:positionH>
              <wp:positionV relativeFrom="paragraph">
                <wp:posOffset>0</wp:posOffset>
              </wp:positionV>
              <wp:extent cx="76200" cy="152400"/>
              <wp:effectExtent b="0" l="0" r="0" t="0"/>
              <wp:wrapSquare wrapText="bothSides" distB="0" distT="0" distL="0" distR="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2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80" w:firstLine="42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