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wordprocessingml.comments+xml" PartName="/word/comments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background w:color="FFFFFF"/>
  <w:body>
    <w:p w:rsidR="00000000" w:rsidDel="00000000" w:rsidP="00000000" w:rsidRDefault="00000000" w:rsidRPr="00000000">
      <w:pPr>
        <w:widowControl w:val="0"/>
        <w:pBdr/>
        <w:tabs>
          <w:tab w:val="left" w:pos="7080"/>
        </w:tabs>
        <w:spacing w:after="60" w:before="0" w:line="240" w:lineRule="auto"/>
        <w:contextualSpacing w:val="0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sz w:val="40"/>
          <w:szCs w:val="40"/>
          <w:vertAlign w:val="baseline"/>
          <w:rtl w:val="0"/>
        </w:rPr>
        <w:t xml:space="preserve">EXTRAKT z mezinárodní normy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6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vertAlign w:val="baseline"/>
          <w:rtl w:val="0"/>
        </w:rPr>
        <w:t xml:space="preserve">Extrakt nenahrazuje samotnou technickou normu, je pouze informativním materiálem o normě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widowControl w:val="0"/>
        <w:pBdr/>
        <w:tabs>
          <w:tab w:val="left" w:pos="7371"/>
          <w:tab w:val="right" w:pos="9923"/>
        </w:tabs>
        <w:spacing w:after="6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16"/>
          <w:szCs w:val="16"/>
          <w:vertAlign w:val="baseline"/>
          <w:rtl w:val="0"/>
        </w:rPr>
        <w:t xml:space="preserve">ICS 03.220.20; 35.240.60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ab/>
      </w:r>
      <w:r w:rsidDel="00000000" w:rsidR="00000000" w:rsidRPr="00000000">
        <w:rPr>
          <w:rtl w:val="0"/>
        </w:rPr>
      </w:r>
    </w:p>
    <w:tbl>
      <w:tblPr>
        <w:tblStyle w:val="Table1"/>
        <w:bidiVisual w:val="0"/>
        <w:tblW w:w="9923.0" w:type="dxa"/>
        <w:jc w:val="left"/>
        <w:tblBorders>
          <w:top w:color="000000" w:space="0" w:sz="12" w:val="single"/>
          <w:bottom w:color="000000" w:space="0" w:sz="12" w:val="single"/>
        </w:tblBorders>
        <w:tblLayout w:type="fixed"/>
        <w:tblLook w:val="0000"/>
      </w:tblPr>
      <w:tblGrid>
        <w:gridCol w:w="7371"/>
        <w:gridCol w:w="2552"/>
        <w:tblGridChange w:id="0">
          <w:tblGrid>
            <w:gridCol w:w="7371"/>
            <w:gridCol w:w="2552"/>
          </w:tblGrid>
        </w:tblGridChange>
      </w:tblGrid>
      <w:tr>
        <w:trPr>
          <w:trHeight w:val="1700" w:hRule="atLeast"/>
        </w:trPr>
        <w:tc>
          <w:tcPr/>
          <w:p w:rsidR="00000000" w:rsidDel="00000000" w:rsidP="00000000" w:rsidRDefault="00000000" w:rsidRPr="00000000">
            <w:pPr>
              <w:widowControl w:val="0"/>
              <w:pBdr/>
              <w:spacing w:after="0" w:before="640" w:line="240" w:lineRule="auto"/>
              <w:ind w:right="567"/>
              <w:contextualSpacing w:val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sz w:val="28"/>
                <w:szCs w:val="28"/>
                <w:vertAlign w:val="baseline"/>
                <w:rtl w:val="0"/>
              </w:rPr>
              <w:t xml:space="preserve">Elektronický výběr poplatků (EFC) –</w:t>
              <w:br w:type="textWrapping"/>
              <w:t xml:space="preserve">Funkční charakteristiky výběru poplatků – </w:t>
              <w:br w:type="textWrapping"/>
              <w:t xml:space="preserve">Část 2: Rámec pro zkoušení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>
            <w:pPr>
              <w:pBdr/>
              <w:spacing w:after="0" w:before="180" w:line="240" w:lineRule="auto"/>
              <w:contextualSpacing w:val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sz w:val="32"/>
                <w:szCs w:val="32"/>
                <w:vertAlign w:val="baseline"/>
                <w:rtl w:val="0"/>
              </w:rPr>
              <w:t xml:space="preserve">ČSN P</w:t>
              <w:br w:type="textWrapping"/>
              <w:t xml:space="preserve">CEN ISO/TS 17444-2</w:t>
              <w:br w:type="textWrapping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>
            <w:pPr>
              <w:pBdr/>
              <w:spacing w:after="80" w:before="80" w:line="240" w:lineRule="auto"/>
              <w:contextualSpacing w:val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sz w:val="28"/>
                <w:szCs w:val="28"/>
                <w:vertAlign w:val="baseline"/>
                <w:rtl w:val="0"/>
              </w:rPr>
              <w:t xml:space="preserve">01 8398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>
      <w:pPr>
        <w:keepNext w:val="1"/>
        <w:keepLines w:val="1"/>
        <w:pBdr/>
        <w:tabs>
          <w:tab w:val="center" w:pos="0"/>
          <w:tab w:val="center" w:pos="7938"/>
        </w:tabs>
        <w:spacing w:after="360" w:before="24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sz w:val="28"/>
          <w:szCs w:val="28"/>
          <w:vertAlign w:val="baseline"/>
          <w:rtl w:val="0"/>
        </w:rPr>
        <w:tab/>
        <w:t xml:space="preserve">104 stran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r w:rsidDel="00000000" w:rsidR="00000000" w:rsidRPr="00000000">
        <w:rPr>
          <w:b w:val="1"/>
          <w:vertAlign w:val="baseline"/>
          <w:rtl w:val="0"/>
        </w:rPr>
        <w:t xml:space="preserve">Úvod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vertAlign w:val="baseline"/>
          <w:rtl w:val="0"/>
        </w:rPr>
        <w:t xml:space="preserve">Tato technická specifikace </w:t>
      </w:r>
      <w:r w:rsidDel="00000000" w:rsidR="00000000" w:rsidRPr="00000000">
        <w:rPr>
          <w:b w:val="1"/>
          <w:vertAlign w:val="baseline"/>
          <w:rtl w:val="0"/>
        </w:rPr>
        <w:t xml:space="preserve">defin</w:t>
      </w:r>
      <w:r w:rsidDel="00000000" w:rsidR="00000000" w:rsidRPr="00000000">
        <w:rPr>
          <w:b w:val="1"/>
          <w:vertAlign w:val="baseline"/>
          <w:rtl w:val="0"/>
        </w:rPr>
        <w:t xml:space="preserve">uje rámec </w:t>
      </w:r>
      <w:r w:rsidDel="00000000" w:rsidR="00000000" w:rsidRPr="00000000">
        <w:rPr>
          <w:b w:val="1"/>
          <w:rtl w:val="0"/>
        </w:rPr>
        <w:t xml:space="preserve">zkoušek</w:t>
      </w:r>
      <w:r w:rsidDel="00000000" w:rsidR="00000000" w:rsidRPr="00000000">
        <w:rPr>
          <w:b w:val="1"/>
          <w:vertAlign w:val="baseline"/>
          <w:rtl w:val="0"/>
        </w:rPr>
        <w:t xml:space="preserve"> a metod pro</w:t>
      </w:r>
      <w:r w:rsidDel="00000000" w:rsidR="00000000" w:rsidRPr="00000000">
        <w:rPr>
          <w:b w:val="1"/>
          <w:vertAlign w:val="baseline"/>
          <w:rtl w:val="0"/>
        </w:rPr>
        <w:t xml:space="preserve"> měření výkonnostních metrik</w:t>
      </w:r>
      <w:r w:rsidDel="00000000" w:rsidR="00000000" w:rsidRPr="00000000">
        <w:rPr>
          <w:vertAlign w:val="baseline"/>
          <w:rtl w:val="0"/>
        </w:rPr>
        <w:t xml:space="preserve">, </w:t>
      </w:r>
      <w:r w:rsidDel="00000000" w:rsidR="00000000" w:rsidRPr="00000000">
        <w:rPr>
          <w:vertAlign w:val="baseline"/>
          <w:rtl w:val="0"/>
        </w:rPr>
        <w:t xml:space="preserve">definovaných</w:t>
      </w:r>
      <w:r w:rsidDel="00000000" w:rsidR="00000000" w:rsidRPr="00000000">
        <w:rPr>
          <w:vertAlign w:val="baseline"/>
          <w:rtl w:val="0"/>
        </w:rPr>
        <w:t xml:space="preserve"> v části 1 technické specifikace 17444 (viz kapitola Související normy, ISO 17444-1). Rovněž poskytuje nástroj (tato technická specifikace je konstruována jako tzv. „toolbox“) pro volbu výkonnostních metrik v závislosti na požadavcích a podmínkách individuálních projektů. Tyto metriky se zaměřují na procesy mýtného systému, jež přímo souvisejí s výpočtem výsledného mýta – s cílem ochránit zájmy zúčastněných stran, zejména regulérních uživatelů mýtného systému a úřadu jež vykonává roli výběrčího mýta. Jejich použití je možné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contextualSpacing w:val="0"/>
        <w:rPr/>
      </w:pPr>
      <w:r w:rsidDel="00000000" w:rsidR="00000000" w:rsidRPr="00000000">
        <w:rPr>
          <w:vertAlign w:val="baseline"/>
          <w:rtl w:val="0"/>
        </w:rPr>
        <w:t xml:space="preserve">v rámci jakéhokoliv mýtného systému, bez ohledu na konkrétní technickou implementaci, systémovou architekturu, strukturu tarifů, rozsahu pokrytí čí organizačního modelu. Zkušební rámce a metody pro výpočet jednotlivých metrik mohou být definovány individuálně pro následující fáze projektu mýtného systému (rozdíl v těchto fázích je v dostupnosti vozidel vybavených jednotkou OBU, což je důležitý faktor v rámci procesu měření výkonnostních metrik jež souvisejí s kalkulací mýtného):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ind w:left="720" w:hanging="360"/>
        <w:rPr/>
      </w:pPr>
      <w:r w:rsidDel="00000000" w:rsidR="00000000" w:rsidRPr="00000000">
        <w:rPr>
          <w:vertAlign w:val="baseline"/>
          <w:rtl w:val="0"/>
        </w:rPr>
        <w:t xml:space="preserve">Fáze kontrolní (či vyhodnocení) v rámci implementace systému (relativně nízký počet vozidel vybavených jednotkou OBU, nicméně s kontrolovatelným chováním)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ind w:left="720" w:hanging="360"/>
        <w:rPr/>
      </w:pPr>
      <w:r w:rsidDel="00000000" w:rsidR="00000000" w:rsidRPr="00000000">
        <w:rPr>
          <w:vertAlign w:val="baseline"/>
          <w:rtl w:val="0"/>
        </w:rPr>
        <w:t xml:space="preserve">Fáze monitorování v rámci provozu systému (vysoký počet vozidel vybavených jednotkou OBU, bez kontrolovatelného chování)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widowControl w:val="1"/>
        <w:pBdr/>
        <w:spacing w:after="0" w:before="0" w:line="240" w:lineRule="auto"/>
        <w:ind w:left="0" w:right="0" w:firstLine="0"/>
        <w:contextualSpacing w:val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widowControl w:val="1"/>
        <w:pBdr/>
        <w:spacing w:after="0" w:before="0" w:line="240" w:lineRule="auto"/>
        <w:ind w:left="0" w:right="0" w:firstLine="0"/>
        <w:contextualSpacing w:val="0"/>
        <w:jc w:val="left"/>
        <w:rPr/>
      </w:pPr>
      <w:r w:rsidDel="00000000" w:rsidR="00000000" w:rsidRPr="00000000">
        <w:rPr>
          <w:b w:val="0"/>
          <w:sz w:val="20"/>
          <w:szCs w:val="20"/>
          <w:rtl w:val="0"/>
        </w:rPr>
        <w:t xml:space="preserve">Poznámka: Extrakt přejímá původní číslování kapitol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r w:rsidDel="00000000" w:rsidR="00000000" w:rsidRPr="00000000">
        <w:rPr>
          <w:b w:val="1"/>
          <w:vertAlign w:val="baseline"/>
          <w:rtl w:val="0"/>
        </w:rPr>
        <w:t xml:space="preserve">Užití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Tato norma slouží k definovaní rámce zkušebních testů jež jsou určeny k měření výkonnostních metrik souvisejících s procesem kalkulace mýtného v rámci mýtného systému.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vertAlign w:val="baseline"/>
          <w:rtl w:val="0"/>
        </w:rPr>
        <w:t xml:space="preserve">Pro subjekty nesoucí zodpovědnost za role výběrčího mýtného a poskytovatele služby mýtného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poskytuje tato norma návod jak provést kontrolu výkonnostních metrik v rámci kontrolní fáze a fáze monitorování během regulérního provozu mýtného systému.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r w:rsidDel="00000000" w:rsidR="00000000" w:rsidRPr="00000000">
        <w:rPr>
          <w:b w:val="1"/>
          <w:vertAlign w:val="baseline"/>
          <w:rtl w:val="0"/>
        </w:rPr>
        <w:t xml:space="preserve">2Souvis</w:t>
      </w:r>
      <w:r w:rsidDel="00000000" w:rsidR="00000000" w:rsidRPr="00000000">
        <w:rPr>
          <w:rtl w:val="0"/>
        </w:rPr>
        <w:t xml:space="preserve">í</w:t>
      </w:r>
      <w:r w:rsidDel="00000000" w:rsidR="00000000" w:rsidRPr="00000000">
        <w:rPr>
          <w:b w:val="1"/>
          <w:vertAlign w:val="baseline"/>
          <w:rtl w:val="0"/>
        </w:rPr>
        <w:t xml:space="preserve">cí normy</w:t>
      </w:r>
      <w:r w:rsidDel="00000000" w:rsidR="00000000" w:rsidRPr="00000000">
        <w:rPr>
          <w:b w:val="1"/>
          <w:vertAlign w:val="baseline"/>
          <w:rtl w:val="0"/>
        </w:rPr>
        <w:t xml:space="preserve"> (výběr)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ČSN EN ISO </w:t>
      </w:r>
      <w:r w:rsidDel="00000000" w:rsidR="00000000" w:rsidRPr="00000000">
        <w:rPr>
          <w:rtl w:val="0"/>
        </w:rPr>
        <w:t xml:space="preserve">14906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(01 83</w:t>
      </w:r>
      <w:r w:rsidDel="00000000" w:rsidR="00000000" w:rsidRPr="00000000">
        <w:rPr>
          <w:rtl w:val="0"/>
        </w:rPr>
        <w:t xml:space="preserve">82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) Elektronický výběr poplatků (EFC) – Stanovení aplikačního rozhraní</w:t>
      </w:r>
      <w:r w:rsidDel="00000000" w:rsidR="00000000" w:rsidRPr="00000000">
        <w:rPr>
          <w:rtl w:val="0"/>
        </w:rPr>
        <w:t xml:space="preserve"> pro vyhrazené spojení krátkého rozsahu</w:t>
      </w:r>
    </w:p>
    <w:p w:rsidR="00000000" w:rsidDel="00000000" w:rsidP="00000000" w:rsidRDefault="00000000" w:rsidRPr="00000000">
      <w:pPr>
        <w:pBdr/>
        <w:spacing w:after="120" w:lineRule="auto"/>
        <w:contextualSpacing w:val="0"/>
        <w:jc w:val="both"/>
        <w:rPr/>
      </w:pPr>
      <w:r w:rsidDel="00000000" w:rsidR="00000000" w:rsidRPr="00000000">
        <w:rPr>
          <w:rtl w:val="0"/>
        </w:rPr>
        <w:t xml:space="preserve">ČSN ISO 17573:2012 (01 8383) Elektronický výběr poplatků (EFC) – Architektura systémů zpoplatňujících vozidla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ČSN EN ISO 12855:2012 (01 8295) Elektronický výběr poplatků (EFC) – Výměna informací mezi poskytovateli a výběrčími mýtného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ČSN P CEN ISO/TS 17575:2010 (01 8385) Elektronický výběr poplatků (EFC) – Definice aplikačního rozhraní pro autonomní systémy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r w:rsidDel="00000000" w:rsidR="00000000" w:rsidRPr="00000000">
        <w:rPr>
          <w:b w:val="1"/>
          <w:vertAlign w:val="baseline"/>
          <w:rtl w:val="0"/>
        </w:rPr>
        <w:t xml:space="preserve">1 Předmět normy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Tato část normy 17444 definuje zkušební rámec (nebo také rámec pro zkoušení) určený k měření výkonnostních metrik souvisejících s procesem kalkulace mýta (definované v ISO/TS 17444-1). Zároveň obsahuje metodiku ke specifikaci a dokumentaci takového rámce, jež může být odpovědným subjektem použit k ohodnocení výkonu zpoplatnění konkrétního rozhraní pro výměnu informací nebo celkový výkon zpoplatnění v rámci mýtného schématu. Poskytuje nástroje pro zkušební testy pro role výběrčího mýtného a poskytovatele mýtné služby u následujících typů schémat: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3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Diskrétní DSRC;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3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Autonomní diskrétní;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3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Autonomní spojité.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Předmětem této normy není následující: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konkrétní obory hodnot daných výkonnostních metrik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referenční systém potřebný pro porovnání výkonu mezi různými systémy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měření metrik na nestandardizovaných rozhraních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1"/>
        <w:keepLines w:val="1"/>
        <w:pBdr/>
        <w:spacing w:after="18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3 Termíny a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definice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Kapitola obsahuje 35 termínů a definic souvisejících s touto normou.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Klíčové termíny: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vertAlign w:val="baseline"/>
          <w:rtl w:val="0"/>
        </w:rPr>
        <w:t xml:space="preserve">3.10</w:t>
        <w:br w:type="textWrapping"/>
        <w:t xml:space="preserve">diskrétní mýtné schéma 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 xml:space="preserve">(discrete toll scheme)</w:t>
        <w:tab/>
        <w:br w:type="textWrapping"/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mýtné schéma, ve kterém je poplatek vypočítán na základě nespojitých událostí, které jsou přiřazené k identifikaci mýtných objektů, jako jsou přejetí kordónu, mostu, pobývání v určité oblasti atd.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200" w:before="8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18"/>
          <w:szCs w:val="18"/>
          <w:vertAlign w:val="baseline"/>
          <w:rtl w:val="0"/>
        </w:rPr>
        <w:t xml:space="preserve">POZNÁMKA 1 k heslu Každé události je přiřazen určitý poplatek.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vertAlign w:val="baseline"/>
          <w:rtl w:val="0"/>
        </w:rPr>
        <w:t xml:space="preserve">3.11</w:t>
        <w:br w:type="textWrapping"/>
        <w:t xml:space="preserve">spojité mýtné schéma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 xml:space="preserve">(continuous toll scheme)</w:t>
        <w:tab/>
        <w:br w:type="textWrapping"/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mýtné schéma, ve kterém je poplatek vypočítán na základě souhrnu spojitě měřených parametrů, jako je vzdálenost, čas atd.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vertAlign w:val="baseline"/>
          <w:rtl w:val="0"/>
        </w:rPr>
        <w:t xml:space="preserve">3.20</w:t>
        <w:br w:type="textWrapping"/>
        <w:t xml:space="preserve">metriky výkonu 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 xml:space="preserve">(performance metrics)</w:t>
        <w:tab/>
        <w:br w:type="textWrapping"/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specifické výpočty k popisu výkonu systému zpoplatnění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200" w:before="8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18"/>
          <w:szCs w:val="18"/>
          <w:vertAlign w:val="baseline"/>
          <w:rtl w:val="0"/>
        </w:rPr>
        <w:t xml:space="preserve">POZNÁMKA 1 k heslu Tyto výpočty jsou nezávislé na technologii a schématu.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vertAlign w:val="baseline"/>
          <w:rtl w:val="0"/>
        </w:rPr>
        <w:t xml:space="preserve">3.23</w:t>
        <w:br w:type="textWrapping"/>
        <w:t xml:space="preserve">reprezentativní cesty 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 xml:space="preserve">(representative trips)</w:t>
        <w:tab/>
        <w:br w:type="textWrapping"/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cesty, které jsou delší než definovaná mez a proto musí být započteny do příslušných metrik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200" w:before="8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18"/>
          <w:szCs w:val="18"/>
          <w:vertAlign w:val="baseline"/>
          <w:rtl w:val="0"/>
        </w:rPr>
        <w:t xml:space="preserve">POZNÁMKA 1 k heslu Musí být posuzovány pouze ty cesty, které překračují danou hranici a využívají určitý typ silnic.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200" w:before="8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18"/>
          <w:szCs w:val="18"/>
          <w:vertAlign w:val="baseline"/>
          <w:rtl w:val="0"/>
        </w:rPr>
        <w:t xml:space="preserve">POZNÁMKA 2 k heslu Hranice může být definována jako nula.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vertAlign w:val="baseline"/>
          <w:rtl w:val="0"/>
        </w:rPr>
        <w:t xml:space="preserve">3.26</w:t>
        <w:br w:type="textWrapping"/>
        <w:t xml:space="preserve">konkrétní rámec pro zkoušení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 xml:space="preserve">(specific examination framework)</w:t>
        <w:tab/>
        <w:br w:type="textWrapping"/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konkrétní sada zkušebních testů stanovená entitou za účelem určení výkonu určitých vybraných metrik výkonu zpoplatnění v průběhu evaluace anebo monitorování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1"/>
        <w:keepLines w:val="1"/>
        <w:pBdr/>
        <w:spacing w:after="18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4 </w:t>
      </w:r>
      <w:r w:rsidDel="00000000" w:rsidR="00000000" w:rsidRPr="00000000">
        <w:rPr>
          <w:b w:val="1"/>
          <w:sz w:val="24"/>
          <w:szCs w:val="24"/>
          <w:rtl w:val="0"/>
        </w:rPr>
        <w:t xml:space="preserve">Z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kratky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Tato kapitola obsahuje 40 zkratek a zkrácených odborných termínů, vztahujících se k předmětu normy.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tabs>
          <w:tab w:val="left" w:pos="1134"/>
        </w:tabs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DSRC</w:t>
        <w:tab/>
        <w:t xml:space="preserve">vyhrazené spojení krátkého dosahu 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 xml:space="preserve">(Dedicated Short Range Communications 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tabs>
          <w:tab w:val="left" w:pos="1134"/>
        </w:tabs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EFC</w:t>
        <w:tab/>
        <w:t xml:space="preserve">elektronický výběr poplatků 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 xml:space="preserve">(Electronic Fee Collection)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tabs>
          <w:tab w:val="left" w:pos="1134"/>
        </w:tabs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EETS</w:t>
        <w:tab/>
        <w:t xml:space="preserve">evropský systém elektronického vybírání mýtného (ISO 17573) 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 xml:space="preserve">(European Electronic Toll Service)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tabs>
          <w:tab w:val="left" w:pos="1134"/>
        </w:tabs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OBE</w:t>
        <w:tab/>
        <w:t xml:space="preserve">palubní zařízení 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 xml:space="preserve">(On-Board Equipment)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tabs>
          <w:tab w:val="left" w:pos="1134"/>
        </w:tabs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TSP</w:t>
        <w:tab/>
        <w:t xml:space="preserve">poskytovatel služby mýtného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 xml:space="preserve">(Toll Service Provider)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tabs>
          <w:tab w:val="left" w:pos="1134"/>
        </w:tabs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TC</w:t>
        <w:tab/>
        <w:t xml:space="preserve">výběrčí mýtného 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 xml:space="preserve">(Toll Charger)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tabs>
          <w:tab w:val="left" w:pos="1134"/>
        </w:tabs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TD</w:t>
        <w:tab/>
        <w:t xml:space="preserve">výkaz o mýtném 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vertAlign w:val="baseline"/>
          <w:rtl w:val="0"/>
        </w:rPr>
        <w:t xml:space="preserve">(Toll Declaration)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tabs>
          <w:tab w:val="left" w:pos="1134"/>
        </w:tabs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1"/>
        <w:keepLines w:val="1"/>
        <w:pBdr/>
        <w:spacing w:after="18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5 Zkušební rámec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2"/>
        <w:pBdr/>
        <w:spacing w:before="240" w:lineRule="auto"/>
        <w:contextualSpacing w:val="0"/>
        <w:rPr/>
      </w:pPr>
      <w:r w:rsidDel="00000000" w:rsidR="00000000" w:rsidRPr="00000000">
        <w:rPr>
          <w:b w:val="1"/>
          <w:vertAlign w:val="baseline"/>
          <w:rtl w:val="0"/>
        </w:rPr>
        <w:t xml:space="preserve">5.2 Metoda pro definování specifického zkušebního rámce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Tato kapitola popisuje kroky k vytvoření konkrétního zkušebního rámce pro vy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hodnocení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výkonnostních metrik pro role výběrčího mýta a poskytovatele služby mýtného v rámci konkrétního mýtného schématu. Mezi kroky uvedené v normě patří např.: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Výběr metriky a testovacího prostředí v němž lze metriky měřit;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Definice týkající se problematiky vstupních dat a zdrojů vstupních dat;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Reprezentativnost testovacích jízd.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2"/>
        <w:pBdr/>
        <w:spacing w:before="240" w:lineRule="auto"/>
        <w:contextualSpacing w:val="0"/>
        <w:rPr/>
      </w:pPr>
      <w:r w:rsidDel="00000000" w:rsidR="00000000" w:rsidRPr="00000000">
        <w:rPr>
          <w:b w:val="1"/>
          <w:vertAlign w:val="baseline"/>
          <w:rtl w:val="0"/>
        </w:rPr>
        <w:t xml:space="preserve">5.3 Zdroje dat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Tato kapitola se zabývá výběrem vstupních dat určených k testům jednotlivých výkonnostních metrik a skutečnostmi, jež mohou tento výběr ovlivnit. Mezi takové skutečnosti patří např. to v jaké fázi implementace se mýtný systém nachází (má vliv na dostupnost vstupních dat testů). Rovněž prezentuje seznam zdrojů referenčních dat nutných ke kontrole výsledků testů.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2"/>
        <w:pBdr/>
        <w:spacing w:before="240" w:lineRule="auto"/>
        <w:contextualSpacing w:val="0"/>
        <w:rPr/>
      </w:pPr>
      <w:r w:rsidDel="00000000" w:rsidR="00000000" w:rsidRPr="00000000">
        <w:rPr>
          <w:b w:val="1"/>
          <w:vertAlign w:val="baseline"/>
          <w:rtl w:val="0"/>
        </w:rPr>
        <w:t xml:space="preserve">5.4 Metody generování vstupu (dat pro kalkulaci mýtného)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V rámci určování metody generování vstupních dat (viz výše) je nutné brát v potaz výhody a nevýhody jednotlivých metod (zejména je nutné brát ohled na počet OBE nutných pro vykonání testu, počet mýtných objektů vs. počet mýtných objektů zahrnutých v testu atd.). Tato kapitola popisuje jednotlivé metody a jejich charakteristiky.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2"/>
        <w:pBdr/>
        <w:spacing w:before="240" w:lineRule="auto"/>
        <w:contextualSpacing w:val="0"/>
        <w:rPr/>
      </w:pPr>
      <w:r w:rsidDel="00000000" w:rsidR="00000000" w:rsidRPr="00000000">
        <w:rPr>
          <w:b w:val="1"/>
          <w:vertAlign w:val="baseline"/>
          <w:rtl w:val="0"/>
        </w:rPr>
        <w:t xml:space="preserve">5.5 Použitelnost metrik na jednotlivé typy mýtných schémat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Tato kapitola přiřazuje výkonnostní metriky jednotlivým typům mýtných schémat: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DSRC schéma (</w:t>
      </w:r>
      <w:r w:rsidDel="00000000" w:rsidR="00000000" w:rsidRPr="00000000">
        <w:rPr>
          <w:rtl w:val="0"/>
        </w:rPr>
        <w:t xml:space="preserve">jeden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výběrčí mýta a jeden nebo více poskytovatelů služby mýtného)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Autonomní diskrétní schéma (</w:t>
      </w:r>
      <w:r w:rsidDel="00000000" w:rsidR="00000000" w:rsidRPr="00000000">
        <w:rPr>
          <w:rtl w:val="0"/>
        </w:rPr>
        <w:t xml:space="preserve">jeden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výběrčí mýta a jeden nebo více poskytovatelů služby mýtného)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Autonomní spojité schéma (</w:t>
      </w:r>
      <w:r w:rsidDel="00000000" w:rsidR="00000000" w:rsidRPr="00000000">
        <w:rPr>
          <w:rtl w:val="0"/>
        </w:rPr>
        <w:t xml:space="preserve">jeden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 výběrčí mýta a jeden nebo více poskytovatelů služby mýtného)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Jednotlivé metriky obsahují následující informace: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Datové požadavky – data nutná k výpočtu dané metriky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Volby metod pro generování vstupu v rámci vyhodnocovací fáze systému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spacing w:after="120" w:before="0" w:line="240" w:lineRule="auto"/>
        <w:ind w:left="720" w:hanging="36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Volby metod pro generování vstupu v rámci monitorovací fáze systému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2"/>
        <w:pBdr/>
        <w:spacing w:before="240" w:lineRule="auto"/>
        <w:contextualSpacing w:val="0"/>
        <w:rPr/>
      </w:pPr>
      <w:r w:rsidDel="00000000" w:rsidR="00000000" w:rsidRPr="00000000">
        <w:rPr>
          <w:b w:val="1"/>
          <w:vertAlign w:val="baseline"/>
          <w:rtl w:val="0"/>
        </w:rPr>
        <w:t xml:space="preserve">5.6 Tabulky pro výběr výkonnostních metrik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Kapitola obsahuje šablony tabulek pro jednotlivé typy schémat, obsahující přiřazené metriky a reference na odpovídající testy z kapitoly 6 a prázdné kolonky pro volbu metody generování vstupu a hodnoty požadované výkonnosti k doplnění zodpovědným subjektem.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1"/>
        <w:keepLines w:val="1"/>
        <w:pBdr/>
        <w:spacing w:after="18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6 </w:t>
      </w:r>
      <w:r w:rsidDel="00000000" w:rsidR="00000000" w:rsidRPr="00000000">
        <w:rPr>
          <w:b w:val="1"/>
          <w:sz w:val="24"/>
          <w:szCs w:val="24"/>
          <w:rtl w:val="0"/>
        </w:rPr>
        <w:t xml:space="preserve">Posuzování shody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2"/>
        <w:pBdr/>
        <w:spacing w:before="240" w:lineRule="auto"/>
        <w:contextualSpacing w:val="0"/>
        <w:rPr/>
      </w:pPr>
      <w:r w:rsidDel="00000000" w:rsidR="00000000" w:rsidRPr="00000000">
        <w:rPr>
          <w:b w:val="1"/>
          <w:vertAlign w:val="baseline"/>
          <w:rtl w:val="0"/>
        </w:rPr>
        <w:t xml:space="preserve">6.1 Společné kontrolní testy (a pro diskrétní DSRC systémy)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>
          <w:rFonts w:ascii="Arial" w:cs="Arial" w:eastAsia="Arial" w:hAnsi="Arial"/>
          <w:b w:val="0"/>
          <w:sz w:val="20"/>
          <w:szCs w:val="20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Tato kapitola obsahuje definice 24 výkonnostních metrik (specifických či end-to-end metrik) pro všechny typy systémů, společně s vysvětlením k čemu je možné danou metriku použít (resp. k měření jaké veličiny v rámci procesů mýtného systému) a definicí metody pro její výpočet. </w:t>
      </w:r>
    </w:p>
    <w:p w:rsidR="00000000" w:rsidDel="00000000" w:rsidP="00000000" w:rsidRDefault="00000000" w:rsidRPr="00000000">
      <w:pPr>
        <w:numPr>
          <w:ilvl w:val="0"/>
          <w:numId w:val="1"/>
        </w:numPr>
        <w:pBdr/>
        <w:spacing w:after="120" w:before="0" w:line="240" w:lineRule="auto"/>
        <w:ind w:left="720" w:hanging="360"/>
        <w:contextualSpacing w:val="1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diskrétní DSRC systémy (5 výkonnostních metrik)</w:t>
      </w:r>
    </w:p>
    <w:p w:rsidR="00000000" w:rsidDel="00000000" w:rsidP="00000000" w:rsidRDefault="00000000" w:rsidRPr="00000000">
      <w:pPr>
        <w:numPr>
          <w:ilvl w:val="0"/>
          <w:numId w:val="1"/>
        </w:numPr>
        <w:pBdr/>
        <w:spacing w:after="120" w:before="0" w:line="240" w:lineRule="auto"/>
        <w:ind w:left="720" w:hanging="360"/>
        <w:contextualSpacing w:val="1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autonomní diskrétní systémy (18 výkonnostních metrik)</w:t>
      </w:r>
    </w:p>
    <w:p w:rsidR="00000000" w:rsidDel="00000000" w:rsidP="00000000" w:rsidRDefault="00000000" w:rsidRPr="00000000">
      <w:pPr>
        <w:numPr>
          <w:ilvl w:val="0"/>
          <w:numId w:val="1"/>
        </w:numPr>
        <w:pBdr/>
        <w:spacing w:after="120" w:before="0" w:line="240" w:lineRule="auto"/>
        <w:ind w:left="720" w:hanging="360"/>
        <w:contextualSpacing w:val="1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autonomní spojité systémy (16 výkonnostních metrik)</w:t>
      </w:r>
    </w:p>
    <w:p w:rsidR="00000000" w:rsidDel="00000000" w:rsidP="00000000" w:rsidRDefault="00000000" w:rsidRPr="00000000">
      <w:pPr>
        <w:keepNext w:val="1"/>
        <w:keepLines w:val="1"/>
        <w:pBdr/>
        <w:spacing w:after="18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Příloha A (informativní</w:t>
      </w:r>
      <w:r w:rsidDel="00000000" w:rsidR="00000000" w:rsidRPr="00000000">
        <w:rPr>
          <w:b w:val="1"/>
          <w:sz w:val="24"/>
          <w:szCs w:val="24"/>
          <w:rtl w:val="0"/>
        </w:rPr>
        <w:t xml:space="preserve">)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– Šablona záznamu zkušebního testu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Příloha A obsahuje šablonu pro záznam z běhu zkušebního testu výkonnostní metriky.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1"/>
        <w:keepLines w:val="1"/>
        <w:pBdr/>
        <w:spacing w:after="18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Příloha B (informativní) – Faktory nutné brát v potaz v rámci definice rámce zkoušek (</w:t>
      </w:r>
      <w:r w:rsidDel="00000000" w:rsidR="00000000" w:rsidRPr="00000000">
        <w:rPr>
          <w:b w:val="1"/>
          <w:sz w:val="24"/>
          <w:szCs w:val="24"/>
          <w:rtl w:val="0"/>
        </w:rPr>
        <w:t xml:space="preserve">i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nformativní)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Příloha B obsahuje přehled faktorů, jež je doporučeno brát v potaz v rámci procesu definice konkrétního rámce zkušebních testů (např. fázi v níž se mýtný systém nachází, použitá technologie v rámci mýtného systému a její vliv na uvažované výkonnostní metriky, apod.).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1"/>
        <w:keepLines w:val="1"/>
        <w:pBdr/>
        <w:spacing w:after="18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Příloha C (informativní) – Aspekty statistiky a pravděpodobnosti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Příloha C obsahuje </w:t>
      </w:r>
      <w:r w:rsidDel="00000000" w:rsidR="00000000" w:rsidRPr="00000000">
        <w:rPr>
          <w:rtl w:val="0"/>
        </w:rPr>
        <w:t xml:space="preserve">základní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přehled základů statistiky a pravděpodobnosti, nutný k pochopení definic výpočtů metrik uvedených v normě.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1"/>
        <w:keepLines w:val="1"/>
        <w:pBdr/>
        <w:spacing w:after="18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Příloha D (informativní) – Metody pro redukci množství vstupních dat pro metriky s malou/velkou pravděpodobností měřených během vyhodnocovací fáze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Příloha D prezentuje 5 metod pro redukci množství vstupních dat, společně s jejich výhodami a nevýhodami.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1"/>
        <w:keepLines w:val="1"/>
        <w:pBdr/>
        <w:spacing w:after="180" w:before="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vertAlign w:val="baseline"/>
          <w:rtl w:val="0"/>
        </w:rPr>
        <w:t xml:space="preserve">Příloha E (informativní) – Příklad konkrétního rámce zkušebních testů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vertAlign w:val="baseline"/>
          <w:rtl w:val="0"/>
        </w:rPr>
        <w:t xml:space="preserve">Příloha E obsahuje definici konkrétního zkušebního rámce pro diskrétní DSRC systém, definovaný pro provozovatele služby Evropského mýtného (EETS). Tyto testy ověřují vhodnost technických elementů poskytovaných provozovatelem služby Evropského mýtného a jejich použití v rámci domény diskrétního DSRC systému ( např. míru detekce OBU poskytovaných provozovatelem EETS služby atd.).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40" w:w="11907"/>
      <w:pgMar w:bottom="1134" w:top="1134" w:left="1021" w:right="964" w:head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p w:rsidR="00000000" w:rsidDel="00000000" w:rsidP="00000000" w:rsidRDefault="00000000" w:rsidRPr="00000000">
    <w:pPr>
      <w:pBdr/>
      <w:spacing w:after="120" w:before="0" w:line="240" w:lineRule="auto"/>
      <w:ind w:right="360" w:firstLine="360"/>
      <w:contextualSpacing w:val="0"/>
      <w:jc w:val="center"/>
      <w:rPr/>
    </w:pPr>
    <w:r w:rsidDel="00000000" w:rsidR="00000000" w:rsidRPr="00000000">
      <w:rPr>
        <w:rFonts w:ascii="Arial" w:cs="Arial" w:eastAsia="Arial" w:hAnsi="Arial"/>
        <w:b w:val="0"/>
        <w:sz w:val="18"/>
        <w:szCs w:val="18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p w:rsidR="00000000" w:rsidDel="00000000" w:rsidP="00000000" w:rsidRDefault="00000000" w:rsidRPr="00000000">
    <w:pPr>
      <w:pBdr/>
      <w:spacing w:after="120" w:before="0" w:line="240" w:lineRule="auto"/>
      <w:contextualSpacing w:val="0"/>
      <w:jc w:val="right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abstractNum w:abstractNumId="1">
    <w:lvl w:ilvl="0">
      <w:start w:val="1"/>
      <w:numFmt w:val="bullet"/>
      <w:lvlText w:val="-"/>
      <w:lvlJc w:val="left"/>
      <w:pPr>
        <w:ind w:left="720" w:firstLine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-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-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-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-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-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-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-"/>
      <w:lvlJc w:val="left"/>
      <w:pPr>
        <w:ind w:left="6480" w:firstLine="6120"/>
      </w:pPr>
      <w:rPr>
        <w:u w:val="none"/>
      </w:rPr>
    </w:lvl>
  </w:abstractNum>
  <w:abstractNum w:abstractNumId="2">
    <w:lvl w:ilvl="0">
      <w:start w:val="3"/>
      <w:numFmt w:val="bullet"/>
      <w:lvlText w:val="-"/>
      <w:lvlJc w:val="left"/>
      <w:pPr>
        <w:ind w:left="720" w:firstLine="360"/>
      </w:pPr>
      <w:rPr>
        <w:rFonts w:ascii="Arial" w:cs="Arial" w:eastAsia="Arial" w:hAnsi="Arial"/>
        <w:vertAlign w:val="baseline"/>
      </w:rPr>
    </w:lvl>
    <w:lvl w:ilvl="1">
      <w:start w:val="1"/>
      <w:numFmt w:val="bullet"/>
      <w:lvlText w:val="o"/>
      <w:lvlJc w:val="left"/>
      <w:pPr>
        <w:ind w:left="1440" w:firstLine="1080"/>
      </w:pPr>
      <w:rPr>
        <w:rFonts w:ascii="Arial" w:cs="Arial" w:eastAsia="Arial" w:hAnsi="Arial"/>
        <w:vertAlign w:val="baseline"/>
      </w:rPr>
    </w:lvl>
    <w:lvl w:ilvl="2">
      <w:start w:val="1"/>
      <w:numFmt w:val="bullet"/>
      <w:lvlText w:val="▪"/>
      <w:lvlJc w:val="left"/>
      <w:pPr>
        <w:ind w:left="2160" w:firstLine="1800"/>
      </w:pPr>
      <w:rPr>
        <w:rFonts w:ascii="Arial" w:cs="Arial" w:eastAsia="Arial" w:hAnsi="Arial"/>
        <w:vertAlign w:val="baseli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rFonts w:ascii="Arial" w:cs="Arial" w:eastAsia="Arial" w:hAnsi="Arial"/>
        <w:vertAlign w:val="baseline"/>
      </w:rPr>
    </w:lvl>
    <w:lvl w:ilvl="4">
      <w:start w:val="1"/>
      <w:numFmt w:val="bullet"/>
      <w:lvlText w:val="o"/>
      <w:lvlJc w:val="left"/>
      <w:pPr>
        <w:ind w:left="3600" w:firstLine="3240"/>
      </w:pPr>
      <w:rPr>
        <w:rFonts w:ascii="Arial" w:cs="Arial" w:eastAsia="Arial" w:hAnsi="Arial"/>
        <w:vertAlign w:val="baseline"/>
      </w:rPr>
    </w:lvl>
    <w:lvl w:ilvl="5">
      <w:start w:val="1"/>
      <w:numFmt w:val="bullet"/>
      <w:lvlText w:val="▪"/>
      <w:lvlJc w:val="left"/>
      <w:pPr>
        <w:ind w:left="4320" w:firstLine="3960"/>
      </w:pPr>
      <w:rPr>
        <w:rFonts w:ascii="Arial" w:cs="Arial" w:eastAsia="Arial" w:hAnsi="Arial"/>
        <w:vertAlign w:val="baseli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rFonts w:ascii="Arial" w:cs="Arial" w:eastAsia="Arial" w:hAnsi="Arial"/>
        <w:vertAlign w:val="baseline"/>
      </w:rPr>
    </w:lvl>
    <w:lvl w:ilvl="7">
      <w:start w:val="1"/>
      <w:numFmt w:val="bullet"/>
      <w:lvlText w:val="o"/>
      <w:lvlJc w:val="left"/>
      <w:pPr>
        <w:ind w:left="5760" w:firstLine="5400"/>
      </w:pPr>
      <w:rPr>
        <w:rFonts w:ascii="Arial" w:cs="Arial" w:eastAsia="Arial" w:hAnsi="Arial"/>
        <w:vertAlign w:val="baseline"/>
      </w:rPr>
    </w:lvl>
    <w:lvl w:ilvl="8">
      <w:start w:val="1"/>
      <w:numFmt w:val="bullet"/>
      <w:lvlText w:val="▪"/>
      <w:lvlJc w:val="left"/>
      <w:pPr>
        <w:ind w:left="6480" w:firstLine="6120"/>
      </w:pPr>
      <w:rPr>
        <w:rFonts w:ascii="Arial" w:cs="Arial" w:eastAsia="Arial" w:hAnsi="Arial"/>
        <w:vertAlign w:val="baseline"/>
      </w:rPr>
    </w:lvl>
  </w:abstractNum>
  <w:abstractNum w:abstractNumId="3">
    <w:lvl w:ilvl="0">
      <w:start w:val="1"/>
      <w:numFmt w:val="lowerLetter"/>
      <w:lvlText w:val="%1)"/>
      <w:lvlJc w:val="left"/>
      <w:pPr>
        <w:ind w:left="720" w:firstLine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firstLine="108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firstLine="19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firstLine="252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firstLine="324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firstLine="414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firstLine="468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firstLine="540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firstLine="6300"/>
      </w:pPr>
      <w:rPr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displayBackgroundShape w:val="1"/>
  <w:defaultTabStop w:val="720"/>
  <w:compat>
    <w:compatSetting w:val="14" w:name="compatibilityMode" w:uri="http://schemas.microsoft.com/office/word"/>
  </w:compa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docDefaults>
    <w:rPrDefault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vertAlign w:val="baseline"/>
      </w:rPr>
    </w:rPrDefault>
    <w:pPrDefault>
      <w:pPr>
        <w:keepNext w:val="0"/>
        <w:keepLines w:val="0"/>
        <w:widowControl w:val="1"/>
        <w:pBdr/>
        <w:spacing w:after="0" w:before="0" w:line="240" w:lineRule="auto"/>
        <w:ind w:left="0" w:right="0" w:firstLine="0"/>
        <w:jc w:val="left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Bdr/>
      <w:spacing w:after="180" w:before="240" w:line="240" w:lineRule="auto"/>
      <w:jc w:val="left"/>
    </w:pPr>
    <w:rPr>
      <w:rFonts w:ascii="Arial" w:cs="Arial" w:eastAsia="Arial" w:hAnsi="Arial"/>
      <w:b w:val="1"/>
      <w:sz w:val="24"/>
      <w:szCs w:val="24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Bdr/>
      <w:spacing w:after="120" w:before="120" w:line="240" w:lineRule="auto"/>
      <w:jc w:val="left"/>
    </w:pPr>
    <w:rPr>
      <w:rFonts w:ascii="Arial" w:cs="Arial" w:eastAsia="Arial" w:hAnsi="Arial"/>
      <w:b w:val="1"/>
      <w:sz w:val="20"/>
      <w:szCs w:val="20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Bdr/>
      <w:spacing w:after="120" w:before="120" w:line="240" w:lineRule="auto"/>
      <w:jc w:val="left"/>
    </w:pPr>
    <w:rPr>
      <w:rFonts w:ascii="Arial" w:cs="Arial" w:eastAsia="Arial" w:hAnsi="Arial"/>
      <w:b w:val="1"/>
      <w:sz w:val="20"/>
      <w:szCs w:val="20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Bdr/>
      <w:spacing w:after="120" w:before="120" w:line="240" w:lineRule="auto"/>
      <w:jc w:val="left"/>
    </w:pPr>
    <w:rPr>
      <w:rFonts w:ascii="Arial" w:cs="Arial" w:eastAsia="Arial" w:hAnsi="Arial"/>
      <w:b w:val="1"/>
      <w:sz w:val="20"/>
      <w:szCs w:val="20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Bdr/>
      <w:spacing w:after="120" w:before="120" w:line="240" w:lineRule="auto"/>
      <w:jc w:val="left"/>
    </w:pPr>
    <w:rPr>
      <w:rFonts w:ascii="Arial" w:cs="Arial" w:eastAsia="Arial" w:hAnsi="Arial"/>
      <w:b w:val="1"/>
      <w:sz w:val="20"/>
      <w:szCs w:val="20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Bdr/>
      <w:spacing w:after="120" w:before="120" w:line="240" w:lineRule="auto"/>
      <w:jc w:val="left"/>
    </w:pPr>
    <w:rPr>
      <w:rFonts w:ascii="Arial" w:cs="Arial" w:eastAsia="Arial" w:hAnsi="Arial"/>
      <w:b w:val="1"/>
      <w:sz w:val="20"/>
      <w:szCs w:val="20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Bdr/>
      <w:spacing w:after="120" w:before="480" w:lineRule="auto"/>
      <w:contextualSpacing w:val="1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Bdr/>
      <w:spacing w:after="80" w:before="360" w:lineRule="auto"/>
      <w:contextualSpacing w:val="1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band1Horz"/>
    <w:tblStylePr w:type="band1Vert"/>
    <w:tblStylePr w:type="band2Horz"/>
    <w:tblStylePr w:type="band2Vert"/>
    <w:tblStylePr w:type="firstCol"/>
    <w:tblStylePr w:type="firstRow"/>
    <w:tblStylePr w:type="lastCol"/>
    <w:tblStylePr w:type="lastRow"/>
    <w:tblStylePr w:type="neCell"/>
    <w:tblStylePr w:type="nwCell"/>
    <w:tblStylePr w:type="seCell"/>
    <w:tblStylePr w:type="swCell"/>
  </w:style>
</w:styles>
</file>

<file path=word/_rels/document.xml.rels><?xml version="1.0" encoding="UTF-8" standalone="yes"?><Relationships xmlns="http://schemas.openxmlformats.org/package/2006/relationships"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