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059" w:rsidRDefault="00A14059" w:rsidP="00A14059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after="60" w:line="276" w:lineRule="auto"/>
        <w:jc w:val="center"/>
        <w:rPr>
          <w:rFonts w:eastAsia="Arial" w:cs="Arial"/>
          <w:b/>
          <w:color w:val="000000"/>
          <w:sz w:val="40"/>
          <w:szCs w:val="40"/>
        </w:rPr>
      </w:pPr>
      <w:bookmarkStart w:id="0" w:name="_gjdgxs" w:colFirst="0" w:colLast="0"/>
      <w:bookmarkEnd w:id="0"/>
      <w:r>
        <w:rPr>
          <w:rFonts w:eastAsia="Arial" w:cs="Arial"/>
          <w:b/>
          <w:color w:val="000000"/>
          <w:sz w:val="40"/>
          <w:szCs w:val="40"/>
        </w:rPr>
        <w:t>EXTRAKT z technické specifikace ISO</w: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3735B109" wp14:editId="21D56FC7">
            <wp:simplePos x="0" y="0"/>
            <wp:positionH relativeFrom="column">
              <wp:posOffset>1</wp:posOffset>
            </wp:positionH>
            <wp:positionV relativeFrom="paragraph">
              <wp:posOffset>-449579</wp:posOffset>
            </wp:positionV>
            <wp:extent cx="75565" cy="151765"/>
            <wp:effectExtent l="0" t="0" r="0" b="0"/>
            <wp:wrapSquare wrapText="bothSides" distT="0" distB="0" distL="114300" distR="1143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  <w:sz w:val="16"/>
          <w:szCs w:val="16"/>
        </w:rPr>
      </w:pPr>
      <w:r>
        <w:rPr>
          <w:rFonts w:eastAsia="Arial" w:cs="Arial"/>
          <w:b/>
          <w:color w:val="000000"/>
        </w:rPr>
        <w:t>Extrakt nenahrazuje samotnou technickou normu, je pouze informativním materiálem o normě.</w:t>
      </w:r>
    </w:p>
    <w:p w:rsidR="00A14059" w:rsidRDefault="00A14059" w:rsidP="00A140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line="276" w:lineRule="auto"/>
        <w:jc w:val="both"/>
        <w:rPr>
          <w:rFonts w:eastAsia="Arial" w:cs="Arial"/>
          <w:color w:val="000000"/>
        </w:rPr>
      </w:pPr>
      <w:bookmarkStart w:id="1" w:name="_30j0zll" w:colFirst="0" w:colLast="0"/>
      <w:bookmarkEnd w:id="1"/>
    </w:p>
    <w:tbl>
      <w:tblPr>
        <w:tblW w:w="9030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6764"/>
        <w:gridCol w:w="2266"/>
      </w:tblGrid>
      <w:tr w:rsidR="00A14059" w:rsidTr="00BC0A95">
        <w:trPr>
          <w:trHeight w:val="1200"/>
        </w:trPr>
        <w:tc>
          <w:tcPr>
            <w:tcW w:w="6764" w:type="dxa"/>
            <w:tcBorders>
              <w:top w:val="single" w:sz="8" w:space="0" w:color="000000"/>
              <w:bottom w:val="single" w:sz="8" w:space="0" w:color="000000"/>
            </w:tcBorders>
          </w:tcPr>
          <w:p w:rsidR="00A14059" w:rsidRDefault="00A14059" w:rsidP="00BC0A95">
            <w:pPr>
              <w:pStyle w:val="1StrNN-4-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 w:val="0"/>
                <w:i/>
                <w:color w:val="000000"/>
                <w:sz w:val="32"/>
                <w:szCs w:val="32"/>
              </w:rPr>
            </w:pPr>
            <w:r w:rsidRPr="000834B3">
              <w:rPr>
                <w:rFonts w:eastAsia="Arial"/>
              </w:rPr>
              <w:t xml:space="preserve">Inteligentní dopravní systémy – </w:t>
            </w:r>
            <w:r w:rsidRPr="000834B3">
              <w:rPr>
                <w:rFonts w:eastAsia="Arial"/>
              </w:rPr>
              <w:br/>
              <w:t>Dopravní a cestovní informace předávané prostřednictvím expertní skupiny pro protokoly v dopravě 2. generace (TPEG 2) – Část 18: Aplikace pro informace o stavu dopravního proudu a jeho predikci</w:t>
            </w:r>
          </w:p>
        </w:tc>
        <w:tc>
          <w:tcPr>
            <w:tcW w:w="2266" w:type="dxa"/>
            <w:tcBorders>
              <w:top w:val="single" w:sz="8" w:space="0" w:color="000000"/>
              <w:bottom w:val="single" w:sz="8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76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  <w:sz w:val="32"/>
                <w:szCs w:val="32"/>
              </w:rPr>
              <w:t>ISO/TS 21219-18</w:t>
            </w:r>
          </w:p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76" w:lineRule="auto"/>
              <w:rPr>
                <w:rFonts w:eastAsia="Arial" w:cs="Arial"/>
                <w:color w:val="000000"/>
              </w:rPr>
            </w:pPr>
          </w:p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76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  <w:sz w:val="28"/>
                <w:szCs w:val="28"/>
              </w:rPr>
              <w:t>01 8388</w:t>
            </w:r>
          </w:p>
        </w:tc>
      </w:tr>
    </w:tbl>
    <w:p w:rsidR="00A14059" w:rsidRDefault="00A14059" w:rsidP="00A1405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before="240" w:after="360" w:line="276" w:lineRule="auto"/>
        <w:jc w:val="right"/>
        <w:rPr>
          <w:rFonts w:eastAsia="Arial" w:cs="Arial"/>
          <w:color w:val="000000"/>
        </w:rPr>
      </w:pPr>
      <w:bookmarkStart w:id="2" w:name="_1fob9te" w:colFirst="0" w:colLast="0"/>
      <w:bookmarkEnd w:id="2"/>
      <w:r>
        <w:rPr>
          <w:rFonts w:eastAsia="Arial" w:cs="Arial"/>
          <w:sz w:val="28"/>
          <w:szCs w:val="28"/>
        </w:rPr>
        <w:t xml:space="preserve">Vydána 2018, </w:t>
      </w:r>
      <w:r>
        <w:rPr>
          <w:rFonts w:eastAsia="Arial" w:cs="Arial"/>
          <w:color w:val="000000"/>
          <w:sz w:val="28"/>
          <w:szCs w:val="28"/>
        </w:rPr>
        <w:t>46 stran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Úvod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Technická specifikace ISO 21219 se zabývá druhou generací protokolu TPEG pro poskytování informací o d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pravě koncovým uživatelům, označovaným</w:t>
      </w:r>
      <w:r>
        <w:rPr>
          <w:rFonts w:eastAsia="Arial" w:cs="Arial"/>
        </w:rPr>
        <w:t xml:space="preserve"> zkratkou</w:t>
      </w:r>
      <w:r>
        <w:rPr>
          <w:rFonts w:eastAsia="Arial" w:cs="Arial"/>
          <w:color w:val="000000"/>
        </w:rPr>
        <w:t xml:space="preserve"> TPEG2.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ISO/TS 21219 obsahuje řadu částí, které pokrývají úvod, pravidla, 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 a jednotlivé aplikace. TPEG2 je postaven na modelování v UML, se sadou základních pravidel stanovujících strategii modelování a pravidla konverze modelu do dvou fyzických formátů: binárního pro vysílání v DAB a XML pro šíření Internetem (části 2, 3, 4 normy). Pro snazší udržovatelnost specifikace se změny provádí pouze na úrovni obecného mod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lu v UML (XMI soubor) a následně pomocí automatizovaných nástrojů převádějí do popisů jednotlivých fyzi</w:t>
      </w:r>
      <w:r>
        <w:rPr>
          <w:rFonts w:eastAsia="Arial" w:cs="Arial"/>
          <w:color w:val="000000"/>
        </w:rPr>
        <w:t>c</w:t>
      </w:r>
      <w:r>
        <w:rPr>
          <w:rFonts w:eastAsia="Arial" w:cs="Arial"/>
          <w:color w:val="000000"/>
        </w:rPr>
        <w:t>kých formátů (dokument s přílohami pro každý fyzický formát). Tato koncepční témata jsou řešena částmi, které se nazývají 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Zpráva TPEG2 se skládá ze tří dílčích částí zpráv (kontejnerů): kontejner managementu zprávy (část 6 normy), kontejner s dopravní aplikací (mnoho částí) a kontejner s odkazem na polohu (část 7 normy).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Technická specifikace  ISO/TS 21219 se skládá z těchto částí: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>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): TPEG2-INV (část 1: Úvod, číslování a verze), TPEG2-UML (část 2: Pravidla model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pomocí UML), TPEG2-UBCR (část 3: Pravidla pro konverzi z UML do binárního kódu), TPEG2-UXCR (část 4: Pravidla pro konverzi UML do XML), TPEG2-SFW (část 5: Rámec pro služby TPEG), TPEG2-MMC (část 6: Kontejner pro management zpráv), TPEG2-LRC (část 7: Kontejner pro odkaz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na polohu)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>Speciální aplikace: TPEG2-SNI (část 9: Informace o službách a síti), TPEG2-CAI (část 10: Informace o podmíněném přístupu), TPEG2-LTE (část 24: Slabé šifrování)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Odkazování na polohu: TPEG2-ULR (část 11: Odkazování na polohu v aplikacích), TPEG2-ETL (část 20: Odkazování na polohu metodou rozšířeného TMC), TPEG2-GLR (část 21: Geografické odkazování na polohu), TPEG2-OLR (část 22: Odkazování na polohu metodou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>)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Aplikace: TPEG2-RTM (část 12: Aplikace pro zprávy o silniční dopravě), TPEG2-PTI (část 13: Aplikace pro informace o veřejné dopravě), TPEG2-PKI (část 14: Aplikace pro informace o parkování), TPEG2-TEC (část 15: Aplikace pro vybrané dopravní události), TPEG2-FPI (část 16: Aplikace pro informace o cenách pohonných hmot), TPEG2-SPI (část 17: Aplikace pro informace o rychlostních omezeních), </w:t>
      </w:r>
      <w:r>
        <w:rPr>
          <w:rFonts w:eastAsia="Arial" w:cs="Arial"/>
          <w:b/>
          <w:color w:val="000000"/>
        </w:rPr>
        <w:t>TPEG2-TFP (část 18: Aplikace pro informace o stavu dopravního proudu a jeho predikci)</w:t>
      </w:r>
      <w:r>
        <w:rPr>
          <w:rFonts w:eastAsia="Arial" w:cs="Arial"/>
          <w:color w:val="000000"/>
        </w:rPr>
        <w:t>, TPEG2-WEA (část 19: Aplikace pro informace o počasí), TPEG2-RMR (část 23: Aplikace pro informace o multimodálních trasách), TPEG2-EMI (část 25: Nabíjecí infrastruktura pro elektromobily) a další.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 rozdíl od RDS-TMC, které je svým způsobem popisu události jednoúrovňové, umožňuje TPEG informace členit strukturovaně se zvyšující se mírou detailu. Dopravní události popisuje TPEG úzkoprofilově, je vždy z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měřen na jeden konkrétní typ situací (například na ceny pohonných hmot, dojezdové doby atd.), které popisuje do větší hloubky, každému typu je věnována samostatná část specifikace (tzv. ”aplikace TPEG”).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lastRenderedPageBreak/>
        <w:t>Rozlišení TPEG/TPEG1/TPEG2 se většinou uvádí pouze v úvodní části norem/specifikací, zatímco ostatní kap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toly již mezi TPEG a TPEG2 nerozlišují - to je implicitní dle kontextu. Stejným způsobem k tomu přistupujeme i v tomto extraktu.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3" w:name="_3znysh7" w:colFirst="0" w:colLast="0"/>
      <w:bookmarkEnd w:id="3"/>
      <w:r>
        <w:rPr>
          <w:rFonts w:eastAsia="Arial" w:cs="Arial"/>
          <w:color w:val="000000"/>
        </w:rPr>
        <w:t>Tento extrakt popisuje část 18 „Aplikace pro informace o stavu dopravního proudu a jeho predikci (TFP)” (dále jen “popisovaný dokument”), která specifikuje 3 metody popisu stavů dopravy na sledovaném úseku v čase.</w:t>
      </w:r>
    </w:p>
    <w:p w:rsidR="00A14059" w:rsidRDefault="00A14059" w:rsidP="00A14059">
      <w:pPr>
        <w:spacing w:before="80" w:after="200"/>
        <w:jc w:val="both"/>
        <w:rPr>
          <w:rFonts w:eastAsia="Arial" w:cs="Arial"/>
        </w:rPr>
      </w:pPr>
      <w:r>
        <w:rPr>
          <w:rFonts w:eastAsia="Arial" w:cs="Arial"/>
          <w:sz w:val="18"/>
          <w:szCs w:val="18"/>
        </w:rPr>
        <w:t>Poznámka: Extrakt přejímá původní číslování kapitol.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Užití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4" w:name="_2et92p0" w:colFirst="0" w:colLast="0"/>
      <w:bookmarkEnd w:id="4"/>
      <w:r>
        <w:rPr>
          <w:rFonts w:eastAsia="Arial" w:cs="Arial"/>
          <w:color w:val="000000"/>
        </w:rPr>
        <w:t>Popisovaný dokument stanovuje strukturu aplikace pro</w:t>
      </w:r>
      <w:r>
        <w:rPr>
          <w:rFonts w:eastAsia="Arial" w:cs="Arial"/>
          <w:b/>
          <w:color w:val="000000"/>
        </w:rPr>
        <w:t xml:space="preserve"> informace o stavu dopravního proudu a jeho predi</w:t>
      </w:r>
      <w:r>
        <w:rPr>
          <w:rFonts w:eastAsia="Arial" w:cs="Arial"/>
          <w:b/>
          <w:color w:val="000000"/>
        </w:rPr>
        <w:t>k</w:t>
      </w:r>
      <w:r>
        <w:rPr>
          <w:rFonts w:eastAsia="Arial" w:cs="Arial"/>
          <w:b/>
          <w:color w:val="000000"/>
        </w:rPr>
        <w:t>ci</w:t>
      </w:r>
      <w:r>
        <w:rPr>
          <w:rFonts w:eastAsia="Arial" w:cs="Arial"/>
          <w:color w:val="000000"/>
        </w:rPr>
        <w:t xml:space="preserve">. Popisovaný dokument je nezbytný pro </w:t>
      </w:r>
      <w:r>
        <w:rPr>
          <w:rFonts w:eastAsia="Arial" w:cs="Arial"/>
          <w:b/>
          <w:color w:val="000000"/>
        </w:rPr>
        <w:t>poskytovatele i příjemce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b/>
          <w:color w:val="000000"/>
        </w:rPr>
        <w:t>dopravních informací</w:t>
      </w:r>
      <w:r>
        <w:rPr>
          <w:rFonts w:eastAsia="Arial" w:cs="Arial"/>
          <w:color w:val="000000"/>
        </w:rPr>
        <w:t>, jejich programát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 xml:space="preserve">ry, kteří pracují se samotným formátem XML či programují datové proudy pro DAB. 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1 Předmět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Popisovaný dokument definuje aplikaci TPEG TFP „informace o stavu dopravního proudu a jeho predikci“. Ta umožňuje distribuovat informace o stavu dopravy spolu s dopravními excesy pro předem definovanou </w:t>
      </w:r>
      <w:r>
        <w:rPr>
          <w:rFonts w:eastAsia="Arial" w:cs="Arial"/>
        </w:rPr>
        <w:t>skupinu poloh</w:t>
      </w:r>
      <w:r>
        <w:rPr>
          <w:rFonts w:eastAsia="Arial" w:cs="Arial"/>
          <w:color w:val="000000"/>
        </w:rPr>
        <w:t xml:space="preserve">. Tato předem definovaná </w:t>
      </w:r>
      <w:r>
        <w:rPr>
          <w:rFonts w:eastAsia="Arial" w:cs="Arial"/>
        </w:rPr>
        <w:t xml:space="preserve">skupina poloh je </w:t>
      </w:r>
      <w:r>
        <w:rPr>
          <w:rFonts w:eastAsia="Arial" w:cs="Arial"/>
          <w:color w:val="000000"/>
        </w:rPr>
        <w:t>vysílána s nižší frekvencí než část s aktu</w:t>
      </w:r>
      <w:r>
        <w:rPr>
          <w:rFonts w:eastAsia="Arial" w:cs="Arial"/>
        </w:rPr>
        <w:t xml:space="preserve">álními </w:t>
      </w:r>
      <w:r>
        <w:rPr>
          <w:rFonts w:eastAsia="Arial" w:cs="Arial"/>
          <w:color w:val="000000"/>
        </w:rPr>
        <w:t xml:space="preserve">stavy dopravy, nejedná se tedy o klasickou předdefinovanou </w:t>
      </w:r>
      <w:r>
        <w:rPr>
          <w:rFonts w:eastAsia="Arial" w:cs="Arial"/>
        </w:rPr>
        <w:t xml:space="preserve">skupinu </w:t>
      </w:r>
      <w:r>
        <w:rPr>
          <w:rFonts w:eastAsia="Arial" w:cs="Arial"/>
          <w:color w:val="000000"/>
        </w:rPr>
        <w:t xml:space="preserve">poloh sdílenou </w:t>
      </w:r>
      <w:proofErr w:type="spellStart"/>
      <w:r>
        <w:rPr>
          <w:rFonts w:eastAsia="Arial" w:cs="Arial"/>
          <w:color w:val="000000"/>
        </w:rPr>
        <w:t>offline</w:t>
      </w:r>
      <w:proofErr w:type="spellEnd"/>
      <w:r>
        <w:rPr>
          <w:rFonts w:eastAsia="Arial" w:cs="Arial"/>
          <w:color w:val="000000"/>
        </w:rPr>
        <w:t xml:space="preserve"> mezi poskytovatelem a odběrat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lem. Informace o provozu jsou poskytovány několika způsoby, jako stav na úseku, posloupnost s</w:t>
      </w:r>
      <w:r>
        <w:rPr>
          <w:rFonts w:eastAsia="Arial" w:cs="Arial"/>
        </w:rPr>
        <w:t>tavů na úseku v předdefinovaných časových rozmezích</w:t>
      </w:r>
      <w:r>
        <w:rPr>
          <w:rFonts w:eastAsia="Arial" w:cs="Arial"/>
          <w:color w:val="000000"/>
        </w:rPr>
        <w:t xml:space="preserve"> č</w:t>
      </w:r>
      <w:r>
        <w:rPr>
          <w:rFonts w:eastAsia="Arial" w:cs="Arial"/>
        </w:rPr>
        <w:t xml:space="preserve">i </w:t>
      </w:r>
      <w:r>
        <w:rPr>
          <w:rFonts w:eastAsia="Arial" w:cs="Arial"/>
          <w:color w:val="000000"/>
        </w:rPr>
        <w:t>spojitý diagram dráha-čas obsahující polygonové vyjádření stavů.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2 Souvisící normy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Klíčové normy, na které tento dokument odkazuje, jsou: specifikace předdefinovaných popisů poloh (17572-2), geografického odkazování na polohu (21219-21, TPEG2-GLR) a odkazování na polohu metodou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 xml:space="preserve"> (21219-22, TPEG2-OLR), dále popisy přidružených událostí (21219-15, TPEG2-TEC). Pro sestavení zpráv z kontejnerů, odvození z modelu UML, vysílání zpráv a jejich signalizaci jsou použity další části normy TPEG, viz nástroje v úvodu extraktu. 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3 Termíny a definice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5" w:name="_tyjcwt" w:colFirst="0" w:colLast="0"/>
      <w:bookmarkEnd w:id="5"/>
      <w:r>
        <w:rPr>
          <w:rFonts w:eastAsia="Arial" w:cs="Arial"/>
          <w:color w:val="000000"/>
        </w:rPr>
        <w:t>Tato kapitola definuje 3 termíny. Jedná se o definici kontejneru pro management zpráv, odkazy na polohu a definici odkazování na polohu, která je u</w:t>
      </w:r>
      <w:r>
        <w:rPr>
          <w:rFonts w:eastAsia="Arial" w:cs="Arial"/>
        </w:rPr>
        <w:t>vedena níže.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6" w:name="_3dy6vkm" w:colFirst="0" w:colLast="0"/>
      <w:bookmarkEnd w:id="6"/>
      <w:r>
        <w:rPr>
          <w:rFonts w:eastAsia="Arial" w:cs="Arial"/>
          <w:b/>
          <w:color w:val="000000"/>
        </w:rPr>
        <w:t>odkazování na polohu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Location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Referencing</w:t>
      </w:r>
      <w:proofErr w:type="spellEnd"/>
      <w:r>
        <w:rPr>
          <w:rFonts w:eastAsia="Arial" w:cs="Arial"/>
          <w:i/>
          <w:color w:val="000000"/>
        </w:rPr>
        <w:t>)</w:t>
      </w:r>
      <w:r>
        <w:rPr>
          <w:rFonts w:eastAsia="Arial" w:cs="Arial"/>
          <w:color w:val="000000"/>
        </w:rPr>
        <w:t xml:space="preserve"> – prostředky umožňující systému přesně identifikovat polohu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4 Zkratky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kapitola stanovuje 20 zkratek reprezentujících jednotlivé části zprávy</w:t>
      </w:r>
      <w:r>
        <w:rPr>
          <w:rFonts w:eastAsia="Arial" w:cs="Arial"/>
        </w:rPr>
        <w:t>, z nichž klíčové jsou</w:t>
      </w:r>
      <w:r>
        <w:rPr>
          <w:rFonts w:eastAsia="Arial" w:cs="Arial"/>
          <w:color w:val="000000"/>
        </w:rPr>
        <w:t xml:space="preserve">: 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MMC</w:t>
      </w:r>
      <w:r>
        <w:rPr>
          <w:rFonts w:eastAsia="Arial" w:cs="Arial"/>
          <w:color w:val="000000"/>
        </w:rPr>
        <w:tab/>
        <w:t xml:space="preserve">kontejner pro management zpráv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Message</w:t>
      </w:r>
      <w:proofErr w:type="spellEnd"/>
      <w:r>
        <w:rPr>
          <w:rFonts w:eastAsia="Arial" w:cs="Arial"/>
          <w:i/>
          <w:color w:val="000000"/>
        </w:rPr>
        <w:t xml:space="preserve"> Management </w:t>
      </w:r>
      <w:proofErr w:type="spellStart"/>
      <w:r>
        <w:rPr>
          <w:rFonts w:eastAsia="Arial" w:cs="Arial"/>
          <w:i/>
          <w:color w:val="000000"/>
        </w:rPr>
        <w:t>Container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ADC</w:t>
      </w:r>
      <w:r>
        <w:rPr>
          <w:rFonts w:eastAsia="Arial" w:cs="Arial"/>
          <w:b/>
          <w:color w:val="000000"/>
        </w:rPr>
        <w:tab/>
      </w:r>
      <w:r>
        <w:rPr>
          <w:rFonts w:eastAsia="Arial" w:cs="Arial"/>
          <w:color w:val="000000"/>
        </w:rPr>
        <w:t xml:space="preserve">kontejner pro popis aplikace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Application</w:t>
      </w:r>
      <w:proofErr w:type="spellEnd"/>
      <w:r>
        <w:rPr>
          <w:rFonts w:eastAsia="Arial" w:cs="Arial"/>
          <w:i/>
          <w:color w:val="000000"/>
        </w:rPr>
        <w:t xml:space="preserve"> Data </w:t>
      </w:r>
      <w:proofErr w:type="spellStart"/>
      <w:r>
        <w:rPr>
          <w:rFonts w:eastAsia="Arial" w:cs="Arial"/>
          <w:i/>
          <w:color w:val="000000"/>
        </w:rPr>
        <w:t>Container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LRC</w:t>
      </w:r>
      <w:r>
        <w:rPr>
          <w:rFonts w:eastAsia="Arial" w:cs="Arial"/>
          <w:b/>
          <w:color w:val="000000"/>
        </w:rPr>
        <w:tab/>
      </w:r>
      <w:r>
        <w:rPr>
          <w:rFonts w:eastAsia="Arial" w:cs="Arial"/>
          <w:color w:val="000000"/>
        </w:rPr>
        <w:t xml:space="preserve">kontejner pro odkazování na polohu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Location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Referencing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Container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 popisovaném dokumentu je uvedena většina zkratek částí specifikace TPEG. Tyto zkratky i jejich vysvětlení uvádíme jako součást výčtu částí specifikace v úvodu tohoto extraktu, proto je zde dále neuvádíme.</w:t>
      </w:r>
    </w:p>
    <w:p w:rsidR="00A14059" w:rsidRDefault="00A14059" w:rsidP="00A14059">
      <w:pPr>
        <w:spacing w:after="120"/>
        <w:jc w:val="both"/>
        <w:rPr>
          <w:rFonts w:eastAsia="Arial" w:cs="Arial"/>
        </w:rPr>
      </w:pPr>
      <w:r>
        <w:rPr>
          <w:rFonts w:eastAsia="Arial" w:cs="Arial"/>
          <w:sz w:val="18"/>
          <w:szCs w:val="18"/>
        </w:rPr>
        <w:t>Další termíny a zkratky z oboru ITS jsou obsaženy ve slovníku ITS terminology (</w:t>
      </w:r>
      <w:hyperlink r:id="rId10">
        <w:r>
          <w:rPr>
            <w:rFonts w:eastAsia="Arial" w:cs="Arial"/>
            <w:color w:val="0000FF"/>
            <w:sz w:val="18"/>
            <w:szCs w:val="18"/>
            <w:u w:val="single"/>
          </w:rPr>
          <w:t>www.itsterminology.org</w:t>
        </w:r>
      </w:hyperlink>
      <w:r>
        <w:rPr>
          <w:rFonts w:eastAsia="Arial" w:cs="Arial"/>
          <w:sz w:val="18"/>
          <w:szCs w:val="18"/>
        </w:rPr>
        <w:t>).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5 Podmínky a omezení aplikace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1,5 strany) vymezuje: 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Identifikátor aplikace, stanovený pro všechny aplikace v TS 21219-1.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Verzi aplikace</w:t>
      </w:r>
      <w:r>
        <w:rPr>
          <w:rFonts w:eastAsia="Arial" w:cs="Arial"/>
        </w:rPr>
        <w:t>.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</w:rPr>
        <w:t>V</w:t>
      </w:r>
      <w:r>
        <w:rPr>
          <w:rFonts w:eastAsia="Arial" w:cs="Arial"/>
          <w:color w:val="000000"/>
        </w:rPr>
        <w:t xml:space="preserve">erze je klíčová z pohledu dekodéru, jednotlivé verze stejné aplikace se totiž mohou od sebe lišit strukturou, obsahem atp. 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lastRenderedPageBreak/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Rozšiřitelnost a zpětnou kompatibilitu, jako požadavek na přeskočení neznámých částí zprávy dekod</w:t>
      </w:r>
      <w:r>
        <w:rPr>
          <w:rFonts w:eastAsia="Arial" w:cs="Arial"/>
          <w:color w:val="000000"/>
        </w:rPr>
        <w:t>é</w:t>
      </w:r>
      <w:r>
        <w:rPr>
          <w:rFonts w:eastAsia="Arial" w:cs="Arial"/>
          <w:color w:val="000000"/>
        </w:rPr>
        <w:t>rem a specifikaci v budoucnu rozšiřitelných částí struktur TPEG zprávy (např. struktury „</w:t>
      </w:r>
      <w:proofErr w:type="spellStart"/>
      <w:r>
        <w:rPr>
          <w:rFonts w:eastAsia="Arial" w:cs="Arial"/>
          <w:color w:val="000000"/>
        </w:rPr>
        <w:t>FlowVecto</w:t>
      </w:r>
      <w:r>
        <w:rPr>
          <w:rFonts w:eastAsia="Arial" w:cs="Arial"/>
          <w:color w:val="000000"/>
        </w:rPr>
        <w:t>r</w:t>
      </w:r>
      <w:r>
        <w:rPr>
          <w:rFonts w:eastAsia="Arial" w:cs="Arial"/>
          <w:color w:val="000000"/>
        </w:rPr>
        <w:t>Section</w:t>
      </w:r>
      <w:proofErr w:type="spellEnd"/>
      <w:r>
        <w:rPr>
          <w:rFonts w:eastAsia="Arial" w:cs="Arial"/>
          <w:color w:val="000000"/>
        </w:rPr>
        <w:t>“)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Rámec komponent služby TPEG dle ISO/TS 21219-5</w:t>
      </w:r>
      <w:r>
        <w:rPr>
          <w:rFonts w:eastAsia="Arial" w:cs="Arial"/>
        </w:rPr>
        <w:t>.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6 Struktura TFP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kapitola (rozsah 1 obrázek) obsahuje UML model aplikace TFP.</w:t>
      </w:r>
    </w:p>
    <w:p w:rsidR="00A14059" w:rsidRDefault="00A14059" w:rsidP="00A14059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noProof/>
          <w:color w:val="000000"/>
          <w:lang w:val="en-US"/>
        </w:rPr>
        <w:drawing>
          <wp:inline distT="0" distB="0" distL="114300" distR="114300" wp14:anchorId="1E2A3D7F" wp14:editId="55860548">
            <wp:extent cx="5140325" cy="47136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4713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Obrázek 1 – UML model tříd aplikace TFP (obrázek 2 normy)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7 Komponenty zprávy TFP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12 stran, obrázky a tabulky) popisuje jednotlivé komponenty zprávy TFP. Stanovuje </w:t>
      </w:r>
      <w:r>
        <w:rPr>
          <w:rFonts w:eastAsia="Arial" w:cs="Arial"/>
          <w:b/>
          <w:color w:val="000000"/>
        </w:rPr>
        <w:t>něk</w:t>
      </w:r>
      <w:r>
        <w:rPr>
          <w:rFonts w:eastAsia="Arial" w:cs="Arial"/>
          <w:b/>
          <w:color w:val="000000"/>
        </w:rPr>
        <w:t>o</w:t>
      </w:r>
      <w:r>
        <w:rPr>
          <w:rFonts w:eastAsia="Arial" w:cs="Arial"/>
          <w:b/>
          <w:color w:val="000000"/>
        </w:rPr>
        <w:t>lik různých struktur zprávy TFP</w:t>
      </w:r>
      <w:r>
        <w:rPr>
          <w:rFonts w:eastAsia="Arial" w:cs="Arial"/>
          <w:color w:val="000000"/>
        </w:rPr>
        <w:t>, a to z důvodů dvou rozdílných obsahů, popisu polohy a popisu stavu. Popis polohy v kontejneru pro odkazování na polohu (LRC) je potřeba méně často než popis stavu kontejneru s d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pravní aplikací (ADC)</w:t>
      </w:r>
      <w:r>
        <w:rPr>
          <w:rFonts w:eastAsia="Arial" w:cs="Arial"/>
        </w:rPr>
        <w:t>.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</w:rPr>
        <w:t>V</w:t>
      </w:r>
      <w:r>
        <w:rPr>
          <w:rFonts w:eastAsia="Arial" w:cs="Arial"/>
          <w:color w:val="000000"/>
        </w:rPr>
        <w:t>še je řízeno kontejnerem pro management zpráv (MMC). Stanoveny jsou tyto formy zprávy TFP, struktura obsahuje: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pouze MMC pro rušící zprávy,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jeden MMC, několik ADC a jeden LRC v případě monolitického managementu zpráv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a v případě managementu zpráv po částech:</w:t>
      </w:r>
    </w:p>
    <w:p w:rsidR="00A14059" w:rsidRDefault="00A14059" w:rsidP="00A14059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pouze MMC s rozcestníkem na části zpráv,</w:t>
      </w:r>
    </w:p>
    <w:p w:rsidR="00A14059" w:rsidRDefault="00A14059" w:rsidP="00A14059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jeden MMC a několik ADC,</w:t>
      </w:r>
    </w:p>
    <w:p w:rsidR="00A14059" w:rsidRDefault="00A14059" w:rsidP="00A14059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57" w:line="276" w:lineRule="auto"/>
        <w:rPr>
          <w:color w:val="000000"/>
        </w:rPr>
      </w:pPr>
      <w:r>
        <w:rPr>
          <w:rFonts w:eastAsia="Arial" w:cs="Arial"/>
          <w:color w:val="000000"/>
        </w:rPr>
        <w:t>jeden MMC a jeden LRC.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lastRenderedPageBreak/>
        <w:t xml:space="preserve">Dále popisovaný dokument používá </w:t>
      </w:r>
      <w:r>
        <w:rPr>
          <w:rFonts w:eastAsia="Arial" w:cs="Arial"/>
          <w:b/>
          <w:color w:val="000000"/>
        </w:rPr>
        <w:t>3 metody pro popis stavu dopravy</w:t>
      </w:r>
      <w:r>
        <w:rPr>
          <w:rFonts w:eastAsia="Arial" w:cs="Arial"/>
          <w:color w:val="000000"/>
        </w:rPr>
        <w:t xml:space="preserve"> na sledované síti, ty mohou být použ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ty současně či jednotlivě:</w:t>
      </w:r>
    </w:p>
    <w:p w:rsidR="00A14059" w:rsidRDefault="00A14059" w:rsidP="00A14059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 xml:space="preserve">metoda </w:t>
      </w:r>
      <w:proofErr w:type="spellStart"/>
      <w:r>
        <w:rPr>
          <w:rFonts w:eastAsia="Arial" w:cs="Arial"/>
          <w:b/>
          <w:color w:val="000000"/>
        </w:rPr>
        <w:t>flow</w:t>
      </w:r>
      <w:proofErr w:type="spellEnd"/>
      <w:r>
        <w:rPr>
          <w:rFonts w:eastAsia="Arial" w:cs="Arial"/>
          <w:b/>
          <w:color w:val="000000"/>
        </w:rPr>
        <w:t>-polygon</w:t>
      </w:r>
      <w:r>
        <w:rPr>
          <w:rFonts w:eastAsia="Arial" w:cs="Arial"/>
          <w:color w:val="000000"/>
        </w:rPr>
        <w:t xml:space="preserve">, </w:t>
      </w:r>
    </w:p>
    <w:p w:rsidR="00A14059" w:rsidRDefault="00A14059" w:rsidP="00A14059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 xml:space="preserve">metoda </w:t>
      </w:r>
      <w:proofErr w:type="spellStart"/>
      <w:r>
        <w:rPr>
          <w:rFonts w:eastAsia="Arial" w:cs="Arial"/>
          <w:b/>
          <w:color w:val="000000"/>
        </w:rPr>
        <w:t>flow</w:t>
      </w:r>
      <w:proofErr w:type="spellEnd"/>
      <w:r>
        <w:rPr>
          <w:rFonts w:eastAsia="Arial" w:cs="Arial"/>
          <w:b/>
          <w:color w:val="000000"/>
        </w:rPr>
        <w:t>-status</w:t>
      </w:r>
      <w:r>
        <w:rPr>
          <w:rFonts w:eastAsia="Arial" w:cs="Arial"/>
          <w:color w:val="000000"/>
        </w:rPr>
        <w:t>,</w:t>
      </w:r>
    </w:p>
    <w:p w:rsidR="00A14059" w:rsidRDefault="00A14059" w:rsidP="00A14059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 xml:space="preserve">metoda </w:t>
      </w:r>
      <w:proofErr w:type="spellStart"/>
      <w:r>
        <w:rPr>
          <w:rFonts w:eastAsia="Arial" w:cs="Arial"/>
          <w:b/>
          <w:color w:val="000000"/>
        </w:rPr>
        <w:t>flow-martix</w:t>
      </w:r>
      <w:proofErr w:type="spellEnd"/>
      <w:r>
        <w:rPr>
          <w:rFonts w:eastAsia="Arial" w:cs="Arial"/>
          <w:color w:val="000000"/>
        </w:rPr>
        <w:t>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</w:rPr>
        <w:t>P</w:t>
      </w:r>
      <w:r>
        <w:rPr>
          <w:rFonts w:eastAsia="Arial" w:cs="Arial"/>
          <w:color w:val="000000"/>
        </w:rPr>
        <w:t xml:space="preserve">ro zjednodušení a zmenšení přenášených struktur je prostorové uspořádání stavů u metod </w:t>
      </w:r>
      <w:proofErr w:type="spellStart"/>
      <w:r>
        <w:rPr>
          <w:rFonts w:eastAsia="Arial" w:cs="Arial"/>
          <w:color w:val="000000"/>
        </w:rPr>
        <w:t>flow</w:t>
      </w:r>
      <w:proofErr w:type="spellEnd"/>
      <w:r>
        <w:rPr>
          <w:rFonts w:eastAsia="Arial" w:cs="Arial"/>
          <w:color w:val="000000"/>
        </w:rPr>
        <w:t xml:space="preserve">-polygon a </w:t>
      </w:r>
      <w:proofErr w:type="spellStart"/>
      <w:r>
        <w:rPr>
          <w:rFonts w:eastAsia="Arial" w:cs="Arial"/>
          <w:color w:val="000000"/>
        </w:rPr>
        <w:t>flow-martix</w:t>
      </w:r>
      <w:proofErr w:type="spellEnd"/>
      <w:r>
        <w:rPr>
          <w:rFonts w:eastAsia="Arial" w:cs="Arial"/>
          <w:color w:val="000000"/>
        </w:rPr>
        <w:t xml:space="preserve"> odkazované pomocí staničení vůči počátku sledovaného úseku popsaného v LRC. LRC tak obsah</w:t>
      </w:r>
      <w:r>
        <w:rPr>
          <w:rFonts w:eastAsia="Arial" w:cs="Arial"/>
          <w:color w:val="000000"/>
        </w:rPr>
        <w:t>u</w:t>
      </w:r>
      <w:r>
        <w:rPr>
          <w:rFonts w:eastAsia="Arial" w:cs="Arial"/>
          <w:color w:val="000000"/>
        </w:rPr>
        <w:t>je jeden směr celého sledovaného úseku silniční sítě.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 kapitole je stanoven obsah komponent: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MMC, </w:t>
      </w:r>
      <w:proofErr w:type="spellStart"/>
      <w:r>
        <w:rPr>
          <w:rFonts w:eastAsia="Arial" w:cs="Arial"/>
          <w:color w:val="000000"/>
        </w:rPr>
        <w:t>MessageManagementContainer</w:t>
      </w:r>
      <w:proofErr w:type="spellEnd"/>
      <w:r>
        <w:rPr>
          <w:rFonts w:eastAsia="Arial" w:cs="Arial"/>
          <w:color w:val="000000"/>
        </w:rPr>
        <w:t>, způsob řízení zpráv, po částech, monoliticky.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LRC, </w:t>
      </w:r>
      <w:proofErr w:type="spellStart"/>
      <w:r>
        <w:rPr>
          <w:rFonts w:eastAsia="Arial" w:cs="Arial"/>
          <w:color w:val="000000"/>
        </w:rPr>
        <w:t>LocationReferencingContainer</w:t>
      </w:r>
      <w:proofErr w:type="spellEnd"/>
      <w:r>
        <w:rPr>
          <w:rFonts w:eastAsia="Arial" w:cs="Arial"/>
          <w:color w:val="000000"/>
        </w:rPr>
        <w:t>, povoleny jsou pouze liniové lokace.</w:t>
      </w:r>
    </w:p>
    <w:p w:rsidR="00A14059" w:rsidRDefault="00A14059" w:rsidP="00A14059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13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a ADC, </w:t>
      </w:r>
      <w:proofErr w:type="spellStart"/>
      <w:r>
        <w:rPr>
          <w:rFonts w:eastAsia="Arial" w:cs="Arial"/>
          <w:color w:val="000000"/>
        </w:rPr>
        <w:t>TFPMethod</w:t>
      </w:r>
      <w:proofErr w:type="spellEnd"/>
      <w:r>
        <w:rPr>
          <w:rFonts w:eastAsia="Arial" w:cs="Arial"/>
          <w:color w:val="000000"/>
        </w:rPr>
        <w:t>, kde jsou popsány všechny metody.</w:t>
      </w:r>
    </w:p>
    <w:p w:rsidR="00A14059" w:rsidRDefault="00A14059" w:rsidP="00CA71AD">
      <w:pPr>
        <w:pStyle w:val="Obrzek"/>
        <w:rPr>
          <w:rFonts w:eastAsia="Arial"/>
        </w:rPr>
      </w:pPr>
      <w:r w:rsidRPr="00CA71AD">
        <w:rPr>
          <w:rFonts w:eastAsia="Arial"/>
        </w:rPr>
        <w:drawing>
          <wp:inline distT="0" distB="0" distL="114300" distR="114300" wp14:anchorId="3D49E816" wp14:editId="57597865">
            <wp:extent cx="4329430" cy="197993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1979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>Obrázek 2 – Ukázka odkazování na polohu pomocí TMC (obrázek 3 normy)</w:t>
      </w:r>
    </w:p>
    <w:p w:rsidR="00A14059" w:rsidRDefault="00A14059" w:rsidP="00CA71AD">
      <w:pPr>
        <w:pStyle w:val="Nadpislnku"/>
        <w:rPr>
          <w:rFonts w:eastAsia="Arial"/>
        </w:rPr>
      </w:pPr>
      <w:r>
        <w:rPr>
          <w:rFonts w:eastAsia="Arial"/>
        </w:rPr>
        <w:t xml:space="preserve">Metoda </w:t>
      </w:r>
      <w:proofErr w:type="spellStart"/>
      <w:r>
        <w:rPr>
          <w:rFonts w:eastAsia="Arial"/>
        </w:rPr>
        <w:t>Flow</w:t>
      </w:r>
      <w:proofErr w:type="spellEnd"/>
      <w:r>
        <w:rPr>
          <w:rFonts w:eastAsia="Arial"/>
        </w:rPr>
        <w:t>-Polygon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V článku 7.8 a 7.9 je popisována metoda </w:t>
      </w:r>
      <w:proofErr w:type="spellStart"/>
      <w:r>
        <w:rPr>
          <w:rFonts w:eastAsia="Arial" w:cs="Arial"/>
          <w:color w:val="000000"/>
        </w:rPr>
        <w:t>flow</w:t>
      </w:r>
      <w:proofErr w:type="spellEnd"/>
      <w:r>
        <w:rPr>
          <w:rFonts w:eastAsia="Arial" w:cs="Arial"/>
          <w:color w:val="000000"/>
        </w:rPr>
        <w:t>-polygon, která modeluje stav dopravy v diagramu dráha-čas p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mocí několika prostorově-časových objektů „</w:t>
      </w:r>
      <w:proofErr w:type="spellStart"/>
      <w:r>
        <w:rPr>
          <w:rFonts w:eastAsia="Arial" w:cs="Arial"/>
          <w:color w:val="000000"/>
        </w:rPr>
        <w:t>FlowPolygonObjects</w:t>
      </w:r>
      <w:proofErr w:type="spellEnd"/>
      <w:r>
        <w:rPr>
          <w:rFonts w:eastAsia="Arial" w:cs="Arial"/>
          <w:color w:val="000000"/>
        </w:rPr>
        <w:t>“. Počátek platnosti se nachází v počátku osy souřadnic a časové souřadnice polygonů mohou ležet v minulosti či budoucnosti. Tato metoda implicitně prac</w:t>
      </w:r>
      <w:r>
        <w:rPr>
          <w:rFonts w:eastAsia="Arial" w:cs="Arial"/>
          <w:color w:val="000000"/>
        </w:rPr>
        <w:t>u</w:t>
      </w:r>
      <w:r>
        <w:rPr>
          <w:rFonts w:eastAsia="Arial" w:cs="Arial"/>
          <w:color w:val="000000"/>
        </w:rPr>
        <w:t>je s predikcí dopravního stavu.</w:t>
      </w:r>
    </w:p>
    <w:p w:rsidR="00A14059" w:rsidRDefault="00A14059" w:rsidP="00CA71AD">
      <w:pPr>
        <w:pStyle w:val="Obrzek"/>
        <w:rPr>
          <w:rFonts w:eastAsia="Arial"/>
        </w:rPr>
      </w:pPr>
      <w:r>
        <w:rPr>
          <w:rFonts w:eastAsia="Arial"/>
          <w:noProof/>
          <w:lang w:val="en-US"/>
        </w:rPr>
        <w:drawing>
          <wp:inline distT="0" distB="0" distL="114300" distR="114300" wp14:anchorId="434A0DDB" wp14:editId="0B026B85">
            <wp:extent cx="4132580" cy="273621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2736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 xml:space="preserve">Obrázek 3 – Ukázka metody </w:t>
      </w:r>
      <w:proofErr w:type="spellStart"/>
      <w:r>
        <w:rPr>
          <w:rFonts w:eastAsia="Arial"/>
        </w:rPr>
        <w:t>flow</w:t>
      </w:r>
      <w:proofErr w:type="spellEnd"/>
      <w:r>
        <w:rPr>
          <w:rFonts w:eastAsia="Arial"/>
        </w:rPr>
        <w:t>-polygon (obrázek 4 normy)</w:t>
      </w:r>
    </w:p>
    <w:p w:rsidR="00A14059" w:rsidRDefault="00A14059" w:rsidP="00CA71AD">
      <w:pPr>
        <w:pStyle w:val="Nadpislnku"/>
        <w:rPr>
          <w:rFonts w:eastAsia="Arial"/>
        </w:rPr>
      </w:pPr>
      <w:r>
        <w:rPr>
          <w:rFonts w:eastAsia="Arial"/>
        </w:rPr>
        <w:lastRenderedPageBreak/>
        <w:t xml:space="preserve">Metoda </w:t>
      </w:r>
      <w:proofErr w:type="spellStart"/>
      <w:r>
        <w:rPr>
          <w:rFonts w:eastAsia="Arial"/>
        </w:rPr>
        <w:t>Flow</w:t>
      </w:r>
      <w:proofErr w:type="spellEnd"/>
      <w:r>
        <w:rPr>
          <w:rFonts w:eastAsia="Arial"/>
        </w:rPr>
        <w:t>-Status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V článku 7.10 je stanovena metoda </w:t>
      </w:r>
      <w:proofErr w:type="spellStart"/>
      <w:r>
        <w:rPr>
          <w:rFonts w:eastAsia="Arial" w:cs="Arial"/>
          <w:color w:val="000000"/>
        </w:rPr>
        <w:t>flow</w:t>
      </w:r>
      <w:proofErr w:type="spellEnd"/>
      <w:r>
        <w:rPr>
          <w:rFonts w:eastAsia="Arial" w:cs="Arial"/>
          <w:color w:val="000000"/>
        </w:rPr>
        <w:t>-status, která popisuje stav dopravy v definovaném časovém intervalu na jednom konkrétním místě (sledovaném úseku silniční sítě stanoveném v LRC).</w:t>
      </w:r>
    </w:p>
    <w:p w:rsidR="00A14059" w:rsidRDefault="00A14059" w:rsidP="00CA71AD">
      <w:pPr>
        <w:pStyle w:val="Nadpislnku"/>
        <w:rPr>
          <w:rFonts w:eastAsia="Arial"/>
        </w:rPr>
      </w:pPr>
      <w:r>
        <w:rPr>
          <w:rFonts w:eastAsia="Arial"/>
        </w:rPr>
        <w:t xml:space="preserve">Metoda </w:t>
      </w:r>
      <w:proofErr w:type="spellStart"/>
      <w:r>
        <w:rPr>
          <w:rFonts w:eastAsia="Arial"/>
        </w:rPr>
        <w:t>Flow</w:t>
      </w:r>
      <w:proofErr w:type="spellEnd"/>
      <w:r>
        <w:rPr>
          <w:rFonts w:eastAsia="Arial"/>
        </w:rPr>
        <w:t>-Matrix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V článku 7.11 je stanovena metoda </w:t>
      </w:r>
      <w:proofErr w:type="spellStart"/>
      <w:r>
        <w:rPr>
          <w:rFonts w:eastAsia="Arial" w:cs="Arial"/>
          <w:color w:val="000000"/>
        </w:rPr>
        <w:t>flow-martix</w:t>
      </w:r>
      <w:proofErr w:type="spellEnd"/>
      <w:r>
        <w:rPr>
          <w:rFonts w:eastAsia="Arial" w:cs="Arial"/>
          <w:color w:val="000000"/>
        </w:rPr>
        <w:t xml:space="preserve">, která popisuje stav dopravy pomocí </w:t>
      </w:r>
      <w:r>
        <w:rPr>
          <w:rFonts w:eastAsia="Arial" w:cs="Arial"/>
        </w:rPr>
        <w:t xml:space="preserve">posloupnosti </w:t>
      </w:r>
      <w:r>
        <w:rPr>
          <w:rFonts w:eastAsia="Arial" w:cs="Arial"/>
          <w:color w:val="000000"/>
        </w:rPr>
        <w:t>stavů dopravy „</w:t>
      </w:r>
      <w:proofErr w:type="spellStart"/>
      <w:r>
        <w:rPr>
          <w:rFonts w:eastAsia="Arial" w:cs="Arial"/>
          <w:color w:val="000000"/>
        </w:rPr>
        <w:t>FlowVector</w:t>
      </w:r>
      <w:proofErr w:type="spellEnd"/>
      <w:r>
        <w:rPr>
          <w:rFonts w:eastAsia="Arial" w:cs="Arial"/>
          <w:color w:val="000000"/>
        </w:rPr>
        <w:t>“ rozprostřených prostorově po sledovaném úseku silniční sítě stanoveném v LRC. „</w:t>
      </w:r>
      <w:proofErr w:type="spellStart"/>
      <w:r>
        <w:rPr>
          <w:rFonts w:eastAsia="Arial" w:cs="Arial"/>
          <w:color w:val="000000"/>
        </w:rPr>
        <w:t>FlowMatrix</w:t>
      </w:r>
      <w:proofErr w:type="spellEnd"/>
      <w:r>
        <w:rPr>
          <w:rFonts w:eastAsia="Arial" w:cs="Arial"/>
          <w:color w:val="000000"/>
        </w:rPr>
        <w:t>“ se poté skládá z několika těchto prostorových úseků, z nichž každý popisuj</w:t>
      </w:r>
      <w:r>
        <w:rPr>
          <w:rFonts w:eastAsia="Arial" w:cs="Arial"/>
        </w:rPr>
        <w:t>e</w:t>
      </w:r>
      <w:r>
        <w:rPr>
          <w:rFonts w:eastAsia="Arial" w:cs="Arial"/>
          <w:color w:val="000000"/>
        </w:rPr>
        <w:t xml:space="preserve"> stav v konkrétním čase, např. po </w:t>
      </w:r>
      <w:proofErr w:type="gramStart"/>
      <w:r>
        <w:rPr>
          <w:rFonts w:eastAsia="Arial" w:cs="Arial"/>
          <w:color w:val="000000"/>
        </w:rPr>
        <w:t>15ti</w:t>
      </w:r>
      <w:proofErr w:type="gramEnd"/>
      <w:r>
        <w:rPr>
          <w:rFonts w:eastAsia="Arial" w:cs="Arial"/>
          <w:color w:val="000000"/>
        </w:rPr>
        <w:t xml:space="preserve"> minutách.</w:t>
      </w:r>
    </w:p>
    <w:p w:rsidR="00A14059" w:rsidRDefault="00A14059" w:rsidP="00CA71AD">
      <w:pPr>
        <w:pStyle w:val="Obrzek"/>
        <w:rPr>
          <w:rFonts w:eastAsia="Arial"/>
        </w:rPr>
      </w:pPr>
      <w:r>
        <w:rPr>
          <w:rFonts w:eastAsia="Arial"/>
          <w:noProof/>
          <w:lang w:val="en-US"/>
        </w:rPr>
        <w:drawing>
          <wp:inline distT="0" distB="0" distL="114300" distR="114300" wp14:anchorId="405DBF2B" wp14:editId="677BB294">
            <wp:extent cx="4655185" cy="290322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903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Arial"/>
        </w:rPr>
        <w:t xml:space="preserve"> </w:t>
      </w: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 xml:space="preserve">Obrázek 4 – Ukázka metody </w:t>
      </w:r>
      <w:proofErr w:type="spellStart"/>
      <w:r>
        <w:rPr>
          <w:rFonts w:eastAsia="Arial"/>
        </w:rPr>
        <w:t>flow</w:t>
      </w:r>
      <w:proofErr w:type="spellEnd"/>
      <w:r>
        <w:rPr>
          <w:rFonts w:eastAsia="Arial"/>
        </w:rPr>
        <w:t xml:space="preserve"> matrix popisující jeden úsek silniční sítě ve čtyřech různých časech (obrázek 5 normy)</w:t>
      </w:r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8 Datové typy TFP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5,5 stran) obsahuje </w:t>
      </w:r>
      <w:r>
        <w:rPr>
          <w:rFonts w:eastAsia="Arial" w:cs="Arial"/>
          <w:b/>
          <w:color w:val="000000"/>
        </w:rPr>
        <w:t>definice</w:t>
      </w:r>
      <w:r>
        <w:rPr>
          <w:rFonts w:eastAsia="Arial" w:cs="Arial"/>
          <w:color w:val="000000"/>
        </w:rPr>
        <w:t xml:space="preserve"> použitých datových struktur (typů).  Struktury se skládají ze složitých či jednoduchých datových typů, výskyt každé položky datové struktury je doplněn popisem. </w:t>
      </w: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>Tabulka 1 – Seznam použitých tabulek TFP</w:t>
      </w:r>
    </w:p>
    <w:tbl>
      <w:tblPr>
        <w:tblW w:w="9045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2534"/>
        <w:gridCol w:w="6511"/>
      </w:tblGrid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Struktura TFP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Popis</w:t>
            </w:r>
          </w:p>
        </w:tc>
      </w:tr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PolygonPoint</w:t>
            </w:r>
            <w:proofErr w:type="spellEnd"/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Prostorově-časový bod v objektu „</w:t>
            </w:r>
            <w:proofErr w:type="spellStart"/>
            <w:proofErr w:type="gramStart"/>
            <w:r>
              <w:rPr>
                <w:rFonts w:eastAsia="Arial" w:cs="Arial"/>
                <w:color w:val="000000"/>
              </w:rPr>
              <w:t>flowPolygon</w:t>
            </w:r>
            <w:proofErr w:type="spellEnd"/>
            <w:r>
              <w:rPr>
                <w:rFonts w:eastAsia="Arial" w:cs="Arial"/>
                <w:color w:val="000000"/>
              </w:rPr>
              <w:t xml:space="preserve">“,  </w:t>
            </w:r>
            <w:r>
              <w:rPr>
                <w:rFonts w:eastAsia="Arial" w:cs="Arial"/>
              </w:rPr>
              <w:t>s</w:t>
            </w:r>
            <w:r>
              <w:rPr>
                <w:rFonts w:eastAsia="Arial" w:cs="Arial"/>
                <w:color w:val="000000"/>
              </w:rPr>
              <w:t>kládající</w:t>
            </w:r>
            <w:proofErr w:type="gramEnd"/>
            <w:r>
              <w:rPr>
                <w:rFonts w:eastAsia="Arial" w:cs="Arial"/>
                <w:color w:val="000000"/>
              </w:rPr>
              <w:t xml:space="preserve"> se z časového a prostorového odsazení od počátku osy.</w:t>
            </w:r>
          </w:p>
        </w:tc>
      </w:tr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FlowVectorSection</w:t>
            </w:r>
            <w:proofErr w:type="spellEnd"/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</w:rPr>
              <w:t>S</w:t>
            </w:r>
            <w:r>
              <w:rPr>
                <w:rFonts w:eastAsia="Arial" w:cs="Arial"/>
                <w:color w:val="000000"/>
              </w:rPr>
              <w:t>tav dopravy na určitém úseku silniční sítě obsahující mj. i níže uv</w:t>
            </w:r>
            <w:r>
              <w:rPr>
                <w:rFonts w:eastAsia="Arial" w:cs="Arial"/>
                <w:color w:val="000000"/>
              </w:rPr>
              <w:t>e</w:t>
            </w:r>
            <w:r>
              <w:rPr>
                <w:rFonts w:eastAsia="Arial" w:cs="Arial"/>
                <w:color w:val="000000"/>
              </w:rPr>
              <w:t>dené datové typy (struktury).</w:t>
            </w:r>
          </w:p>
        </w:tc>
      </w:tr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i/>
                <w:color w:val="000000"/>
              </w:rPr>
              <w:t>StatusParameters</w:t>
            </w:r>
            <w:proofErr w:type="spellEnd"/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</w:rPr>
              <w:t>S</w:t>
            </w:r>
            <w:r>
              <w:rPr>
                <w:rFonts w:eastAsia="Arial" w:cs="Arial"/>
                <w:color w:val="000000"/>
              </w:rPr>
              <w:t xml:space="preserve">tav dopravy, min. stupně dopravy či průměrná rychlost či zdržení. </w:t>
            </w:r>
          </w:p>
        </w:tc>
      </w:tr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i/>
                <w:color w:val="000000"/>
              </w:rPr>
              <w:t>Restrictions</w:t>
            </w:r>
            <w:proofErr w:type="spellEnd"/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Restrikce pro konkrétní typy vozidel na konkrétní jízdní pruhy segme</w:t>
            </w:r>
            <w:r>
              <w:rPr>
                <w:rFonts w:eastAsia="Arial" w:cs="Arial"/>
                <w:color w:val="000000"/>
              </w:rPr>
              <w:t>n</w:t>
            </w:r>
            <w:r>
              <w:rPr>
                <w:rFonts w:eastAsia="Arial" w:cs="Arial"/>
                <w:color w:val="000000"/>
              </w:rPr>
              <w:t>tu silniční sítě.</w:t>
            </w:r>
          </w:p>
        </w:tc>
      </w:tr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i/>
                <w:color w:val="000000"/>
              </w:rPr>
              <w:t>StatisticalParameters</w:t>
            </w:r>
            <w:proofErr w:type="spellEnd"/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Statistické parametry a kvalita odhadu/výpočtu informace.</w:t>
            </w:r>
          </w:p>
        </w:tc>
      </w:tr>
      <w:tr w:rsidR="00A14059" w:rsidTr="00BC0A95"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i/>
                <w:color w:val="000000"/>
              </w:rPr>
              <w:t>LinkedCause</w:t>
            </w:r>
            <w:proofErr w:type="spellEnd"/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Odkaz na příčinu specifikovanou v jiné zprávě TPEG.</w:t>
            </w:r>
          </w:p>
        </w:tc>
      </w:tr>
    </w:tbl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t>9 Tabulky TFP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kapitola (rozsah 11 stran) obsahuje tabu</w:t>
      </w:r>
      <w:r>
        <w:rPr>
          <w:rFonts w:eastAsia="Arial" w:cs="Arial"/>
        </w:rPr>
        <w:t xml:space="preserve">lky s </w:t>
      </w:r>
      <w:r>
        <w:rPr>
          <w:rFonts w:eastAsia="Arial" w:cs="Arial"/>
          <w:color w:val="000000"/>
        </w:rPr>
        <w:t>definice</w:t>
      </w:r>
      <w:r>
        <w:rPr>
          <w:rFonts w:eastAsia="Arial" w:cs="Arial"/>
        </w:rPr>
        <w:t>mi</w:t>
      </w:r>
      <w:r>
        <w:rPr>
          <w:rFonts w:eastAsia="Arial" w:cs="Arial"/>
          <w:color w:val="000000"/>
        </w:rPr>
        <w:t xml:space="preserve"> výčtových typů aplikace TFP. </w:t>
      </w:r>
    </w:p>
    <w:p w:rsidR="00A14059" w:rsidRDefault="00A14059" w:rsidP="00CA71AD">
      <w:pPr>
        <w:pStyle w:val="NadpisTabObr"/>
        <w:rPr>
          <w:rFonts w:eastAsia="Arial"/>
        </w:rPr>
      </w:pPr>
      <w:r>
        <w:br w:type="page"/>
      </w:r>
      <w:r>
        <w:rPr>
          <w:rFonts w:eastAsia="Arial"/>
        </w:rPr>
        <w:lastRenderedPageBreak/>
        <w:t>Tabulka 2 – Seznam použitých tabulek TFP</w:t>
      </w:r>
    </w:p>
    <w:tbl>
      <w:tblPr>
        <w:tblW w:w="9060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2519"/>
        <w:gridCol w:w="3690"/>
        <w:gridCol w:w="2851"/>
      </w:tblGrid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Tabulka TFP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Popis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Obsah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tfp001: </w:t>
            </w:r>
            <w:proofErr w:type="spellStart"/>
            <w:r>
              <w:rPr>
                <w:rFonts w:eastAsia="Arial" w:cs="Arial"/>
                <w:color w:val="000000"/>
              </w:rPr>
              <w:t>VehicleClass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různých typů vozidel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</w:rPr>
              <w:t>P</w:t>
            </w:r>
            <w:r>
              <w:rPr>
                <w:rFonts w:eastAsia="Arial" w:cs="Arial"/>
                <w:color w:val="000000"/>
              </w:rPr>
              <w:t>ř.:010:trailer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tfp002: </w:t>
            </w:r>
            <w:proofErr w:type="spellStart"/>
            <w:r>
              <w:rPr>
                <w:rFonts w:eastAsia="Arial" w:cs="Arial"/>
                <w:color w:val="000000"/>
              </w:rPr>
              <w:t>VehicleCrede</w:t>
            </w:r>
            <w:r>
              <w:rPr>
                <w:rFonts w:eastAsia="Arial" w:cs="Arial"/>
                <w:color w:val="000000"/>
              </w:rPr>
              <w:t>n</w:t>
            </w:r>
            <w:r>
              <w:rPr>
                <w:rFonts w:eastAsia="Arial" w:cs="Arial"/>
                <w:color w:val="000000"/>
              </w:rPr>
              <w:t>tials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tříd vozidel dle privilegií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Př.: 002: </w:t>
            </w:r>
            <w:proofErr w:type="spellStart"/>
            <w:r>
              <w:rPr>
                <w:rFonts w:eastAsia="Arial" w:cs="Arial"/>
                <w:color w:val="000000"/>
              </w:rPr>
              <w:t>disabled</w:t>
            </w:r>
            <w:proofErr w:type="spellEnd"/>
            <w:r>
              <w:rPr>
                <w:rFonts w:eastAsia="Arial" w:cs="Arial"/>
                <w:color w:val="000000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passenger</w:t>
            </w:r>
            <w:proofErr w:type="spellEnd"/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tfp003: </w:t>
            </w:r>
            <w:proofErr w:type="spellStart"/>
            <w:r>
              <w:rPr>
                <w:rFonts w:eastAsia="Arial" w:cs="Arial"/>
                <w:color w:val="000000"/>
              </w:rPr>
              <w:t>LevelOfService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(48) popisů plynulosti dopravy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Př.: 048: </w:t>
            </w:r>
            <w:proofErr w:type="spellStart"/>
            <w:r>
              <w:rPr>
                <w:rFonts w:eastAsia="Arial" w:cs="Arial"/>
                <w:color w:val="000000"/>
              </w:rPr>
              <w:t>wide</w:t>
            </w:r>
            <w:proofErr w:type="spellEnd"/>
            <w:r>
              <w:rPr>
                <w:rFonts w:eastAsia="Arial" w:cs="Arial"/>
                <w:color w:val="000000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</w:rPr>
              <w:t>moving</w:t>
            </w:r>
            <w:proofErr w:type="spellEnd"/>
            <w:r>
              <w:rPr>
                <w:rFonts w:eastAsia="Arial" w:cs="Arial"/>
                <w:color w:val="000000"/>
              </w:rPr>
              <w:t xml:space="preserve"> jam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tfp004: </w:t>
            </w:r>
            <w:proofErr w:type="spellStart"/>
            <w:r>
              <w:rPr>
                <w:rFonts w:eastAsia="Arial" w:cs="Arial"/>
                <w:color w:val="000000"/>
              </w:rPr>
              <w:t>SpatialResolution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typů přesnosti použité lokalizace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Př.: </w:t>
            </w:r>
            <w:proofErr w:type="gramStart"/>
            <w:r>
              <w:rPr>
                <w:rFonts w:eastAsia="Arial" w:cs="Arial"/>
                <w:color w:val="000000"/>
              </w:rPr>
              <w:t>002:50-m-resolution</w:t>
            </w:r>
            <w:proofErr w:type="gramEnd"/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tfp005:laneRestriction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kombinací jízdních pruhů urč</w:t>
            </w:r>
            <w:r>
              <w:rPr>
                <w:rFonts w:eastAsia="Arial" w:cs="Arial"/>
                <w:color w:val="000000"/>
              </w:rPr>
              <w:t>e</w:t>
            </w:r>
            <w:r>
              <w:rPr>
                <w:rFonts w:eastAsia="Arial" w:cs="Arial"/>
                <w:color w:val="000000"/>
              </w:rPr>
              <w:t>ných pro dané omezení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Př.: 008: </w:t>
            </w:r>
            <w:proofErr w:type="spellStart"/>
            <w:r>
              <w:rPr>
                <w:rFonts w:eastAsia="Arial" w:cs="Arial"/>
                <w:color w:val="000000"/>
              </w:rPr>
              <w:t>driving</w:t>
            </w:r>
            <w:proofErr w:type="spellEnd"/>
            <w:r>
              <w:rPr>
                <w:rFonts w:eastAsia="Arial" w:cs="Arial"/>
                <w:color w:val="000000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</w:rPr>
              <w:t>lane</w:t>
            </w:r>
            <w:proofErr w:type="spellEnd"/>
            <w:r>
              <w:rPr>
                <w:rFonts w:eastAsia="Arial" w:cs="Arial"/>
                <w:color w:val="000000"/>
              </w:rPr>
              <w:t xml:space="preserve"> 8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tfp006: </w:t>
            </w:r>
            <w:proofErr w:type="spellStart"/>
            <w:r>
              <w:rPr>
                <w:rFonts w:eastAsia="Arial" w:cs="Arial"/>
                <w:color w:val="000000"/>
              </w:rPr>
              <w:t>CauseCode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různých příčin (68) omezení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Př.: 002:accident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tfp007: </w:t>
            </w:r>
            <w:proofErr w:type="spellStart"/>
            <w:r>
              <w:rPr>
                <w:rFonts w:eastAsia="Arial" w:cs="Arial"/>
                <w:color w:val="000000"/>
              </w:rPr>
              <w:t>SectionType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Výčet typů úseků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Př.: 002:exit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tfp008: </w:t>
            </w:r>
            <w:proofErr w:type="spellStart"/>
            <w:r>
              <w:rPr>
                <w:rFonts w:eastAsia="Arial" w:cs="Arial"/>
                <w:color w:val="000000"/>
              </w:rPr>
              <w:t>FlowDataQuality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Výčet úrovní kvality </w:t>
            </w:r>
            <w:r>
              <w:rPr>
                <w:rFonts w:eastAsia="Arial" w:cs="Arial"/>
              </w:rPr>
              <w:t>dat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Př</w:t>
            </w:r>
            <w:proofErr w:type="spellEnd"/>
            <w:r>
              <w:rPr>
                <w:rFonts w:eastAsia="Arial" w:cs="Arial"/>
                <w:color w:val="000000"/>
              </w:rPr>
              <w:t>: 005:high</w:t>
            </w:r>
          </w:p>
        </w:tc>
      </w:tr>
    </w:tbl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>Tabulka 3 – Příklad části definice výčtového typu tfp006:CauseCode (část tabulky 19 normy)</w:t>
      </w:r>
    </w:p>
    <w:tbl>
      <w:tblPr>
        <w:tblW w:w="9045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2519"/>
        <w:gridCol w:w="3690"/>
        <w:gridCol w:w="2836"/>
      </w:tblGrid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Kód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Fráze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komentář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000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stav neznámý (</w:t>
            </w:r>
            <w:proofErr w:type="spellStart"/>
            <w:r>
              <w:rPr>
                <w:rFonts w:eastAsia="Arial" w:cs="Arial"/>
                <w:color w:val="000000"/>
              </w:rPr>
              <w:t>unknown</w:t>
            </w:r>
            <w:proofErr w:type="spellEnd"/>
            <w:r>
              <w:rPr>
                <w:rFonts w:eastAsia="Arial" w:cs="Arial"/>
                <w:color w:val="000000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001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dopravní kongesce (</w:t>
            </w:r>
            <w:proofErr w:type="spellStart"/>
            <w:r>
              <w:rPr>
                <w:rFonts w:eastAsia="Arial" w:cs="Arial"/>
                <w:color w:val="000000"/>
              </w:rPr>
              <w:t>traffic</w:t>
            </w:r>
            <w:proofErr w:type="spellEnd"/>
            <w:r>
              <w:rPr>
                <w:rFonts w:eastAsia="Arial" w:cs="Arial"/>
                <w:color w:val="000000"/>
              </w:rPr>
              <w:t xml:space="preserve"> </w:t>
            </w:r>
            <w:proofErr w:type="spellStart"/>
            <w:r>
              <w:rPr>
                <w:rFonts w:eastAsia="Arial" w:cs="Arial"/>
                <w:color w:val="000000"/>
              </w:rPr>
              <w:t>congestion</w:t>
            </w:r>
            <w:proofErr w:type="spellEnd"/>
            <w:r>
              <w:rPr>
                <w:rFonts w:eastAsia="Arial" w:cs="Arial"/>
                <w:color w:val="000000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…</w:t>
            </w:r>
          </w:p>
        </w:tc>
      </w:tr>
      <w:tr w:rsidR="00A14059" w:rsidTr="00BC0A95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002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nehoda (</w:t>
            </w:r>
            <w:proofErr w:type="spellStart"/>
            <w:r>
              <w:rPr>
                <w:rFonts w:eastAsia="Arial" w:cs="Arial"/>
                <w:color w:val="000000"/>
              </w:rPr>
              <w:t>accident</w:t>
            </w:r>
            <w:proofErr w:type="spellEnd"/>
            <w:r>
              <w:rPr>
                <w:rFonts w:eastAsia="Arial" w:cs="Arial"/>
                <w:color w:val="000000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V případě nehody</w:t>
            </w:r>
          </w:p>
        </w:tc>
      </w:tr>
    </w:tbl>
    <w:p w:rsidR="00A14059" w:rsidRDefault="00A14059" w:rsidP="00CA71AD">
      <w:pPr>
        <w:pStyle w:val="Nadpiskapitoly"/>
        <w:rPr>
          <w:rFonts w:eastAsia="Arial"/>
        </w:rPr>
      </w:pPr>
      <w:bookmarkStart w:id="7" w:name="_1t3h5sf" w:colFirst="0" w:colLast="0"/>
      <w:bookmarkEnd w:id="7"/>
      <w:r>
        <w:rPr>
          <w:rFonts w:eastAsia="Arial"/>
        </w:rPr>
        <w:t>Příloha A (normativní) – TPEG-bin reprezentace TFP</w:t>
      </w:r>
      <w:r>
        <w:rPr>
          <w:rFonts w:eastAsia="Arial"/>
        </w:rPr>
        <w:tab/>
      </w:r>
      <w:r>
        <w:rPr>
          <w:rFonts w:eastAsia="Arial"/>
        </w:rPr>
        <w:tab/>
      </w:r>
      <w:r>
        <w:rPr>
          <w:rFonts w:eastAsia="Arial"/>
        </w:rPr>
        <w:tab/>
      </w:r>
      <w:r>
        <w:rPr>
          <w:rFonts w:eastAsia="Arial"/>
        </w:rPr>
        <w:tab/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příloha (rozsah 10 stran) stanovuje binární reprezentaci aplikace pro informace o stavu dopravního proudu a jeho predikci (TFP) TPEG pro použití v DAB. Pro popis binární reprezentace je použit pseudokód, kde pro každé klíčové slovo zapsané struktury je znám jeho binární tvar.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Příloha obsahuje samostatně uvedené binární reprezentace rámce TPEG, zprávy TFP a jejích součástí,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>ů určených pro budoucí rozšíření a datových typů. Dále obsahuje identifikátory komponent zprávy a vysvětlení použití obecných atributů TPEG.</w:t>
      </w:r>
    </w:p>
    <w:p w:rsidR="00A14059" w:rsidRDefault="00A14059" w:rsidP="00CA71AD">
      <w:pPr>
        <w:pStyle w:val="Obrzek"/>
        <w:rPr>
          <w:rFonts w:eastAsia="Arial"/>
        </w:rPr>
      </w:pPr>
      <w:r>
        <w:rPr>
          <w:rFonts w:eastAsia="Arial"/>
          <w:noProof/>
          <w:lang w:val="en-US"/>
        </w:rPr>
        <w:drawing>
          <wp:inline distT="0" distB="0" distL="114300" distR="114300" wp14:anchorId="32854DAC" wp14:editId="3F0180BF">
            <wp:extent cx="5231219" cy="3742661"/>
            <wp:effectExtent l="0" t="0" r="762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4261" cy="3744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 xml:space="preserve">Obrázek 5 – Výstřižek pseudokódu binární specifikace prvku </w:t>
      </w:r>
      <w:proofErr w:type="spellStart"/>
      <w:r>
        <w:rPr>
          <w:rFonts w:eastAsia="Arial"/>
        </w:rPr>
        <w:t>FlowStatus</w:t>
      </w:r>
      <w:proofErr w:type="spellEnd"/>
    </w:p>
    <w:p w:rsidR="00A14059" w:rsidRDefault="00A14059" w:rsidP="00CA71AD">
      <w:pPr>
        <w:pStyle w:val="Nadpiskapitoly"/>
        <w:rPr>
          <w:rFonts w:eastAsia="Arial"/>
        </w:rPr>
      </w:pPr>
      <w:r>
        <w:rPr>
          <w:rFonts w:eastAsia="Arial"/>
        </w:rPr>
        <w:lastRenderedPageBreak/>
        <w:t>Příloha B (normativní) – TPEG-ML reprezentace TFP</w:t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příloha (rozsah 10 stran) obsahuje nejprve samostatně uvedené XML schéma rámce TPEG, zprávy TFP a jejích součástí,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 xml:space="preserve">ů určených pro budoucí rozšíření a datových typů a tabulek TFP (definovaných jako </w:t>
      </w:r>
      <w:proofErr w:type="spellStart"/>
      <w:r>
        <w:rPr>
          <w:rFonts w:eastAsia="Arial" w:cs="Arial"/>
          <w:color w:val="000000"/>
        </w:rPr>
        <w:t>xs:complexType</w:t>
      </w:r>
      <w:proofErr w:type="spellEnd"/>
      <w:r>
        <w:rPr>
          <w:rFonts w:eastAsia="Arial" w:cs="Arial"/>
          <w:color w:val="000000"/>
        </w:rPr>
        <w:t xml:space="preserve">). Následně uvádí výše zmíněné </w:t>
      </w:r>
      <w:r>
        <w:rPr>
          <w:rFonts w:eastAsia="Arial" w:cs="Arial"/>
        </w:rPr>
        <w:t xml:space="preserve">samostatně uvedené XML </w:t>
      </w:r>
      <w:proofErr w:type="spellStart"/>
      <w:r>
        <w:rPr>
          <w:rFonts w:eastAsia="Arial" w:cs="Arial"/>
        </w:rPr>
        <w:t>schema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color w:val="000000"/>
        </w:rPr>
        <w:t xml:space="preserve">v jednom funkčním XML schématu. </w:t>
      </w:r>
    </w:p>
    <w:p w:rsidR="00A14059" w:rsidRDefault="00A14059" w:rsidP="00CA71AD">
      <w:pPr>
        <w:pStyle w:val="Obrzek"/>
        <w:rPr>
          <w:rFonts w:eastAsia="Arial"/>
        </w:rPr>
      </w:pPr>
      <w:r>
        <w:rPr>
          <w:rFonts w:eastAsia="Arial"/>
          <w:noProof/>
          <w:lang w:val="en-US"/>
        </w:rPr>
        <w:drawing>
          <wp:inline distT="0" distB="0" distL="114300" distR="114300" wp14:anchorId="64D42188" wp14:editId="39173EB1">
            <wp:extent cx="5756275" cy="197104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97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059" w:rsidRDefault="00A14059" w:rsidP="00CA71AD">
      <w:pPr>
        <w:pStyle w:val="NadpisTabObr"/>
        <w:rPr>
          <w:rFonts w:eastAsia="Arial"/>
        </w:rPr>
      </w:pPr>
      <w:r>
        <w:rPr>
          <w:rFonts w:eastAsia="Arial"/>
        </w:rPr>
        <w:t xml:space="preserve">Obrázek 6 – Výstřižek schématu XSD stanovujícího strukturu prvku </w:t>
      </w:r>
      <w:proofErr w:type="spellStart"/>
      <w:r>
        <w:rPr>
          <w:rFonts w:eastAsia="Arial"/>
        </w:rPr>
        <w:t>FlowMatrix</w:t>
      </w:r>
      <w:proofErr w:type="spellEnd"/>
    </w:p>
    <w:p w:rsidR="00A14059" w:rsidRDefault="00A14059" w:rsidP="00CA71AD">
      <w:pPr>
        <w:pStyle w:val="Nadpiskapitoly"/>
        <w:rPr>
          <w:rFonts w:eastAsia="Arial"/>
        </w:rPr>
      </w:pPr>
      <w:bookmarkStart w:id="8" w:name="_GoBack"/>
      <w:r>
        <w:rPr>
          <w:rFonts w:eastAsia="Arial"/>
        </w:rPr>
        <w:t>Literatura</w:t>
      </w:r>
    </w:p>
    <w:bookmarkEnd w:id="8"/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kapitola uvádí dva v textu použité odkazy na normy, první na TPEG2-INV a druhý na definici UML.</w:t>
      </w:r>
    </w:p>
    <w:p w:rsidR="006D4C50" w:rsidRPr="00A14059" w:rsidRDefault="006D4C50" w:rsidP="00A14059"/>
    <w:sectPr w:rsidR="006D4C50" w:rsidRPr="00A14059" w:rsidSect="00BB78B4">
      <w:footerReference w:type="even" r:id="rId17"/>
      <w:footerReference w:type="default" r:id="rId18"/>
      <w:footerReference w:type="first" r:id="rId19"/>
      <w:pgSz w:w="11907" w:h="16840" w:code="9"/>
      <w:pgMar w:top="1134" w:right="964" w:bottom="1134" w:left="1021" w:header="567" w:footer="34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ABD" w:rsidRDefault="00B86ABD">
      <w:r>
        <w:separator/>
      </w:r>
    </w:p>
  </w:endnote>
  <w:endnote w:type="continuationSeparator" w:id="0">
    <w:p w:rsidR="00B86ABD" w:rsidRDefault="00B8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OpenSymbol">
    <w:altName w:val="Times New Roman"/>
    <w:charset w:val="00"/>
    <w:family w:val="auto"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93">
    <w:altName w:val="Times New Roman"/>
    <w:charset w:val="EE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CB5518">
      <w:rPr>
        <w:rStyle w:val="slostrnky"/>
        <w:noProof/>
      </w:rPr>
      <w:t>6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CB5518">
      <w:rPr>
        <w:rStyle w:val="slostrnky"/>
        <w:noProof/>
      </w:rPr>
      <w:t>7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ABD" w:rsidRDefault="00B86ABD">
      <w:r>
        <w:separator/>
      </w:r>
    </w:p>
  </w:footnote>
  <w:footnote w:type="continuationSeparator" w:id="0">
    <w:p w:rsidR="00B86ABD" w:rsidRDefault="00B86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>
    <w:nsid w:val="0D1F0DF3"/>
    <w:multiLevelType w:val="hybridMultilevel"/>
    <w:tmpl w:val="AB3A403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4">
    <w:nsid w:val="10553040"/>
    <w:multiLevelType w:val="hybridMultilevel"/>
    <w:tmpl w:val="9B36D012"/>
    <w:lvl w:ilvl="0" w:tplc="45985B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1FC3722"/>
    <w:multiLevelType w:val="multilevel"/>
    <w:tmpl w:val="AF526C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>
    <w:nsid w:val="148868DE"/>
    <w:multiLevelType w:val="hybridMultilevel"/>
    <w:tmpl w:val="CD82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AD16906"/>
    <w:multiLevelType w:val="multilevel"/>
    <w:tmpl w:val="CE4A7418"/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1DC678F6"/>
    <w:multiLevelType w:val="multilevel"/>
    <w:tmpl w:val="6BEA56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E45748"/>
    <w:multiLevelType w:val="multilevel"/>
    <w:tmpl w:val="96CEE4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27C62129"/>
    <w:multiLevelType w:val="hybridMultilevel"/>
    <w:tmpl w:val="9BA0EB3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B336F29"/>
    <w:multiLevelType w:val="hybridMultilevel"/>
    <w:tmpl w:val="63BC7C2A"/>
    <w:lvl w:ilvl="0" w:tplc="45985B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0D30D0"/>
    <w:multiLevelType w:val="hybridMultilevel"/>
    <w:tmpl w:val="A730680A"/>
    <w:lvl w:ilvl="0" w:tplc="45985B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5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6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28">
    <w:nsid w:val="47AE224D"/>
    <w:multiLevelType w:val="multilevel"/>
    <w:tmpl w:val="5B3A1974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30">
    <w:nsid w:val="4A81733E"/>
    <w:multiLevelType w:val="hybridMultilevel"/>
    <w:tmpl w:val="A5483A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EB537CF"/>
    <w:multiLevelType w:val="multilevel"/>
    <w:tmpl w:val="A19EA4C4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3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34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0C51FB"/>
    <w:multiLevelType w:val="hybridMultilevel"/>
    <w:tmpl w:val="B9104E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F4E70BD"/>
    <w:multiLevelType w:val="hybridMultilevel"/>
    <w:tmpl w:val="B36E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E34088"/>
    <w:multiLevelType w:val="hybridMultilevel"/>
    <w:tmpl w:val="EE2CB9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9">
    <w:nsid w:val="6CFF4D78"/>
    <w:multiLevelType w:val="hybridMultilevel"/>
    <w:tmpl w:val="8D76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34F7B00"/>
    <w:multiLevelType w:val="multilevel"/>
    <w:tmpl w:val="0AD28EAC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>
    <w:nsid w:val="75D82677"/>
    <w:multiLevelType w:val="hybridMultilevel"/>
    <w:tmpl w:val="943E8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43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44">
    <w:nsid w:val="78FD5753"/>
    <w:multiLevelType w:val="hybridMultilevel"/>
    <w:tmpl w:val="C0808A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D20FAE"/>
    <w:multiLevelType w:val="multilevel"/>
    <w:tmpl w:val="79EE1334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6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9"/>
  </w:num>
  <w:num w:numId="2">
    <w:abstractNumId w:val="29"/>
  </w:num>
  <w:num w:numId="3">
    <w:abstractNumId w:val="33"/>
  </w:num>
  <w:num w:numId="4">
    <w:abstractNumId w:val="27"/>
  </w:num>
  <w:num w:numId="5">
    <w:abstractNumId w:val="10"/>
  </w:num>
  <w:num w:numId="6">
    <w:abstractNumId w:val="32"/>
  </w:num>
  <w:num w:numId="7">
    <w:abstractNumId w:val="26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5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46"/>
    <w:lvlOverride w:ilvl="0">
      <w:startOverride w:val="1"/>
    </w:lvlOverride>
  </w:num>
  <w:num w:numId="19">
    <w:abstractNumId w:val="11"/>
  </w:num>
  <w:num w:numId="20">
    <w:abstractNumId w:val="19"/>
  </w:num>
  <w:num w:numId="21">
    <w:abstractNumId w:val="33"/>
    <w:lvlOverride w:ilvl="0">
      <w:startOverride w:val="1"/>
    </w:lvlOverride>
  </w:num>
  <w:num w:numId="22">
    <w:abstractNumId w:val="33"/>
    <w:lvlOverride w:ilvl="0">
      <w:startOverride w:val="1"/>
    </w:lvlOverride>
  </w:num>
  <w:num w:numId="23">
    <w:abstractNumId w:val="33"/>
    <w:lvlOverride w:ilvl="0">
      <w:startOverride w:val="1"/>
    </w:lvlOverride>
  </w:num>
  <w:num w:numId="24">
    <w:abstractNumId w:val="34"/>
  </w:num>
  <w:num w:numId="25">
    <w:abstractNumId w:val="13"/>
  </w:num>
  <w:num w:numId="26">
    <w:abstractNumId w:val="43"/>
  </w:num>
  <w:num w:numId="27">
    <w:abstractNumId w:val="38"/>
  </w:num>
  <w:num w:numId="28">
    <w:abstractNumId w:val="42"/>
  </w:num>
  <w:num w:numId="29">
    <w:abstractNumId w:val="24"/>
  </w:num>
  <w:num w:numId="30">
    <w:abstractNumId w:val="15"/>
  </w:num>
  <w:num w:numId="31">
    <w:abstractNumId w:val="35"/>
  </w:num>
  <w:num w:numId="32">
    <w:abstractNumId w:val="37"/>
  </w:num>
  <w:num w:numId="33">
    <w:abstractNumId w:val="44"/>
  </w:num>
  <w:num w:numId="34">
    <w:abstractNumId w:val="30"/>
  </w:num>
  <w:num w:numId="35">
    <w:abstractNumId w:val="21"/>
  </w:num>
  <w:num w:numId="36">
    <w:abstractNumId w:val="20"/>
  </w:num>
  <w:num w:numId="37">
    <w:abstractNumId w:val="45"/>
  </w:num>
  <w:num w:numId="38">
    <w:abstractNumId w:val="22"/>
  </w:num>
  <w:num w:numId="39">
    <w:abstractNumId w:val="23"/>
  </w:num>
  <w:num w:numId="40">
    <w:abstractNumId w:val="14"/>
  </w:num>
  <w:num w:numId="41">
    <w:abstractNumId w:val="12"/>
  </w:num>
  <w:num w:numId="42">
    <w:abstractNumId w:val="31"/>
  </w:num>
  <w:num w:numId="43">
    <w:abstractNumId w:val="28"/>
  </w:num>
  <w:num w:numId="44">
    <w:abstractNumId w:val="40"/>
  </w:num>
  <w:num w:numId="45">
    <w:abstractNumId w:val="41"/>
  </w:num>
  <w:num w:numId="46">
    <w:abstractNumId w:val="36"/>
  </w:num>
  <w:num w:numId="47">
    <w:abstractNumId w:val="16"/>
  </w:num>
  <w:num w:numId="48">
    <w:abstractNumId w:val="39"/>
  </w:num>
  <w:num w:numId="49">
    <w:abstractNumId w:val="17"/>
  </w:num>
  <w:num w:numId="50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64C44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00BC"/>
    <w:rsid w:val="00452D0B"/>
    <w:rsid w:val="00462A2A"/>
    <w:rsid w:val="00472F48"/>
    <w:rsid w:val="00475928"/>
    <w:rsid w:val="00490BE9"/>
    <w:rsid w:val="00494DEB"/>
    <w:rsid w:val="004B3EED"/>
    <w:rsid w:val="004B60DF"/>
    <w:rsid w:val="004C13F5"/>
    <w:rsid w:val="004C6E9D"/>
    <w:rsid w:val="004D20EB"/>
    <w:rsid w:val="004E06E3"/>
    <w:rsid w:val="004F751B"/>
    <w:rsid w:val="00500E11"/>
    <w:rsid w:val="00520EA3"/>
    <w:rsid w:val="0052204A"/>
    <w:rsid w:val="00522861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B7A3A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108E8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9E7FA1"/>
    <w:rsid w:val="00A14059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296F"/>
    <w:rsid w:val="00B86ABD"/>
    <w:rsid w:val="00B876A8"/>
    <w:rsid w:val="00B90A20"/>
    <w:rsid w:val="00B94E4C"/>
    <w:rsid w:val="00B969D7"/>
    <w:rsid w:val="00BB24EF"/>
    <w:rsid w:val="00BB402A"/>
    <w:rsid w:val="00BB78B4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648E3"/>
    <w:rsid w:val="00C746BB"/>
    <w:rsid w:val="00C7629D"/>
    <w:rsid w:val="00C802FB"/>
    <w:rsid w:val="00C93942"/>
    <w:rsid w:val="00C97059"/>
    <w:rsid w:val="00C97668"/>
    <w:rsid w:val="00CA1FB5"/>
    <w:rsid w:val="00CA69F3"/>
    <w:rsid w:val="00CA71AD"/>
    <w:rsid w:val="00CB1F73"/>
    <w:rsid w:val="00CB5518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34B6"/>
    <w:rsid w:val="00DE45DE"/>
    <w:rsid w:val="00E01005"/>
    <w:rsid w:val="00E048DB"/>
    <w:rsid w:val="00E1690A"/>
    <w:rsid w:val="00E25702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2847"/>
    <w:rsid w:val="00F73230"/>
    <w:rsid w:val="00F7428B"/>
    <w:rsid w:val="00F90C19"/>
    <w:rsid w:val="00F96DBF"/>
    <w:rsid w:val="00FB1A5C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http://www.itsterminology.org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48007-FF3C-48F6-92E5-35DFF88E7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Normy15f.dot</Template>
  <TotalTime>1</TotalTime>
  <Pages>7</Pages>
  <Words>1778</Words>
  <Characters>11054</Characters>
  <Application>Microsoft Office Word</Application>
  <DocSecurity>0</DocSecurity>
  <Lines>92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12807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Koutska Mila</dc:creator>
  <cp:lastModifiedBy>LenS</cp:lastModifiedBy>
  <cp:revision>2</cp:revision>
  <cp:lastPrinted>2019-04-29T13:37:00Z</cp:lastPrinted>
  <dcterms:created xsi:type="dcterms:W3CDTF">2019-04-29T13:38:00Z</dcterms:created>
  <dcterms:modified xsi:type="dcterms:W3CDTF">2019-04-29T13:38:00Z</dcterms:modified>
</cp:coreProperties>
</file>