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1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080"/>
          <w:tab w:val="right" w:pos="9923"/>
        </w:tabs>
        <w:spacing w:after="60" w:before="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leftMargin">
              <wp:posOffset>0</wp:posOffset>
            </wp:positionH>
            <wp:positionV relativeFrom="topMargin">
              <wp:posOffset>-449579</wp:posOffset>
            </wp:positionV>
            <wp:extent cx="75565" cy="151765"/>
            <wp:effectExtent b="0" l="0" r="0" t="0"/>
            <wp:wrapSquare wrapText="bothSides" distB="0" distT="0" distL="114300" distR="114300"/>
            <wp:docPr id="103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" cy="151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EXTRAKT z technické specifikace ISO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Extrakt nenahrazuje samotnou technickou normu, je pouze informativním materiálem o normě.</w:t>
      </w: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131.0" w:type="dxa"/>
        <w:tblLayout w:type="fixed"/>
        <w:tblLook w:val="0000"/>
      </w:tblPr>
      <w:tblGrid>
        <w:gridCol w:w="6764"/>
        <w:gridCol w:w="2266"/>
        <w:tblGridChange w:id="0">
          <w:tblGrid>
            <w:gridCol w:w="6764"/>
            <w:gridCol w:w="2266"/>
          </w:tblGrid>
        </w:tblGridChange>
      </w:tblGrid>
      <w:tr>
        <w:trPr>
          <w:trHeight w:val="1200" w:hRule="atLeast"/>
        </w:trPr>
        <w:tc>
          <w:tcPr>
            <w:tcBorders>
              <w:top w:color="000000" w:space="0" w:sz="8" w:val="single"/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03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Inteligentní dopravní systémy – Dopravní a cestovní informace předávané prostřednictvím expertní skupiny pro protokoly v dopravě 2. generace (TPEG 2) - Část 18: Aplikace pro informace o stavu dopravního proudu a jeho predikci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ISO/TS 21219-18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01 8388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4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Vydána 201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58 stran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Úvod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Technická specifikace ISO 21219 stanovuje formát a protokol TPEG určený pro poskytování informací o dopravě koncovým uživatelům. TPEG je určen pro média s vysokou přenosovou kapacitou, umožňuje informace členit strukturovaně se zvyšující se mírou detailů a komplexně popisovat polohu.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Jednotlivé oblasti dopravních událostí jsou v TPEG popsány odděleně, pomocí platformě nezávislého modelu (UML) a dvou odvozených platformě závislých modelů (binární a XML). Části specifikace stanovují pravidla tvorby modelu jeho převodu do platformě závislé podoby.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Více informací o kontextu TPEG je obsaženo v úvodu extraktu k části 1 normy TPEG (21219-1).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Technická specifikace ISO 21219 se zabývá druhou generací protokolu TPEG, označovaným zkratkou TPEG2. Rozlišení TPEG/TPEG1/TPEG2 se většinou uvádí pouze v úvodní části norem/specifikací, zatímco ostatní kapitoly již mezi TPEG a TPEG2 nerozlišují – to je implicitní dle kontextu.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Tento extrakt (dále jen “popisovaný dokument”) popisuje část 18 normy TPEG „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Aplikace pro informace o stavu dopravního proudu a jeho predikci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(TFP)”, která specifikuje 3 metody popisu stavů dopravy na sledovaném úseku v čase.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Poznámka: Extrakt uvádí vybrané kapitoly popisovaného dokumentu a přejímá původní číslování kapitol.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Užití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</w:rPr>
      </w:pPr>
      <w:bookmarkStart w:colFirst="0" w:colLast="0" w:name="_heading=h.2et92p0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Popisovaný dokument stanovuje strukturu pro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informace o stavu dopravního proudu a jeho predikci</w:t>
      </w:r>
      <w:r w:rsidDel="00000000" w:rsidR="00000000" w:rsidRPr="00000000">
        <w:rPr>
          <w:rFonts w:ascii="Arial" w:cs="Arial" w:eastAsia="Arial" w:hAnsi="Arial"/>
          <w:rtl w:val="0"/>
        </w:rPr>
        <w:t xml:space="preserve"> a pravidla pro tvorbu obsahu těchto struktur. Je nezbytný pro analytiky poskytovatele i příjemce dopravních informací, kteří mají na starost návrh datového modelu systému a návrh pravidel se kterými systém pracuje. Použije se při návrhu systému. 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</w:rPr>
      </w:pPr>
      <w:bookmarkStart w:colFirst="0" w:colLast="0" w:name="_heading=h.rxhk6wh1zgt5" w:id="5"/>
      <w:bookmarkEnd w:id="5"/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60410" cy="1447800"/>
            <wp:effectExtent b="0" l="0" r="0" t="0"/>
            <wp:docPr id="103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Obrázek 1 - Původní mapování mezi stavy a stupni provozu (zdroj autor)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</w:rPr>
      </w:pPr>
      <w:bookmarkStart w:colFirst="0" w:colLast="0" w:name="_heading=h.g2f15um8sfb9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Stavy dopravního proudu (free, heavy, slow, queuing a stationary) se mírně liší od “stupňů provozu” používaných v ČR  (1-5, </w:t>
      </w:r>
      <w:hyperlink r:id="rId11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https://cs.wikipedia.org/wiki/Stupeň_provozu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rtl w:val="0"/>
        </w:rPr>
        <w:t xml:space="preserve">Oba systémy používají 5-ti bodovou stupnici ale liší se ve významu 2. stupně, viz obrázek č. 1.</w:t>
      </w:r>
    </w:p>
    <w:p w:rsidR="00000000" w:rsidDel="00000000" w:rsidP="00000000" w:rsidRDefault="00000000" w:rsidRPr="00000000" w14:paraId="00000014">
      <w:pPr>
        <w:keepNext w:val="1"/>
        <w:keepLines w:val="1"/>
        <w:spacing w:after="60" w:before="200" w:line="276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Souvisící normy</w:t>
      </w:r>
    </w:p>
    <w:p w:rsidR="00000000" w:rsidDel="00000000" w:rsidP="00000000" w:rsidRDefault="00000000" w:rsidRPr="00000000" w14:paraId="00000015">
      <w:pPr>
        <w:spacing w:after="12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Popisovaný dokument uvádí 11 normativních odkazů na normu TPEG2 ISO 21219 části 1-7,9,15,21 a 22. Klíčové normy jsou: geografické odkazování na polohu (21219-21, TPEG2-GLR) a odkazování na polohu metodou OpenLR (21219-22, TPEG2-OLR), dále kompaktní popis dopravních událostí (21219-15, TPEG2-TEC). Pro sestavení zpráv z kontejnerů, odvození z modelu UML, vysílání zpráv a řízení toku jsou použity další části normy TPEG (1-7,9). </w:t>
      </w:r>
    </w:p>
    <w:p w:rsidR="00000000" w:rsidDel="00000000" w:rsidP="00000000" w:rsidRDefault="00000000" w:rsidRPr="00000000" w14:paraId="00000016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Předmět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Popisovaný dokument definuje aplikaci TPEG TFP „Aplikace pro informace o stavu dopravního proudu a jeho predikci“. Ta umožňuje distribuovat informace o stavu dopravy spolu s dopravními excesy pro předem definovanou sadu míst. Tato předem definovaná sada může být vysílána s nižší frekvencí než část aktualizované stavy dopravy, nemusí se tedy vždy jednat o klasickou předdefinovanou sadu poloh sdílenou off-line mezi poskytovatelem a odběratelem. Informace o stavu dopravního proudu jsou poskytovány několika způsoby od stavů na úsecích, přes časové „řezy“ sledů stavů na úsecích až po spojitý diagram dráha čas obsahující polygonové vyjádření stavů.</w:t>
      </w:r>
    </w:p>
    <w:p w:rsidR="00000000" w:rsidDel="00000000" w:rsidP="00000000" w:rsidRDefault="00000000" w:rsidRPr="00000000" w14:paraId="00000018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Termíny a definice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tyjcwt" w:id="7"/>
      <w:bookmarkEnd w:id="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Tato kapitola definuje 3 termíny. Jedná se o definici kontejneru pro management zpráv (MMC),  kontejneru pro odkazování na polohu (LRC) a definici odkazování na polohu. Viz. Zkratky</w:t>
        <w:tab/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3dy6vkm" w:id="8"/>
      <w:bookmarkEnd w:id="8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odkazování na polohu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(Location Referencing)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prostředky umožňující systému přesně identifikovat polohu</w:t>
      </w:r>
    </w:p>
    <w:p w:rsidR="00000000" w:rsidDel="00000000" w:rsidP="00000000" w:rsidRDefault="00000000" w:rsidRPr="00000000" w14:paraId="0000001B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Zkratky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Tato kapitola stanovuje 20 zkratek, důležité z pohledu tohoto extraktu jsou: 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284" w:right="0" w:hanging="28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MMC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kontejner pro management zpráv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(Message Management Container)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284" w:right="0" w:hanging="28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ADC</w:t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kontejner pro popis aplikace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(Application Data Container)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284" w:right="0" w:hanging="28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LRC</w:t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kontejner pro odkazování na polohu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(Location Referencing Container)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284" w:right="0" w:hanging="28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TFP</w:t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Informace o stavu dopravního proudu a jeho predikce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(Traffic Flow and Prediction)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284" w:right="0" w:hanging="28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UML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Unifikovaný modelovací jazyk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(Unified Modelling Language)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284" w:right="0" w:hanging="28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Poznámka: Další termíny a zkratky z oboru ITS jsou obsaženy ve slovníku ITS terminology (</w:t>
      </w:r>
      <w:hyperlink r:id="rId12">
        <w:r w:rsidDel="00000000" w:rsidR="00000000" w:rsidRPr="00000000">
          <w:rPr>
            <w:rFonts w:ascii="Arial" w:cs="Arial" w:eastAsia="Arial" w:hAnsi="Arial"/>
            <w:b w:val="0"/>
            <w:i w:val="1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www.itsterminology.org</w:t>
        </w:r>
      </w:hyperlink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Podmínky a omezení aplikace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1t3h5sf" w:id="9"/>
      <w:bookmarkEnd w:id="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Tato kapitola (rozsah 1,5 strany) vymezuje: 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Identifikátor aplikace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který je stanovený pro všechny aplikace v TS 21219-1.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Verzi aplikace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Verze je klíčová z pohledu dekodéru, jednotlivé verze stejné aplikace se totiž mohou od sebe lišit strukturou, obsahem atp. 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Pořadí kontejnerů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ze kterých je zpráva složena. Zpráva se skládá z kontejneru pro management zpráv (MMC), kontejneru s dopravní aplikací (ADC) a kontejneru pro odkazování na polohu (LRC). 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Rozšiřitelnost a zpětnou kompatibilitu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jako požadavek na přeskočení neznámých částí zprávy dekodérem a specifikaci v budoucnu rozšiřitelných částí struktur TPEG zprávy (např. struktury „FlowVectorSection“).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Rámec komponent služby TPEG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dle ISO/TS 21219-5.</w:t>
      </w:r>
    </w:p>
    <w:p w:rsidR="00000000" w:rsidDel="00000000" w:rsidP="00000000" w:rsidRDefault="00000000" w:rsidRPr="00000000" w14:paraId="0000002A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Struktura TFP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Tato kapitola (rozsah 1 obrázek, viz Obrázek </w:t>
      </w:r>
      <w:r w:rsidDel="00000000" w:rsidR="00000000" w:rsidRPr="00000000">
        <w:rPr>
          <w:rFonts w:ascii="Arial" w:cs="Arial" w:eastAsia="Arial" w:hAnsi="Arial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obsahuje UML model aplikace TFP.</w:t>
      </w:r>
    </w:p>
    <w:p w:rsidR="00000000" w:rsidDel="00000000" w:rsidP="00000000" w:rsidRDefault="00000000" w:rsidRPr="00000000" w14:paraId="0000002C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4d34og8" w:id="10"/>
      <w:bookmarkEnd w:id="1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114300" distR="114300">
            <wp:extent cx="5760085" cy="5294630"/>
            <wp:effectExtent b="0" l="0" r="0" t="0"/>
            <wp:docPr id="103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294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Obrázek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 UML model tříd aplikace TFP (obrázek 2 normy)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7 Komponenty zprávy TFP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Tato kapitola (rozsah 12 stran, obrázky a tabulky) popisuje jednotlivé komponenty zprávy TFP. 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Stanovuje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několik různých struktur zprávy TFP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 to z důvodů dvou rozdílných obsahů, popisu polohy a popisu stavu. Popis polohy v kontejneru pro odkazování na polohu (LRC) je potřeba méně často než popis stavu kontejneru s dopravní aplikací (ADC), vše je řízeno kontejnerem pro management zpráv (MMC). Stanoveny jsou tyto formy zprávy TFP, struktura obsahuje: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pouze MMC, pro rušící zprávy,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jeden MMC, několik ADC a jeden LRC v případě tzv. monolitického managementu zpráv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v případě tzv. managementu zpráv po částech: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pouze MMC s rozcestníkem na části zpráv,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jeden MMC a několik ADC,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jeden MMC a jeden LRC.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Dále popisovaný dokument používá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 metody pro popis stavu dopravy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na sledované síti, ty mohou být použity současně či jednotlivě: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flow-polygon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flow-status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7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flow-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matrix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 zjednodušení a zmenšení velikosti přenášených struktur je prostorové uspořádání stavů u metod flow-polygon a flow-</w:t>
      </w:r>
      <w:r w:rsidDel="00000000" w:rsidR="00000000" w:rsidRPr="00000000">
        <w:rPr>
          <w:rFonts w:ascii="Arial" w:cs="Arial" w:eastAsia="Arial" w:hAnsi="Arial"/>
          <w:rtl w:val="0"/>
        </w:rPr>
        <w:t xml:space="preserve">matrix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odkazované pomocí staničení vůči počátku sledovaného úseku popsaného v LRC. LRC tak obsahuje jeden směr celého sledovaného úseku silniční sítě.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 kapitole je stanoven obsah komponent: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 MMC je stanoven způsob řízení zpráv, po částech, monoliticky.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 LRC jsou povoleny jsou pouze liniové lokace.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 ADC jsou popsány všechny metody popisu stavu dopravy.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 každou metodu je definována datová struktura, a pro její položky je stanoven typ, multiplicita a popis. Jednotlivé metody j</w:t>
      </w:r>
      <w:r w:rsidDel="00000000" w:rsidR="00000000" w:rsidRPr="00000000">
        <w:rPr>
          <w:rFonts w:ascii="Arial" w:cs="Arial" w:eastAsia="Arial" w:hAnsi="Arial"/>
          <w:rtl w:val="0"/>
        </w:rPr>
        <w:t xml:space="preserve">sou popsány níže.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Metoda Flow-Polygon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 článku 7.8 a 7.9 je popisována metoda flow-polygon, která modeluje stav dopravy v diagramu dráha čas pomocí několika prostorově-časových objektů „FlowPolygonObjects“, viz Obrázek </w:t>
      </w:r>
      <w:r w:rsidDel="00000000" w:rsidR="00000000" w:rsidRPr="00000000">
        <w:rPr>
          <w:rFonts w:ascii="Arial" w:cs="Arial" w:eastAsia="Arial" w:hAnsi="Arial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Počátek platnosti se nachází v počátku osy souřadnic a časové souřadnice polygonů mohou ležet v minulosti či budoucnosti. Tato metoda implicitně pracuje s predikcí dopravního stavu.</w:t>
      </w:r>
    </w:p>
    <w:p w:rsidR="00000000" w:rsidDel="00000000" w:rsidP="00000000" w:rsidRDefault="00000000" w:rsidRPr="00000000" w14:paraId="00000043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2s8eyo1" w:id="11"/>
      <w:bookmarkEnd w:id="1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114300" distR="114300">
            <wp:extent cx="4132580" cy="2736215"/>
            <wp:effectExtent b="0" l="0" r="0" t="0"/>
            <wp:docPr id="102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2580" cy="2736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Obrázek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 Ukázka metody flow-polygon (obrázek 4 normy)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Metoda Flow-Status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 článku 7.10 je stanovena metoda flow-status, která popisuje stav dopravy v definovaném časovém intervalu na jednom konkrétním místě (sledovaném úseku silniční sítě stanoveném v LRC).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Metoda Flow-Matrix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 článku 7.11 je stanovena metoda flow-</w:t>
      </w:r>
      <w:r w:rsidDel="00000000" w:rsidR="00000000" w:rsidRPr="00000000">
        <w:rPr>
          <w:rFonts w:ascii="Arial" w:cs="Arial" w:eastAsia="Arial" w:hAnsi="Arial"/>
          <w:rtl w:val="0"/>
        </w:rPr>
        <w:t xml:space="preserve">matrix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která popisuje stav dopravy pomocí několika stavů dopravy „FlowVector“ rozprostřených prostorově po sledovaném úseku silniční sítě stanoveném v LRC. „FlowMatrix“ se poté skládá z několika těchto prostorových úseků každý popisující stav v konkrétním čase, např. po 15ti minutách, viz Obrázek </w:t>
      </w:r>
      <w:r w:rsidDel="00000000" w:rsidR="00000000" w:rsidRPr="00000000">
        <w:rPr>
          <w:rFonts w:ascii="Arial" w:cs="Arial" w:eastAsia="Arial" w:hAnsi="Arial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9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17dp8vu" w:id="12"/>
      <w:bookmarkEnd w:id="1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114300" distR="114300">
            <wp:extent cx="4655185" cy="2903220"/>
            <wp:effectExtent b="0" l="0" r="0" t="0"/>
            <wp:docPr id="103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5185" cy="2903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Obrázek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 Ukázka metody flow matrix popisující jeden úsek silniční sítě ve čtyřech různých časech (obrázek 5 normy)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Prostorové umístění stavů dopravy je na síti vytvořeno pomocí offsetů vůči referenčnímu bodu, kterým je konec sledovaného úseku ve směru dopravního proudu. Tato metoda umožňuje popisovat jednotlivé jízdní pruhy i další komunikace, které se připojují, resp. odpojují od popisovaného úseku.</w:t>
      </w:r>
    </w:p>
    <w:p w:rsidR="00000000" w:rsidDel="00000000" w:rsidP="00000000" w:rsidRDefault="00000000" w:rsidRPr="00000000" w14:paraId="0000004C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Datové typy TFP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Tato kapitola (rozsah 6 stran) obsahuje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použitých datových struktur (typů).  Na obrázku níže (Obrázek </w:t>
      </w:r>
      <w:r w:rsidDel="00000000" w:rsidR="00000000" w:rsidRPr="00000000">
        <w:rPr>
          <w:rFonts w:ascii="Arial" w:cs="Arial" w:eastAsia="Arial" w:hAnsi="Arial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je, pro ilustraci obsahu a sloupců, uvedena část tabulky popisující datovou strukturu StatusParameters.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3rdcrjn" w:id="13"/>
      <w:bookmarkEnd w:id="1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114300" distR="114300">
            <wp:extent cx="5753735" cy="2731770"/>
            <wp:effectExtent b="0" l="0" r="0" t="0"/>
            <wp:docPr id="103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2731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Obrázek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 Ukázka části struktury StatusParametes (část tabulky 11 5 normy)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Struktury se skládají ze složitých či jednoduchých datových objektů, výskyt každé položky datové struktury (</w:t>
      </w:r>
      <w:r w:rsidDel="00000000" w:rsidR="00000000" w:rsidRPr="00000000">
        <w:rPr>
          <w:rFonts w:ascii="Arial" w:cs="Arial" w:eastAsia="Arial" w:hAnsi="Arial"/>
          <w:rtl w:val="0"/>
        </w:rPr>
        <w:t xml:space="preserve">tj.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její multiplicita) je doplněn datovým typem a popisem. Tabulka níže uvádí datové struktury stanovené v této kapitole.</w:t>
      </w:r>
    </w:p>
    <w:p w:rsidR="00000000" w:rsidDel="00000000" w:rsidP="00000000" w:rsidRDefault="00000000" w:rsidRPr="00000000" w14:paraId="00000051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26in1rg" w:id="14"/>
      <w:bookmarkEnd w:id="1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Tabulka 1 - Seznam stanovených datových typů (zdroj: autor extraktu)</w:t>
      </w:r>
    </w:p>
    <w:tbl>
      <w:tblPr>
        <w:tblStyle w:val="Table2"/>
        <w:tblW w:w="9045.0" w:type="dxa"/>
        <w:jc w:val="left"/>
        <w:tblInd w:w="115.99999999999999" w:type="dxa"/>
        <w:tblLayout w:type="fixed"/>
        <w:tblLook w:val="0000"/>
      </w:tblPr>
      <w:tblGrid>
        <w:gridCol w:w="2534"/>
        <w:gridCol w:w="6511"/>
        <w:tblGridChange w:id="0">
          <w:tblGrid>
            <w:gridCol w:w="2534"/>
            <w:gridCol w:w="6511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Struktura TFP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PolygonPoint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Prostoro-časový bod v objektu „flowPolygon“. Skládající se z časového a prostorového odsazení od počátku osy.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FlowVectorSection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stav dopravy na určitém úseku silniční sítě obsahující mj. i níže uvedené datové typy (struktury)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StatusParameters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stav dopravy, min. stupně dopravy či průměrná rychlost či zdržení. 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Restrictions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Restrikce pro konkrétní typy vozidel na konkrétní jízdní pruhy segmentu silniční sítě.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StatisticalParameters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Statistické parametry a kvalita odhadu informace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LinkedCause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Odkaz na příčinu specifikovanou v jiné zprávě TPEG</w:t>
            </w:r>
          </w:p>
        </w:tc>
      </w:tr>
    </w:tbl>
    <w:p w:rsidR="00000000" w:rsidDel="00000000" w:rsidP="00000000" w:rsidRDefault="00000000" w:rsidRPr="00000000" w14:paraId="00000060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lnxbz9" w:id="15"/>
      <w:bookmarkEnd w:id="15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 Tabulky TFP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Tato kapitola (rozsah 11 stran) obsahuje definice výčtových typů aplikace TFP (v 8 tabulkách).  Následující tabulka jmenovitě uvádí jednotlivé tabulky a doplňuje je popisem a příkladem obsahu.</w:t>
      </w:r>
    </w:p>
    <w:p w:rsidR="00000000" w:rsidDel="00000000" w:rsidP="00000000" w:rsidRDefault="00000000" w:rsidRPr="00000000" w14:paraId="00000062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76" w:lineRule="auto"/>
        <w:ind w:left="0" w:right="0" w:firstLine="0"/>
        <w:jc w:val="both"/>
        <w:rPr>
          <w:rFonts w:ascii="Arial" w:cs="Arial" w:eastAsia="Arial" w:hAnsi="Arial"/>
          <w:sz w:val="18"/>
          <w:szCs w:val="18"/>
        </w:rPr>
      </w:pPr>
      <w:bookmarkStart w:colFirst="0" w:colLast="0" w:name="_heading=h.iykewot5vw7m" w:id="16"/>
      <w:bookmarkEnd w:id="16"/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Tabulka 2 - Seznam tabulek TFP (výčtů hodnot) (zdroj: autor extraktu)</w:t>
      </w:r>
    </w:p>
    <w:tbl>
      <w:tblPr>
        <w:tblStyle w:val="Table3"/>
        <w:tblW w:w="9060.0" w:type="dxa"/>
        <w:jc w:val="left"/>
        <w:tblInd w:w="131.0" w:type="dxa"/>
        <w:tblLayout w:type="fixed"/>
        <w:tblLook w:val="0000"/>
      </w:tblPr>
      <w:tblGrid>
        <w:gridCol w:w="2519"/>
        <w:gridCol w:w="3690"/>
        <w:gridCol w:w="2851"/>
        <w:tblGridChange w:id="0">
          <w:tblGrid>
            <w:gridCol w:w="2519"/>
            <w:gridCol w:w="3690"/>
            <w:gridCol w:w="2851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Tabulka TFP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Obsah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tfp001: VehicleClass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Výčet různých typů vozidel.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př.:010:trailer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tfp002: VehicleCredentials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Výčet tříd vozidel dle privilegií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Př.: 002: disabled pass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nger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tfp003: LevelOfService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Výčet (48) popisů plynulosti dopravy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Př.: 048: wide moving jam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tfp004: SpatialResolution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Výčet typů přesnosti použité lokalizace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Př.: 002:50-m-resolution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tfp005:laneRestriction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Výčet kombinací jízdních pruhů určených pro dané omezení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Př.: 008: driving lane 8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tfp006: CauseCode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Výčet různých příčin (68) omezení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Př.: 002:accident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tfp007: SectionType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Výčet typů úseků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Př.: 002:exit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tfp008: FlowDataQuality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Výčet úrovní kvality informace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Př: 005:high</w:t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Následující tabulka obsahuje ukázku tabulky „tfp006:CauseCode” z popisovaného dokumentu.</w:t>
      </w:r>
    </w:p>
    <w:p w:rsidR="00000000" w:rsidDel="00000000" w:rsidP="00000000" w:rsidRDefault="00000000" w:rsidRPr="00000000" w14:paraId="00000080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wpo5mx1gy36r" w:id="17"/>
      <w:bookmarkEnd w:id="1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Tabulka 3 -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Příklad části definice výčtového typu tfp006:CauseCode (nečíslovaná část)</w:t>
      </w:r>
    </w:p>
    <w:tbl>
      <w:tblPr>
        <w:tblStyle w:val="Table4"/>
        <w:tblW w:w="9045.0" w:type="dxa"/>
        <w:jc w:val="left"/>
        <w:tblInd w:w="131.0" w:type="dxa"/>
        <w:tblLayout w:type="fixed"/>
        <w:tblLook w:val="0000"/>
      </w:tblPr>
      <w:tblGrid>
        <w:gridCol w:w="2519"/>
        <w:gridCol w:w="3690"/>
        <w:gridCol w:w="2836"/>
        <w:tblGridChange w:id="0">
          <w:tblGrid>
            <w:gridCol w:w="2519"/>
            <w:gridCol w:w="3690"/>
            <w:gridCol w:w="2836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Kód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Fráze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komentář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stav neznámý (unknown)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dopravní kongesce (traffic congestion)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nehoda (accident)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 případě nehody</w:t>
            </w:r>
          </w:p>
        </w:tc>
      </w:tr>
    </w:tbl>
    <w:p w:rsidR="00000000" w:rsidDel="00000000" w:rsidP="00000000" w:rsidRDefault="00000000" w:rsidRPr="00000000" w14:paraId="0000008D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5nkun2" w:id="18"/>
      <w:bookmarkEnd w:id="18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Příloha A (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normativní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TPEG-bin reprezentace TFP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1ksv4uv" w:id="19"/>
      <w:bookmarkEnd w:id="1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Tato příloha (rozsah 10 stran) stanovuje binární reprezentaci aplikace pro informace o stavu dopravního proudu a jeho predikci (TFP) TPEG pro použití v DAB. Pro popis binární reprezentace je použit pseudokód, kde pro každé klíčové slovo zapsané struktury je znám jeho binární tvar.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44sinio" w:id="20"/>
      <w:bookmarkEnd w:id="2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Příloha obsahuje samostatně uvedené binární reprezentace rámce TPEG, zprávy TFP a jejích součástí, prvků určených pro budoucí rozšíření a datových typů. Dále obsahuje identifikátory komponent zprávy a vysvětlení použití obecných atributů TPEG. Příklad pseudokódu binární specifikace elementu FlowStatus je uveden v následující tabulce.</w:t>
      </w:r>
    </w:p>
    <w:p w:rsidR="00000000" w:rsidDel="00000000" w:rsidP="00000000" w:rsidRDefault="00000000" w:rsidRPr="00000000" w14:paraId="00000090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76" w:lineRule="auto"/>
        <w:ind w:left="0" w:right="0" w:firstLine="0"/>
        <w:jc w:val="both"/>
        <w:rPr>
          <w:rFonts w:ascii="Arial" w:cs="Arial" w:eastAsia="Arial" w:hAnsi="Arial"/>
          <w:sz w:val="18"/>
          <w:szCs w:val="18"/>
        </w:rPr>
      </w:pPr>
      <w:bookmarkStart w:colFirst="0" w:colLast="0" w:name="_heading=h.y0ayy7lgb8no" w:id="21"/>
      <w:bookmarkEnd w:id="21"/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Tabulka 4 - Příklad pseudokódu binární specifikace elementu FlowStatus (nečíslovaná část)</w:t>
      </w:r>
    </w:p>
    <w:tbl>
      <w:tblPr>
        <w:tblStyle w:val="Table5"/>
        <w:tblW w:w="928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5850"/>
        <w:tblGridChange w:id="0">
          <w:tblGrid>
            <w:gridCol w:w="3435"/>
            <w:gridCol w:w="5850"/>
          </w:tblGrid>
        </w:tblGridChange>
      </w:tblGrid>
      <w:tr>
        <w:tc>
          <w:tcP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&lt;FlowStatus(5)&lt;TFPMethod(5)&gt;&gt;:=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IntUnTi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&gt;(5),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Id této komponenty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IntUnLoMB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&gt;(lengthComp),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Počet bajtů v komponentě, kromě indikátorů id a lengthComp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IntUnLoMB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&gt;(lengthAttr),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Počet bajtů v atributech</w:t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DateTime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&gt;(startTime),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Začátek časového období, po které je poskytovaný obsah platný.</w:t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BitArray(selector),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if (bit 0 of selector is set)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IntUnLoMB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&gt;(duration);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Délka [min] časového období, po které je poskytovaný obsah platný. Období začíná v „startTime“ a končí v „startTime“ + „trvání“. Tento atribut musí být používán komponentou „PolygonFlowObject“ a může být použit i jinde.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StatusParameters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&gt;(status),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Atributy popisující stav provozu na daném místě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if (bit 1 of selector is set)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Restrictions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&gt;(restriction),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Informace o omezeních souvisejících se stavem dopravního proudu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if (bit 2 of selector is set)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StatisticalParameters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&gt;(statistics),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Statistické informace týkající se stavu dopravního proudu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if (bit 3 of selector is set)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&lt;tfp006:CauseCode&gt;(cause),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Tento atribut může přidat jednoduchou příčinu pro hlášený stav dopravního proudu; tento parametr se vynechá, pokud je k dispozici podrobná externí zpráva (viz atribut „propojená příčina“)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if (bit 4 of selector is set)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LinkedCause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&gt;(detailedCause);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Podrobná příčina může být nahlášena propojenou zprávou (např. Zprávou TEC)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Příloha B (normativní) TPEG-ML reprezentace TFP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Tato příloha (rozsah 10 stran) obsahuje nejprve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samostatně uvedené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XML schéma rámce TPEG, dále zprávy TFP a jejích součástí, prvků určených pro budoucí rozšíření, datových typů a tabulek TFP (definovaných jako xs:complexType), viz příklad na obrázku níže. Následně uvádí vše výše zmíněné v jednom funkčním XML schématu. </w:t>
      </w:r>
    </w:p>
    <w:tbl>
      <w:tblPr>
        <w:tblStyle w:val="Table6"/>
        <w:tblW w:w="921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12"/>
        <w:tblGridChange w:id="0">
          <w:tblGrid>
            <w:gridCol w:w="9212"/>
          </w:tblGrid>
        </w:tblGridChange>
      </w:tblGrid>
      <w:tr>
        <w:tc>
          <w:tcP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2cc" w:val="clear"/>
              <w:tabs>
                <w:tab w:val="left" w:pos="1360"/>
              </w:tabs>
              <w:spacing w:after="40" w:before="0" w:line="24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&lt;xs:complexType name="FlowMatrix"&gt;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2cc" w:val="clear"/>
              <w:tabs>
                <w:tab w:val="left" w:pos="1360"/>
              </w:tabs>
              <w:spacing w:after="40" w:before="0" w:line="24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&lt;xs:sequence&gt;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2cc" w:val="clear"/>
              <w:tabs>
                <w:tab w:val="left" w:pos="1360"/>
              </w:tabs>
              <w:spacing w:after="40" w:before="0" w:line="24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&lt;xs:element name="startTime" type="tdt:DateTime"/&gt;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2cc" w:val="clear"/>
              <w:tabs>
                <w:tab w:val="left" w:pos="1360"/>
              </w:tabs>
              <w:spacing w:after="40" w:before="0" w:line="24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&lt;xs:element name="duration" type="tdt:IntUnLoMB" minOccurs="0"/&gt;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2cc" w:val="clear"/>
              <w:tabs>
                <w:tab w:val="left" w:pos="1360"/>
              </w:tabs>
              <w:spacing w:after="40" w:before="0" w:line="24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&lt;xs:element name="spatialResolution" type="tfp004_SpatialResolution"/&gt;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2cc" w:val="clear"/>
              <w:tabs>
                <w:tab w:val="left" w:pos="1360"/>
              </w:tabs>
              <w:spacing w:after="40" w:before="0" w:line="24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&lt;xs:element name="vectors" type="FlowVector" maxOccurs="unbounded"/&gt;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2cc" w:val="clear"/>
              <w:tabs>
                <w:tab w:val="left" w:pos="1360"/>
              </w:tabs>
              <w:spacing w:after="40" w:before="0" w:line="24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&lt;/xs:sequence&gt;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2cc" w:val="clear"/>
              <w:tabs>
                <w:tab w:val="left" w:pos="1360"/>
              </w:tabs>
              <w:spacing w:after="4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&lt;/xs:complexType&gt;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Obrázek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 Výstřižek schématu XSD stanovujícího strukturu elementu FlowMatrix</w:t>
      </w:r>
    </w:p>
    <w:p w:rsidR="00000000" w:rsidDel="00000000" w:rsidP="00000000" w:rsidRDefault="00000000" w:rsidRPr="00000000" w14:paraId="000000BF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Literatura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Tato kapitola uvádí dva, v textu použité, odkazy na normy, první na TPEG2-INV a druhý na definici UML.</w:t>
      </w:r>
    </w:p>
    <w:sectPr>
      <w:footerReference r:id="rId17" w:type="default"/>
      <w:pgSz w:h="16838" w:w="11906" w:orient="portrait"/>
      <w:pgMar w:bottom="1497" w:top="1417" w:left="1417" w:right="1417" w:header="708" w:footer="144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Petr Bureš" w:id="0" w:date="2021-03-26T15:58:02Z"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HOTOVO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15:commentEx w15:paraId="000000C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899795</wp:posOffset>
          </wp:positionH>
          <wp:positionV relativeFrom="paragraph">
            <wp:posOffset>0</wp:posOffset>
          </wp:positionV>
          <wp:extent cx="75565" cy="145415"/>
          <wp:effectExtent b="0" l="0" r="0" t="0"/>
          <wp:wrapSquare wrapText="bothSides" distB="0" distT="0" distL="114300" distR="114300"/>
          <wp:docPr id="1033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65" cy="14541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7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90" w:hanging="360"/>
      </w:pPr>
      <w:rPr>
        <w:rFonts w:ascii="Courier New" w:cs="Courier New" w:eastAsia="Courier New" w:hAnsi="Courier New"/>
        <w:u w:val="none"/>
        <w:vertAlign w:val="baseline"/>
      </w:rPr>
    </w:lvl>
    <w:lvl w:ilvl="2">
      <w:start w:val="1"/>
      <w:numFmt w:val="bullet"/>
      <w:lvlText w:val="▪"/>
      <w:lvlJc w:val="left"/>
      <w:pPr>
        <w:ind w:left="221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93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50" w:hanging="360"/>
      </w:pPr>
      <w:rPr>
        <w:rFonts w:ascii="Courier New" w:cs="Courier New" w:eastAsia="Courier New" w:hAnsi="Courier New"/>
        <w:u w:val="none"/>
        <w:vertAlign w:val="baseline"/>
      </w:rPr>
    </w:lvl>
    <w:lvl w:ilvl="5">
      <w:start w:val="1"/>
      <w:numFmt w:val="bullet"/>
      <w:lvlText w:val="▪"/>
      <w:lvlJc w:val="left"/>
      <w:pPr>
        <w:ind w:left="437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9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810" w:hanging="360"/>
      </w:pPr>
      <w:rPr>
        <w:rFonts w:ascii="Courier New" w:cs="Courier New" w:eastAsia="Courier New" w:hAnsi="Courier New"/>
        <w:u w:val="none"/>
        <w:vertAlign w:val="baseline"/>
      </w:rPr>
    </w:lvl>
    <w:lvl w:ilvl="8">
      <w:start w:val="1"/>
      <w:numFmt w:val="bullet"/>
      <w:lvlText w:val="▪"/>
      <w:lvlJc w:val="left"/>
      <w:pPr>
        <w:ind w:left="653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cs-CZ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ální">
    <w:name w:val="Normální"/>
    <w:next w:val="Normální"/>
    <w:autoRedefine w:val="0"/>
    <w:hidden w:val="0"/>
    <w:qFormat w:val="0"/>
    <w:pPr>
      <w:suppressAutoHyphens w:val="0"/>
      <w:spacing w:after="120" w:line="276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eastAsia="Arial" w:hAnsi="Arial"/>
      <w:color w:val="000000"/>
      <w:w w:val="100"/>
      <w:position w:val="-1"/>
      <w:effect w:val="none"/>
      <w:vertAlign w:val="baseline"/>
      <w:cs w:val="0"/>
      <w:em w:val="none"/>
      <w:lang w:bidi="hi-IN" w:eastAsia="hi-IN" w:val="cs-CZ"/>
    </w:rPr>
  </w:style>
  <w:style w:type="paragraph" w:styleId="Nadpis1">
    <w:name w:val="Nadpis 1"/>
    <w:basedOn w:val="normal"/>
    <w:next w:val="Základnítext"/>
    <w:autoRedefine w:val="0"/>
    <w:hidden w:val="0"/>
    <w:qFormat w:val="0"/>
    <w:pPr>
      <w:keepNext w:val="1"/>
      <w:keepLines w:val="1"/>
      <w:numPr>
        <w:ilvl w:val="0"/>
        <w:numId w:val="0"/>
      </w:numPr>
      <w:suppressAutoHyphens w:val="0"/>
      <w:spacing w:after="60" w:before="200" w:line="276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eastAsia="Arial" w:hAnsi="Arial"/>
      <w:b w:val="1"/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hi-IN" w:eastAsia="hi-IN" w:val="cs-CZ"/>
    </w:rPr>
  </w:style>
  <w:style w:type="paragraph" w:styleId="Nadpis2">
    <w:name w:val="Nadpis 2"/>
    <w:basedOn w:val="normal"/>
    <w:next w:val="Základnítext"/>
    <w:autoRedefine w:val="0"/>
    <w:hidden w:val="0"/>
    <w:qFormat w:val="0"/>
    <w:pPr>
      <w:keepNext w:val="1"/>
      <w:keepLines w:val="1"/>
      <w:numPr>
        <w:ilvl w:val="0"/>
        <w:numId w:val="0"/>
      </w:numPr>
      <w:suppressAutoHyphens w:val="0"/>
      <w:spacing w:after="80" w:before="360" w:line="276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eastAsia="Arial" w:hAnsi="Arial"/>
      <w:b w:val="1"/>
      <w:color w:val="000000"/>
      <w:w w:val="100"/>
      <w:position w:val="-1"/>
      <w:sz w:val="36"/>
      <w:szCs w:val="36"/>
      <w:effect w:val="none"/>
      <w:vertAlign w:val="baseline"/>
      <w:cs w:val="0"/>
      <w:em w:val="none"/>
      <w:lang w:bidi="hi-IN" w:eastAsia="hi-IN" w:val="cs-CZ"/>
    </w:rPr>
  </w:style>
  <w:style w:type="paragraph" w:styleId="Nadpis3">
    <w:name w:val="Nadpis 3"/>
    <w:basedOn w:val="normal"/>
    <w:next w:val="Základnítext"/>
    <w:autoRedefine w:val="0"/>
    <w:hidden w:val="0"/>
    <w:qFormat w:val="0"/>
    <w:pPr>
      <w:keepNext w:val="1"/>
      <w:keepLines w:val="1"/>
      <w:numPr>
        <w:ilvl w:val="0"/>
        <w:numId w:val="0"/>
      </w:numPr>
      <w:suppressAutoHyphens w:val="0"/>
      <w:spacing w:after="80" w:before="280" w:line="276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eastAsia="Arial" w:hAnsi="Arial"/>
      <w:b w:val="1"/>
      <w:color w:val="000000"/>
      <w:w w:val="100"/>
      <w:position w:val="-1"/>
      <w:sz w:val="28"/>
      <w:szCs w:val="28"/>
      <w:effect w:val="none"/>
      <w:vertAlign w:val="baseline"/>
      <w:cs w:val="0"/>
      <w:em w:val="none"/>
      <w:lang w:bidi="hi-IN" w:eastAsia="hi-IN" w:val="cs-CZ"/>
    </w:rPr>
  </w:style>
  <w:style w:type="paragraph" w:styleId="Nadpis4">
    <w:name w:val="Nadpis 4"/>
    <w:basedOn w:val="normal"/>
    <w:next w:val="Základnítext"/>
    <w:autoRedefine w:val="0"/>
    <w:hidden w:val="0"/>
    <w:qFormat w:val="0"/>
    <w:pPr>
      <w:keepNext w:val="1"/>
      <w:keepLines w:val="1"/>
      <w:numPr>
        <w:ilvl w:val="0"/>
        <w:numId w:val="0"/>
      </w:numPr>
      <w:suppressAutoHyphens w:val="0"/>
      <w:spacing w:after="40" w:before="240" w:line="276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eastAsia="Arial" w:hAnsi="Arial"/>
      <w:b w:val="1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hi-IN" w:eastAsia="hi-IN" w:val="cs-CZ"/>
    </w:rPr>
  </w:style>
  <w:style w:type="paragraph" w:styleId="Nadpis5">
    <w:name w:val="Nadpis 5"/>
    <w:basedOn w:val="normal"/>
    <w:next w:val="Základnítext"/>
    <w:autoRedefine w:val="0"/>
    <w:hidden w:val="0"/>
    <w:qFormat w:val="0"/>
    <w:pPr>
      <w:keepNext w:val="1"/>
      <w:keepLines w:val="1"/>
      <w:numPr>
        <w:ilvl w:val="0"/>
        <w:numId w:val="0"/>
      </w:numPr>
      <w:suppressAutoHyphens w:val="0"/>
      <w:spacing w:after="40" w:before="220" w:line="276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eastAsia="Arial" w:hAnsi="Arial"/>
      <w:b w:val="1"/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hi-IN" w:eastAsia="hi-IN" w:val="cs-CZ"/>
    </w:rPr>
  </w:style>
  <w:style w:type="paragraph" w:styleId="Nadpis6">
    <w:name w:val="Nadpis 6"/>
    <w:basedOn w:val="normal"/>
    <w:next w:val="Základnítext"/>
    <w:autoRedefine w:val="0"/>
    <w:hidden w:val="0"/>
    <w:qFormat w:val="0"/>
    <w:pPr>
      <w:keepNext w:val="1"/>
      <w:keepLines w:val="1"/>
      <w:numPr>
        <w:ilvl w:val="0"/>
        <w:numId w:val="0"/>
      </w:numPr>
      <w:suppressAutoHyphens w:val="0"/>
      <w:spacing w:after="40" w:before="200" w:line="276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eastAsia="Arial" w:hAnsi="Arial"/>
      <w:b w:val="1"/>
      <w:color w:val="000000"/>
      <w:w w:val="100"/>
      <w:position w:val="-1"/>
      <w:sz w:val="20"/>
      <w:szCs w:val="20"/>
      <w:effect w:val="none"/>
      <w:vertAlign w:val="baseline"/>
      <w:cs w:val="0"/>
      <w:em w:val="none"/>
      <w:lang w:bidi="hi-IN" w:eastAsia="hi-IN" w:val="cs-CZ"/>
    </w:rPr>
  </w:style>
  <w:style w:type="character" w:styleId="Standardnípísmoodstavce">
    <w:name w:val="Standardní písmo odstavce"/>
    <w:next w:val="Standardnípísmoodstavce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Normálnítabulka">
    <w:name w:val="Normální tabulka"/>
    <w:next w:val="Normálnítabulk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Normálnítabulka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seznamu">
    <w:name w:val="Bez seznamu"/>
    <w:next w:val="Bezseznamu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ListLabel1">
    <w:name w:val="ListLabel 1"/>
    <w:next w:val="ListLabel1"/>
    <w:autoRedefine w:val="0"/>
    <w:hidden w:val="0"/>
    <w:qFormat w:val="0"/>
    <w:rPr>
      <w:w w:val="100"/>
      <w:position w:val="-1"/>
      <w:u w:val="none"/>
      <w:effect w:val="none"/>
      <w:vertAlign w:val="baseline"/>
      <w:cs w:val="0"/>
      <w:em w:val="none"/>
      <w:lang/>
    </w:rPr>
  </w:style>
  <w:style w:type="character" w:styleId="Odrážky">
    <w:name w:val="Odrážky"/>
    <w:next w:val="Odrážky"/>
    <w:autoRedefine w:val="0"/>
    <w:hidden w:val="0"/>
    <w:qFormat w:val="0"/>
    <w:rPr>
      <w:rFonts w:ascii="OpenSymbol" w:cs="OpenSymbol" w:eastAsia="OpenSymbol" w:hAnsi="OpenSymbol"/>
      <w:w w:val="100"/>
      <w:position w:val="-1"/>
      <w:effect w:val="none"/>
      <w:vertAlign w:val="baseline"/>
      <w:cs w:val="0"/>
      <w:em w:val="none"/>
      <w:lang/>
    </w:rPr>
  </w:style>
  <w:style w:type="paragraph" w:styleId="Nadpis">
    <w:name w:val="Nadpis"/>
    <w:basedOn w:val="Normální"/>
    <w:next w:val="Základnítext"/>
    <w:autoRedefine w:val="0"/>
    <w:hidden w:val="0"/>
    <w:qFormat w:val="0"/>
    <w:pPr>
      <w:keepNext w:val="1"/>
      <w:suppressAutoHyphens w:val="0"/>
      <w:spacing w:after="120" w:before="240" w:line="276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cs="Lucida Sans" w:eastAsia="Microsoft YaHei" w:hAnsi="Arial"/>
      <w:color w:val="000000"/>
      <w:w w:val="100"/>
      <w:position w:val="-1"/>
      <w:sz w:val="28"/>
      <w:szCs w:val="28"/>
      <w:effect w:val="none"/>
      <w:vertAlign w:val="baseline"/>
      <w:cs w:val="0"/>
      <w:em w:val="none"/>
      <w:lang w:bidi="hi-IN" w:eastAsia="hi-IN" w:val="cs-CZ"/>
    </w:rPr>
  </w:style>
  <w:style w:type="paragraph" w:styleId="Základnítext">
    <w:name w:val="Základní text"/>
    <w:basedOn w:val="Normální"/>
    <w:next w:val="Základnítext"/>
    <w:autoRedefine w:val="0"/>
    <w:hidden w:val="0"/>
    <w:qFormat w:val="0"/>
    <w:pPr>
      <w:suppressAutoHyphens w:val="0"/>
      <w:spacing w:after="120" w:before="0" w:line="276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eastAsia="Arial" w:hAnsi="Arial"/>
      <w:color w:val="000000"/>
      <w:w w:val="100"/>
      <w:position w:val="-1"/>
      <w:effect w:val="none"/>
      <w:vertAlign w:val="baseline"/>
      <w:cs w:val="0"/>
      <w:em w:val="none"/>
      <w:lang w:bidi="hi-IN" w:eastAsia="hi-IN" w:val="cs-CZ"/>
    </w:rPr>
  </w:style>
  <w:style w:type="paragraph" w:styleId="Seznam">
    <w:name w:val="Seznam"/>
    <w:basedOn w:val="Základnítext"/>
    <w:next w:val="Seznam"/>
    <w:autoRedefine w:val="0"/>
    <w:hidden w:val="0"/>
    <w:qFormat w:val="0"/>
    <w:pPr>
      <w:suppressAutoHyphens w:val="0"/>
      <w:spacing w:after="120" w:before="0" w:line="276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cs="Lucida Sans" w:eastAsia="Arial" w:hAnsi="Arial"/>
      <w:color w:val="000000"/>
      <w:w w:val="100"/>
      <w:position w:val="-1"/>
      <w:effect w:val="none"/>
      <w:vertAlign w:val="baseline"/>
      <w:cs w:val="0"/>
      <w:em w:val="none"/>
      <w:lang w:bidi="hi-IN" w:eastAsia="hi-IN" w:val="cs-CZ"/>
    </w:rPr>
  </w:style>
  <w:style w:type="paragraph" w:styleId="Popisek">
    <w:name w:val="Popisek"/>
    <w:basedOn w:val="Normální"/>
    <w:next w:val="Popisek"/>
    <w:autoRedefine w:val="0"/>
    <w:hidden w:val="0"/>
    <w:qFormat w:val="0"/>
    <w:pPr>
      <w:suppressLineNumbers w:val="1"/>
      <w:suppressAutoHyphens w:val="0"/>
      <w:spacing w:after="120" w:before="120" w:line="276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cs="Lucida Sans" w:eastAsia="Arial" w:hAnsi="Arial"/>
      <w:i w:val="1"/>
      <w:iCs w:val="1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hi-IN" w:eastAsia="hi-IN" w:val="cs-CZ"/>
    </w:rPr>
  </w:style>
  <w:style w:type="paragraph" w:styleId="Rejstřík">
    <w:name w:val="Rejstřík"/>
    <w:basedOn w:val="Normální"/>
    <w:next w:val="Rejstřík"/>
    <w:autoRedefine w:val="0"/>
    <w:hidden w:val="0"/>
    <w:qFormat w:val="0"/>
    <w:pPr>
      <w:suppressLineNumbers w:val="1"/>
      <w:suppressAutoHyphens w:val="0"/>
      <w:spacing w:after="120" w:line="276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cs="Lucida Sans" w:eastAsia="Arial" w:hAnsi="Arial"/>
      <w:color w:val="000000"/>
      <w:w w:val="100"/>
      <w:position w:val="-1"/>
      <w:effect w:val="none"/>
      <w:vertAlign w:val="baseline"/>
      <w:cs w:val="0"/>
      <w:em w:val="none"/>
      <w:lang w:bidi="hi-IN" w:eastAsia="hi-IN" w:val="cs-CZ"/>
    </w:rPr>
  </w:style>
  <w:style w:type="paragraph" w:styleId="normal">
    <w:name w:val="normal"/>
    <w:next w:val="normal"/>
    <w:autoRedefine w:val="0"/>
    <w:hidden w:val="0"/>
    <w:qFormat w:val="0"/>
    <w:pPr>
      <w:suppressAutoHyphens w:val="0"/>
      <w:spacing w:after="120" w:line="276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eastAsia="Arial" w:hAnsi="Arial"/>
      <w:w w:val="100"/>
      <w:position w:val="-1"/>
      <w:effect w:val="none"/>
      <w:vertAlign w:val="baseline"/>
      <w:cs w:val="0"/>
      <w:em w:val="none"/>
      <w:lang w:bidi="hi-IN" w:eastAsia="hi-IN" w:val="cs-CZ"/>
    </w:rPr>
  </w:style>
  <w:style w:type="paragraph" w:styleId="Název">
    <w:name w:val="Název"/>
    <w:basedOn w:val="normal"/>
    <w:next w:val="Podnadpis"/>
    <w:autoRedefine w:val="0"/>
    <w:hidden w:val="0"/>
    <w:qFormat w:val="0"/>
    <w:pPr>
      <w:keepNext w:val="1"/>
      <w:keepLines w:val="1"/>
      <w:widowControl w:val="0"/>
      <w:numPr>
        <w:ilvl w:val="0"/>
        <w:numId w:val="0"/>
      </w:numPr>
      <w:tabs>
        <w:tab w:val="left" w:leader="none" w:pos="7080"/>
        <w:tab w:val="right" w:leader="none" w:pos="9923"/>
      </w:tabs>
      <w:suppressAutoHyphens w:val="0"/>
      <w:spacing w:after="60" w:before="0" w:line="100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cs="Arial" w:eastAsia="Arial" w:hAnsi="Arial"/>
      <w:b w:val="1"/>
      <w:bCs w:val="1"/>
      <w:color w:val="000000"/>
      <w:w w:val="100"/>
      <w:position w:val="-1"/>
      <w:sz w:val="40"/>
      <w:szCs w:val="40"/>
      <w:effect w:val="none"/>
      <w:vertAlign w:val="baseline"/>
      <w:cs w:val="0"/>
      <w:em w:val="none"/>
      <w:lang w:bidi="hi-IN" w:eastAsia="hi-IN" w:val="cs-CZ"/>
    </w:rPr>
  </w:style>
  <w:style w:type="paragraph" w:styleId="Podnadpis">
    <w:name w:val="Podnadpis"/>
    <w:basedOn w:val="normal"/>
    <w:next w:val="Základnítext"/>
    <w:autoRedefine w:val="0"/>
    <w:hidden w:val="0"/>
    <w:qFormat w:val="0"/>
    <w:pPr>
      <w:keepNext w:val="1"/>
      <w:keepLines w:val="1"/>
      <w:numPr>
        <w:ilvl w:val="0"/>
        <w:numId w:val="0"/>
      </w:numPr>
      <w:suppressAutoHyphens w:val="0"/>
      <w:spacing w:after="0" w:before="180" w:line="100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Arial" w:cs="Arial" w:eastAsia="Arial" w:hAnsi="Arial"/>
      <w:b w:val="1"/>
      <w:i w:val="1"/>
      <w:iCs w:val="1"/>
      <w:color w:val="000000"/>
      <w:w w:val="100"/>
      <w:position w:val="-1"/>
      <w:sz w:val="32"/>
      <w:szCs w:val="32"/>
      <w:effect w:val="none"/>
      <w:vertAlign w:val="baseline"/>
      <w:cs w:val="0"/>
      <w:em w:val="none"/>
      <w:lang w:bidi="hi-IN" w:eastAsia="hi-IN" w:val="cs-CZ"/>
    </w:rPr>
  </w:style>
  <w:style w:type="paragraph" w:styleId="Zápatí">
    <w:name w:val="Zápatí"/>
    <w:basedOn w:val="Normální"/>
    <w:next w:val="Zápatí"/>
    <w:autoRedefine w:val="0"/>
    <w:hidden w:val="0"/>
    <w:qFormat w:val="0"/>
    <w:pPr>
      <w:suppressLineNumbers w:val="1"/>
      <w:tabs>
        <w:tab w:val="center" w:leader="none" w:pos="4819"/>
        <w:tab w:val="right" w:leader="none" w:pos="9638"/>
      </w:tabs>
      <w:suppressAutoHyphens w:val="0"/>
      <w:spacing w:after="120" w:line="276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eastAsia="Arial" w:hAnsi="Arial"/>
      <w:color w:val="000000"/>
      <w:w w:val="100"/>
      <w:position w:val="-1"/>
      <w:effect w:val="none"/>
      <w:vertAlign w:val="baseline"/>
      <w:cs w:val="0"/>
      <w:em w:val="none"/>
      <w:lang w:bidi="hi-IN" w:eastAsia="hi-IN" w:val="cs-CZ"/>
    </w:rPr>
  </w:style>
  <w:style w:type="paragraph" w:styleId="ListParagraph">
    <w:name w:val="List Paragraph"/>
    <w:basedOn w:val="Normální"/>
    <w:next w:val="ListParagraph"/>
    <w:autoRedefine w:val="0"/>
    <w:hidden w:val="0"/>
    <w:qFormat w:val="0"/>
    <w:pPr>
      <w:numPr>
        <w:ilvl w:val="0"/>
        <w:numId w:val="0"/>
      </w:numPr>
      <w:suppressAutoHyphens w:val="0"/>
      <w:spacing w:after="120" w:line="276" w:lineRule="auto"/>
      <w:ind w:left="720" w:right="0" w:leftChars="-1" w:rightChars="0" w:firstLine="0" w:firstLineChars="-1"/>
      <w:jc w:val="both"/>
      <w:textDirection w:val="btLr"/>
      <w:textAlignment w:val="top"/>
      <w:outlineLvl w:val="0"/>
    </w:pPr>
    <w:rPr>
      <w:rFonts w:ascii="Arial" w:cs="Arial" w:eastAsia="Arial" w:hAnsi="Arial"/>
      <w:color w:val="000000"/>
      <w:w w:val="100"/>
      <w:position w:val="-1"/>
      <w:effect w:val="none"/>
      <w:vertAlign w:val="baseline"/>
      <w:cs w:val="0"/>
      <w:em w:val="none"/>
      <w:lang w:bidi="hi-IN" w:eastAsia="hi-IN" w:val="cs-CZ"/>
    </w:rPr>
  </w:style>
  <w:style w:type="paragraph" w:styleId="caption">
    <w:name w:val="caption"/>
    <w:basedOn w:val="Normální"/>
    <w:next w:val="Normální"/>
    <w:autoRedefine w:val="0"/>
    <w:hidden w:val="0"/>
    <w:qFormat w:val="0"/>
    <w:pPr>
      <w:numPr>
        <w:ilvl w:val="0"/>
        <w:numId w:val="0"/>
      </w:numPr>
      <w:suppressAutoHyphens w:val="0"/>
      <w:spacing w:after="200" w:before="0" w:line="100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cs="Arial" w:eastAsia="Arial" w:hAnsi="Arial"/>
      <w:b w:val="0"/>
      <w:bCs w:val="1"/>
      <w:color w:val="000000"/>
      <w:w w:val="100"/>
      <w:position w:val="-1"/>
      <w:sz w:val="18"/>
      <w:szCs w:val="18"/>
      <w:effect w:val="none"/>
      <w:vertAlign w:val="baseline"/>
      <w:cs w:val="0"/>
      <w:em w:val="none"/>
      <w:lang w:bidi="hi-IN" w:eastAsia="hi-IN" w:val="cs-CZ"/>
    </w:rPr>
  </w:style>
  <w:style w:type="paragraph" w:styleId="Obsahtabulky">
    <w:name w:val="Obsah tabulky"/>
    <w:basedOn w:val="Normální"/>
    <w:next w:val="Obsahtabulky"/>
    <w:autoRedefine w:val="0"/>
    <w:hidden w:val="0"/>
    <w:qFormat w:val="0"/>
    <w:pPr>
      <w:suppressLineNumbers w:val="1"/>
      <w:suppressAutoHyphens w:val="0"/>
      <w:spacing w:after="120" w:line="276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eastAsia="Arial" w:hAnsi="Arial"/>
      <w:color w:val="000000"/>
      <w:w w:val="100"/>
      <w:position w:val="-1"/>
      <w:effect w:val="none"/>
      <w:vertAlign w:val="baseline"/>
      <w:cs w:val="0"/>
      <w:em w:val="none"/>
      <w:lang w:bidi="hi-IN" w:eastAsia="hi-IN" w:val="cs-CZ"/>
    </w:rPr>
  </w:style>
  <w:style w:type="paragraph" w:styleId="Normální(web)">
    <w:name w:val="Normální (web)"/>
    <w:basedOn w:val="Normální"/>
    <w:next w:val="Normální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jc w:val="left"/>
      <w:textDirection w:val="btLr"/>
      <w:textAlignment w:val="top"/>
      <w:outlineLvl w:val="0"/>
    </w:pPr>
    <w:rPr>
      <w:rFonts w:ascii="Times New Roman" w:cs="Times New Roman" w:eastAsia="Times New Roman" w:hAnsi="Times New Roman"/>
      <w:color w:val="auto"/>
      <w:w w:val="100"/>
      <w:position w:val="-1"/>
      <w:sz w:val="24"/>
      <w:szCs w:val="24"/>
      <w:effect w:val="none"/>
      <w:vertAlign w:val="baseline"/>
      <w:cs w:val="0"/>
      <w:em w:val="none"/>
      <w:lang w:bidi="ar-SA" w:eastAsia="cs-CZ" w:val="cs-CZ"/>
    </w:rPr>
  </w:style>
  <w:style w:type="table" w:styleId="Mřížkatabulky">
    <w:name w:val="Mřížka tabulky"/>
    <w:basedOn w:val="Normálnítabulka"/>
    <w:next w:val="Mřížkatabulky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Mřížkatabulky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s.wikipedia.org/wiki/Stupe%C5%88_provozu" TargetMode="External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hyperlink" Target="http://www.itsterminology.org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5.png"/><Relationship Id="rId15" Type="http://schemas.openxmlformats.org/officeDocument/2006/relationships/image" Target="media/image2.png"/><Relationship Id="rId14" Type="http://schemas.openxmlformats.org/officeDocument/2006/relationships/image" Target="media/image6.png"/><Relationship Id="rId17" Type="http://schemas.openxmlformats.org/officeDocument/2006/relationships/footer" Target="footer1.xml"/><Relationship Id="rId16" Type="http://schemas.openxmlformats.org/officeDocument/2006/relationships/image" Target="media/image4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N7y/XPNQcJe9f9VxPKA2fbMO/8A==">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2021-03-11T08:43:00Z</dcterms:created>
  <dc:creator>Petr Bureš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