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059" w:rsidRDefault="00A14059" w:rsidP="00A14059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after="60" w:line="276" w:lineRule="auto"/>
        <w:jc w:val="center"/>
        <w:rPr>
          <w:rFonts w:eastAsia="Arial" w:cs="Arial"/>
          <w:b/>
          <w:color w:val="000000"/>
          <w:sz w:val="40"/>
          <w:szCs w:val="40"/>
        </w:rPr>
      </w:pPr>
      <w:bookmarkStart w:id="0" w:name="_gjdgxs" w:colFirst="0" w:colLast="0"/>
      <w:bookmarkEnd w:id="0"/>
      <w:r>
        <w:rPr>
          <w:rFonts w:eastAsia="Arial" w:cs="Arial"/>
          <w:b/>
          <w:color w:val="000000"/>
          <w:sz w:val="40"/>
          <w:szCs w:val="40"/>
        </w:rPr>
        <w:t>EXTRAKT z technické specifikace ISO</w:t>
      </w:r>
      <w:r>
        <w:rPr>
          <w:noProof/>
          <w:lang w:val="en-US" w:eastAsia="en-US"/>
        </w:rPr>
        <w:drawing>
          <wp:anchor distT="0" distB="0" distL="114300" distR="114300" simplePos="0" relativeHeight="251659264" behindDoc="0" locked="0" layoutInCell="1" hidden="0" allowOverlap="1" wp14:anchorId="3735B109" wp14:editId="21D56FC7">
            <wp:simplePos x="0" y="0"/>
            <wp:positionH relativeFrom="column">
              <wp:posOffset>1</wp:posOffset>
            </wp:positionH>
            <wp:positionV relativeFrom="paragraph">
              <wp:posOffset>-449579</wp:posOffset>
            </wp:positionV>
            <wp:extent cx="75565" cy="151765"/>
            <wp:effectExtent l="0" t="0" r="0" b="0"/>
            <wp:wrapSquare wrapText="bothSides" distT="0" distB="0" distL="114300" distR="11430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14059" w:rsidRDefault="00A14059" w:rsidP="00A1405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  <w:sz w:val="16"/>
          <w:szCs w:val="16"/>
        </w:rPr>
      </w:pPr>
      <w:r>
        <w:rPr>
          <w:rFonts w:eastAsia="Arial" w:cs="Arial"/>
          <w:b/>
          <w:color w:val="000000"/>
        </w:rPr>
        <w:t>Extrakt nenahrazuje samotnou technickou normu, je pouze informativním materiálem o normě.</w:t>
      </w:r>
    </w:p>
    <w:p w:rsidR="00A14059" w:rsidRDefault="00A14059" w:rsidP="00A14059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line="276" w:lineRule="auto"/>
        <w:jc w:val="both"/>
        <w:rPr>
          <w:rFonts w:eastAsia="Arial" w:cs="Arial"/>
          <w:color w:val="000000"/>
        </w:rPr>
      </w:pPr>
      <w:bookmarkStart w:id="1" w:name="_30j0zll" w:colFirst="0" w:colLast="0"/>
      <w:bookmarkEnd w:id="1"/>
    </w:p>
    <w:tbl>
      <w:tblPr>
        <w:tblW w:w="990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7065"/>
        <w:gridCol w:w="2835"/>
      </w:tblGrid>
      <w:tr w:rsidR="00A14059" w:rsidTr="001F609E">
        <w:trPr>
          <w:trHeight w:val="1200"/>
        </w:trPr>
        <w:tc>
          <w:tcPr>
            <w:tcW w:w="7065" w:type="dxa"/>
            <w:tcBorders>
              <w:top w:val="single" w:sz="8" w:space="0" w:color="000000"/>
              <w:bottom w:val="single" w:sz="8" w:space="0" w:color="000000"/>
            </w:tcBorders>
          </w:tcPr>
          <w:p w:rsidR="00A14059" w:rsidRDefault="00A26A91" w:rsidP="001F609E">
            <w:pPr>
              <w:pStyle w:val="1StrNN-4-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Arial"/>
                <w:b w:val="0"/>
                <w:i/>
                <w:color w:val="000000"/>
                <w:sz w:val="32"/>
                <w:szCs w:val="32"/>
              </w:rPr>
            </w:pPr>
            <w:r w:rsidRPr="00A26A91">
              <w:rPr>
                <w:rFonts w:eastAsia="Arial"/>
              </w:rPr>
              <w:t xml:space="preserve">Inteligentní dopravní systémy – </w:t>
            </w:r>
            <w:r w:rsidR="001F609E">
              <w:rPr>
                <w:rFonts w:eastAsia="Arial"/>
              </w:rPr>
              <w:br/>
            </w:r>
            <w:r w:rsidRPr="00A26A91">
              <w:rPr>
                <w:rFonts w:eastAsia="Arial"/>
              </w:rPr>
              <w:t>Dopravní a cestovní informace předávané prostřednictvím expertní skupiny pro protokoly v dopravě 2. generace (TPEG 2) – Část 19: Aplikace pro informace o počasí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 w:rsidR="00A14059" w:rsidRDefault="00A26A91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b/>
                <w:color w:val="000000"/>
                <w:sz w:val="32"/>
                <w:szCs w:val="32"/>
              </w:rPr>
              <w:t xml:space="preserve">ISO/TS </w:t>
            </w:r>
            <w:r w:rsidR="001F609E">
              <w:rPr>
                <w:rFonts w:eastAsia="Arial" w:cs="Arial"/>
                <w:b/>
                <w:color w:val="000000"/>
                <w:sz w:val="32"/>
                <w:szCs w:val="32"/>
              </w:rPr>
              <w:br/>
            </w:r>
            <w:bookmarkStart w:id="2" w:name="_GoBack"/>
            <w:bookmarkEnd w:id="2"/>
            <w:r>
              <w:rPr>
                <w:rFonts w:eastAsia="Arial" w:cs="Arial"/>
                <w:b/>
                <w:color w:val="000000"/>
                <w:sz w:val="32"/>
                <w:szCs w:val="32"/>
              </w:rPr>
              <w:t>21219-19</w:t>
            </w:r>
          </w:p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</w:p>
          <w:p w:rsidR="00A14059" w:rsidRDefault="00A14059" w:rsidP="00BC0A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276" w:lineRule="auto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/>
                <w:sz w:val="28"/>
                <w:szCs w:val="28"/>
              </w:rPr>
              <w:t>01 8388</w:t>
            </w:r>
          </w:p>
        </w:tc>
      </w:tr>
    </w:tbl>
    <w:p w:rsidR="00A14059" w:rsidRDefault="00A14059" w:rsidP="00A1405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920"/>
        </w:tabs>
        <w:spacing w:before="240" w:after="360" w:line="276" w:lineRule="auto"/>
        <w:jc w:val="right"/>
        <w:rPr>
          <w:rFonts w:eastAsia="Arial" w:cs="Arial"/>
          <w:color w:val="000000"/>
        </w:rPr>
      </w:pPr>
      <w:bookmarkStart w:id="3" w:name="_1fob9te" w:colFirst="0" w:colLast="0"/>
      <w:bookmarkEnd w:id="3"/>
      <w:r>
        <w:rPr>
          <w:rFonts w:eastAsia="Arial" w:cs="Arial"/>
          <w:sz w:val="28"/>
          <w:szCs w:val="28"/>
        </w:rPr>
        <w:t>Vydána 201</w:t>
      </w:r>
      <w:r w:rsidR="00FB258B">
        <w:rPr>
          <w:rFonts w:eastAsia="Arial" w:cs="Arial"/>
          <w:sz w:val="28"/>
          <w:szCs w:val="28"/>
        </w:rPr>
        <w:t>6</w:t>
      </w:r>
      <w:r>
        <w:rPr>
          <w:rFonts w:eastAsia="Arial" w:cs="Arial"/>
          <w:sz w:val="28"/>
          <w:szCs w:val="28"/>
        </w:rPr>
        <w:t xml:space="preserve">, </w:t>
      </w:r>
      <w:r w:rsidR="00A26A91">
        <w:rPr>
          <w:rFonts w:eastAsia="Arial" w:cs="Arial"/>
          <w:color w:val="000000"/>
          <w:sz w:val="28"/>
          <w:szCs w:val="28"/>
        </w:rPr>
        <w:t>93</w:t>
      </w:r>
      <w:r>
        <w:rPr>
          <w:rFonts w:eastAsia="Arial" w:cs="Arial"/>
          <w:color w:val="000000"/>
          <w:sz w:val="28"/>
          <w:szCs w:val="28"/>
        </w:rPr>
        <w:t xml:space="preserve"> stran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Úvod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ISO 21219 se zabývá druhou generací protokolu TPEG pro poskytování informací o d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pravě koncovým uživatelům, označovan</w:t>
      </w:r>
      <w:r>
        <w:rPr>
          <w:rFonts w:eastAsia="Arial" w:cs="Arial"/>
        </w:rPr>
        <w:t>ým zkratkou</w:t>
      </w:r>
      <w:r>
        <w:rPr>
          <w:rFonts w:eastAsia="Arial" w:cs="Arial"/>
          <w:color w:val="000000"/>
        </w:rPr>
        <w:t xml:space="preserve"> TPEG2.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ISO/TS 21219 obsahuje řadu částí, které pokrývají úvod, pravidla,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 a jednotlivé aplikace. TPEG2 je postaven na modelování v UML, se sadou základních pravidel stanovujících strategii modelování a pravidla konverze modelu do dvou fyzických formátů: binárního pro vysílání v DAB a XML pro šíření Internetem (části 2, 3, 4 normy). Pro snazší udržovatelnost specifikace se změny provádí pouze na úrovni obecného mod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lu v UML (XMI soubor) a následně pomocí automatizovaných nástrojů převádějí do popisů jednotlivých fyzi</w:t>
      </w:r>
      <w:r>
        <w:rPr>
          <w:rFonts w:eastAsia="Arial" w:cs="Arial"/>
          <w:color w:val="000000"/>
        </w:rPr>
        <w:t>c</w:t>
      </w:r>
      <w:r>
        <w:rPr>
          <w:rFonts w:eastAsia="Arial" w:cs="Arial"/>
          <w:color w:val="000000"/>
        </w:rPr>
        <w:t>kých formátů (dokument s přílohami pro každý fyzický formát). Tato koncepční témata jsou řešena částmi, které se nazývají 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Zpráva TPEG2 se skládá ze tří dílčích částí zpráv (kontejnerů): kontejner managementu zprávy (část 6 normy), kontejner s dopravní aplikací (mnoho částí) a kontejner s odkazem na polohu (část 7 normy).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Technická specifikace  ISO/TS 21219 se skládá z těchto částí: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Nástroje (</w:t>
      </w:r>
      <w:proofErr w:type="spellStart"/>
      <w:r>
        <w:rPr>
          <w:rFonts w:eastAsia="Arial" w:cs="Arial"/>
          <w:color w:val="000000"/>
        </w:rPr>
        <w:t>toolkity</w:t>
      </w:r>
      <w:proofErr w:type="spellEnd"/>
      <w:r>
        <w:rPr>
          <w:rFonts w:eastAsia="Arial" w:cs="Arial"/>
          <w:color w:val="000000"/>
        </w:rPr>
        <w:t>): TPEG2-INV (část 1: Úvod, číslování a verze), TPEG2-UML (část 2: Pravidla model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pomocí UML), TPEG2-UBCR (část 3: Pravidla pro konverzi z UML do binárního kódu), TPEG2-UXCR (část 4: Pravidla pro konverzi UML do XML), TPEG2-SFW (část 5: Rámec pro služby TPEG), TPEG2-MMC (část 6: Kontejner pro management zpráv), TPEG2-LRC (část 7: Kontejner pro odkaz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>vání na polohu)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>Speciální aplikace: TPEG2-SNI (část 9: Informace o službách a síti), TPEG2-CAI (část 10: Informace o podmíněném přístupu), TPEG2-LTE (část 24: Slabé šifrování)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Odkazování na polohu: TPEG2-ULR (část 11: Odkazování na polohu v aplikacích), TPEG2-ETL (část 20: Odkazování na polohu metodou rozšířeného TMC), TPEG2-GLR (část 21: Geografické odkazování na polohu), TPEG2-OLR (část 22: Odkazování na polohu metodou </w:t>
      </w:r>
      <w:proofErr w:type="spellStart"/>
      <w:r>
        <w:rPr>
          <w:rFonts w:eastAsia="Arial" w:cs="Arial"/>
          <w:color w:val="000000"/>
        </w:rPr>
        <w:t>OpenLR</w:t>
      </w:r>
      <w:proofErr w:type="spellEnd"/>
      <w:r>
        <w:rPr>
          <w:rFonts w:eastAsia="Arial" w:cs="Arial"/>
          <w:color w:val="000000"/>
        </w:rPr>
        <w:t>)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Aplikace: TPEG2-RTM (část 12: Aplikace pro zprávy o silniční dopravě), TPEG2-PTI (část 13: Aplikace pro informace o veřejné dopravě), TPEG2-PKI (část 14: Aplikace pro informace o parkování), TPEG2-TEC (část 15: Aplikace pro vybrané dopravní události), TPEG2-FPI (část 16: Aplikace pro informace o cenách pohonných hmot), TPEG2-SPI (část 17: Aplikace pro informace o rychlostních omezeních), TPEG2-TFP (část 18: Aplikace pro informace o stavu dopravního proudu a jeho predikci), </w:t>
      </w:r>
      <w:r>
        <w:rPr>
          <w:rFonts w:eastAsia="Arial" w:cs="Arial"/>
          <w:b/>
          <w:color w:val="000000"/>
        </w:rPr>
        <w:t>TPEG2-WEA (část 19: Aplikace pro informace o počasí)</w:t>
      </w:r>
      <w:r>
        <w:rPr>
          <w:rFonts w:eastAsia="Arial" w:cs="Arial"/>
          <w:color w:val="000000"/>
        </w:rPr>
        <w:t>, TPEG2-RMR (část 23: Aplikace pro informace o mult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modálních trasách), TPEG2-EMI (část 25: Nabíjecí infrastruktura pro elektromobily) a další.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Na rozdíl od RDS-TMC, které je svým způsobem popisu události jednoúrovňové, umožňuje TPEG informace členit strukturovaně se zvyšující se mírou detailu. Dopravní události popisuje TPEG úzkoprofilově, je vždy z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měřen na jeden konkrétní typ situací (například na ceny pohonných hmot, dojezdové doby atd.), které popisuje do větší hloubky, každému typu je věnována samostatná část specifikace (tzv. ”aplikace TPEG”).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>Rozlišení TPEG/TPEG1/TPEG2 se většinou uvádí pouze v úvodní části norem/specifikací, zatímco ostatní kap</w:t>
      </w:r>
      <w:r>
        <w:rPr>
          <w:rFonts w:eastAsia="Arial" w:cs="Arial"/>
          <w:color w:val="000000"/>
        </w:rPr>
        <w:t>i</w:t>
      </w:r>
      <w:r>
        <w:rPr>
          <w:rFonts w:eastAsia="Arial" w:cs="Arial"/>
          <w:color w:val="000000"/>
        </w:rPr>
        <w:t>toly již mezi TPEG a TPEG2 nerozlišují - to je implicitní dle kontextu. Stejným způsobem k tomu přistupujeme i v tomto extraktu.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4" w:name="_3znysh7" w:colFirst="0" w:colLast="0"/>
      <w:bookmarkEnd w:id="4"/>
      <w:r>
        <w:rPr>
          <w:rFonts w:eastAsia="Arial" w:cs="Arial"/>
          <w:color w:val="000000"/>
        </w:rPr>
        <w:t>Tento extrakt popisuje část 19 „</w:t>
      </w:r>
      <w:r>
        <w:rPr>
          <w:rFonts w:eastAsia="Arial" w:cs="Arial"/>
          <w:b/>
          <w:color w:val="000000"/>
        </w:rPr>
        <w:t xml:space="preserve">Aplikace pro informace o počasí </w:t>
      </w:r>
      <w:r>
        <w:rPr>
          <w:rFonts w:eastAsia="Arial" w:cs="Arial"/>
          <w:color w:val="000000"/>
        </w:rPr>
        <w:t xml:space="preserve">(WEA)” (dále jen “popisovaný dokument”), která specifikuje poskytování informací o aktuálním stavu a </w:t>
      </w:r>
      <w:r>
        <w:rPr>
          <w:rFonts w:eastAsia="Arial" w:cs="Arial"/>
        </w:rPr>
        <w:t xml:space="preserve">předpovědi </w:t>
      </w:r>
      <w:r>
        <w:rPr>
          <w:rFonts w:eastAsia="Arial" w:cs="Arial"/>
          <w:color w:val="000000"/>
        </w:rPr>
        <w:t>počasí pro různé oblasti a různá časová (i historická) období.</w:t>
      </w:r>
    </w:p>
    <w:p w:rsidR="00A26A91" w:rsidRDefault="00A26A91" w:rsidP="00A26A91">
      <w:pPr>
        <w:spacing w:before="80" w:after="200"/>
        <w:jc w:val="both"/>
        <w:rPr>
          <w:rFonts w:eastAsia="Arial" w:cs="Arial"/>
        </w:rPr>
      </w:pPr>
      <w:r>
        <w:rPr>
          <w:rFonts w:eastAsia="Arial" w:cs="Arial"/>
          <w:sz w:val="18"/>
          <w:szCs w:val="18"/>
        </w:rPr>
        <w:t>Poznámka: Extrakt přejímá původní číslování kapitol.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Užití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5" w:name="_2et92p0" w:colFirst="0" w:colLast="0"/>
      <w:bookmarkEnd w:id="5"/>
      <w:r>
        <w:rPr>
          <w:rFonts w:eastAsia="Arial" w:cs="Arial"/>
          <w:color w:val="000000"/>
        </w:rPr>
        <w:t>Popisovaný dokument stanovuje strukturu aplikace pro</w:t>
      </w:r>
      <w:r>
        <w:rPr>
          <w:rFonts w:eastAsia="Arial" w:cs="Arial"/>
          <w:b/>
          <w:color w:val="000000"/>
        </w:rPr>
        <w:t xml:space="preserve"> informace o počasí</w:t>
      </w:r>
      <w:r>
        <w:rPr>
          <w:rFonts w:eastAsia="Arial" w:cs="Arial"/>
          <w:color w:val="000000"/>
        </w:rPr>
        <w:t xml:space="preserve">. Popisovaný dokument je nezbytný pro </w:t>
      </w:r>
      <w:r>
        <w:rPr>
          <w:rFonts w:eastAsia="Arial" w:cs="Arial"/>
          <w:b/>
          <w:color w:val="000000"/>
        </w:rPr>
        <w:t>poskytovatele i příjemce dopravních informací</w:t>
      </w:r>
      <w:r>
        <w:rPr>
          <w:rFonts w:eastAsia="Arial" w:cs="Arial"/>
          <w:color w:val="000000"/>
        </w:rPr>
        <w:t xml:space="preserve">, jejich programátory, kteří pracují se samotným formátem XML či programují datové proudy pro DAB. 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1 Předmět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Popisovaný dokument definuje aplikaci TPEG WEA „informace o počasí“. Ta umožňuje distribuovat informace o aktuálním stavu počasí a jeho </w:t>
      </w:r>
      <w:r>
        <w:rPr>
          <w:rFonts w:eastAsia="Arial" w:cs="Arial"/>
        </w:rPr>
        <w:t xml:space="preserve">předpovědi </w:t>
      </w:r>
      <w:r>
        <w:rPr>
          <w:rFonts w:eastAsia="Arial" w:cs="Arial"/>
          <w:color w:val="000000"/>
        </w:rPr>
        <w:t>pro různé geografické oblasti a časová (i historická) období. Časové a prostorové informace o počasí umožňuje aplikace hierarchicky třídit pomocí konceptu odkazování nadřaz</w:t>
      </w:r>
      <w:r>
        <w:rPr>
          <w:rFonts w:eastAsia="Arial" w:cs="Arial"/>
          <w:color w:val="000000"/>
        </w:rPr>
        <w:t>e</w:t>
      </w:r>
      <w:r>
        <w:rPr>
          <w:rFonts w:eastAsia="Arial" w:cs="Arial"/>
          <w:color w:val="000000"/>
        </w:rPr>
        <w:t>ných a podř</w:t>
      </w:r>
      <w:r>
        <w:rPr>
          <w:rFonts w:eastAsia="Arial" w:cs="Arial"/>
        </w:rPr>
        <w:t>a</w:t>
      </w:r>
      <w:r>
        <w:rPr>
          <w:rFonts w:eastAsia="Arial" w:cs="Arial"/>
          <w:color w:val="000000"/>
        </w:rPr>
        <w:t>zených zpráv o počasí, kdy každá zpráva je na jiné rozlišovací úrovni (časové či prostorové). I</w:t>
      </w:r>
      <w:r>
        <w:rPr>
          <w:rFonts w:eastAsia="Arial" w:cs="Arial"/>
          <w:color w:val="000000"/>
        </w:rPr>
        <w:t>n</w:t>
      </w:r>
      <w:r>
        <w:rPr>
          <w:rFonts w:eastAsia="Arial" w:cs="Arial"/>
          <w:color w:val="000000"/>
        </w:rPr>
        <w:t>formace o počasí jsou určeny všem příjemcům, nejsou specificky cíleny na řidiče, těm je s ohledem na počasí určena část specifikace TEC „Aplikace pro vybrané dopravní události“.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2 Souvisící normy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Klíčové normy, na které tento dokument odkazuje, jsou: informace o verzích (21219-1, TPEG2-INV), použití kontejneru pro odkazování na polohu (21219-7, TPEG2-LRC) a řízení zpráv (21219-6, TPEG2-MMC), odvození z modelu UML (21219-2,3,4, TPEG2-UMR,UBCR,UXCR), vysílání zpráv (21219-5, TPEG2-SFW) a jejich sign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 xml:space="preserve">lizaci (21219-9, </w:t>
      </w:r>
      <w:proofErr w:type="gramStart"/>
      <w:r>
        <w:rPr>
          <w:rFonts w:eastAsia="Arial" w:cs="Arial"/>
          <w:color w:val="000000"/>
        </w:rPr>
        <w:t>TPEG2-SNI) .</w:t>
      </w:r>
      <w:proofErr w:type="gramEnd"/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3 Termíny a definice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6" w:name="_tyjcwt" w:colFirst="0" w:colLast="0"/>
      <w:bookmarkEnd w:id="6"/>
      <w:r>
        <w:rPr>
          <w:rFonts w:eastAsia="Arial" w:cs="Arial"/>
          <w:color w:val="000000"/>
        </w:rPr>
        <w:t>Tato kapitola definuje 5 termínů. Jedná se o definici služby a její součásti, kontejneru pro management zpráv a odkazy na polohu a definici odkazování na polohu.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bookmarkStart w:id="7" w:name="_3dy6vkm" w:colFirst="0" w:colLast="0"/>
      <w:bookmarkEnd w:id="7"/>
      <w:r>
        <w:rPr>
          <w:rFonts w:eastAsia="Arial" w:cs="Arial"/>
          <w:b/>
          <w:color w:val="000000"/>
        </w:rPr>
        <w:t>odkazování na polohu</w:t>
      </w:r>
      <w:r>
        <w:rPr>
          <w:rFonts w:eastAsia="Arial" w:cs="Arial"/>
          <w:color w:val="000000"/>
        </w:rPr>
        <w:t xml:space="preserve">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Location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Referencing</w:t>
      </w:r>
      <w:proofErr w:type="spellEnd"/>
      <w:r>
        <w:rPr>
          <w:rFonts w:eastAsia="Arial" w:cs="Arial"/>
          <w:i/>
          <w:color w:val="000000"/>
        </w:rPr>
        <w:t>)</w:t>
      </w:r>
      <w:r>
        <w:rPr>
          <w:rFonts w:eastAsia="Arial" w:cs="Arial"/>
          <w:color w:val="000000"/>
        </w:rPr>
        <w:t xml:space="preserve"> – prostředky umožňující systému přesně identifikovat polohu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4 Zkratky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stanovuje 16 zkratek reprezentujících jednotlivé části/kontejnery zprávy</w:t>
      </w:r>
      <w:r>
        <w:rPr>
          <w:rFonts w:eastAsia="Arial" w:cs="Arial"/>
        </w:rPr>
        <w:t>, z nichž klíčové jsou: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MMC</w:t>
      </w:r>
      <w:r>
        <w:rPr>
          <w:rFonts w:eastAsia="Arial" w:cs="Arial"/>
          <w:color w:val="000000"/>
        </w:rPr>
        <w:tab/>
        <w:t xml:space="preserve">kontejner pro management zpráv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Message</w:t>
      </w:r>
      <w:proofErr w:type="spellEnd"/>
      <w:r>
        <w:rPr>
          <w:rFonts w:eastAsia="Arial" w:cs="Arial"/>
          <w:i/>
          <w:color w:val="000000"/>
        </w:rPr>
        <w:t xml:space="preserve"> Management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ADC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kontejner pro popis aplikace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Application</w:t>
      </w:r>
      <w:proofErr w:type="spellEnd"/>
      <w:r>
        <w:rPr>
          <w:rFonts w:eastAsia="Arial" w:cs="Arial"/>
          <w:i/>
          <w:color w:val="000000"/>
        </w:rPr>
        <w:t xml:space="preserve"> Data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284" w:hanging="284"/>
        <w:jc w:val="both"/>
        <w:rPr>
          <w:rFonts w:eastAsia="Arial" w:cs="Arial"/>
          <w:color w:val="000000"/>
        </w:rPr>
      </w:pPr>
      <w:r>
        <w:rPr>
          <w:rFonts w:eastAsia="Arial" w:cs="Arial"/>
          <w:b/>
          <w:color w:val="000000"/>
        </w:rPr>
        <w:t>LRC</w:t>
      </w:r>
      <w:r>
        <w:rPr>
          <w:rFonts w:eastAsia="Arial" w:cs="Arial"/>
          <w:b/>
          <w:color w:val="000000"/>
        </w:rPr>
        <w:tab/>
      </w:r>
      <w:r>
        <w:rPr>
          <w:rFonts w:eastAsia="Arial" w:cs="Arial"/>
          <w:color w:val="000000"/>
        </w:rPr>
        <w:t xml:space="preserve">kontejner pro odkazování na polohu </w:t>
      </w:r>
      <w:r>
        <w:rPr>
          <w:rFonts w:eastAsia="Arial" w:cs="Arial"/>
          <w:i/>
          <w:color w:val="000000"/>
        </w:rPr>
        <w:t>(</w:t>
      </w:r>
      <w:proofErr w:type="spellStart"/>
      <w:r>
        <w:rPr>
          <w:rFonts w:eastAsia="Arial" w:cs="Arial"/>
          <w:i/>
          <w:color w:val="000000"/>
        </w:rPr>
        <w:t>Location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Referencing</w:t>
      </w:r>
      <w:proofErr w:type="spellEnd"/>
      <w:r>
        <w:rPr>
          <w:rFonts w:eastAsia="Arial" w:cs="Arial"/>
          <w:i/>
          <w:color w:val="000000"/>
        </w:rPr>
        <w:t xml:space="preserve"> </w:t>
      </w:r>
      <w:proofErr w:type="spellStart"/>
      <w:r>
        <w:rPr>
          <w:rFonts w:eastAsia="Arial" w:cs="Arial"/>
          <w:i/>
          <w:color w:val="000000"/>
        </w:rPr>
        <w:t>Container</w:t>
      </w:r>
      <w:proofErr w:type="spellEnd"/>
      <w:r>
        <w:rPr>
          <w:rFonts w:eastAsia="Arial" w:cs="Arial"/>
          <w:i/>
          <w:color w:val="000000"/>
        </w:rPr>
        <w:t xml:space="preserve">)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V popisovaném dokumentu je uvedena většina zkratek částí specifikace TPEG. Tyto zkratky i jejich vysvětlení uvádíme jako součást výčtu částí specifikace v úvodu tohoto extraktu, proto je zde dále neuvádíme.</w:t>
      </w:r>
    </w:p>
    <w:p w:rsidR="00A26A91" w:rsidRDefault="00A26A91" w:rsidP="00A26A91">
      <w:pPr>
        <w:spacing w:after="120"/>
        <w:jc w:val="both"/>
        <w:rPr>
          <w:rFonts w:eastAsia="Arial" w:cs="Arial"/>
          <w:sz w:val="18"/>
          <w:szCs w:val="18"/>
        </w:rPr>
      </w:pPr>
      <w:r>
        <w:rPr>
          <w:rFonts w:eastAsia="Arial" w:cs="Arial"/>
          <w:sz w:val="18"/>
          <w:szCs w:val="18"/>
        </w:rPr>
        <w:t>Další termíny a zkratky z oboru ITS jsou obsaženy ve slovníku ITS terminology (</w:t>
      </w:r>
      <w:hyperlink r:id="rId10">
        <w:r>
          <w:rPr>
            <w:rFonts w:eastAsia="Arial" w:cs="Arial"/>
            <w:color w:val="0000FF"/>
            <w:sz w:val="18"/>
            <w:szCs w:val="18"/>
            <w:u w:val="single"/>
          </w:rPr>
          <w:t>www.itsterminology.org</w:t>
        </w:r>
      </w:hyperlink>
      <w:r>
        <w:rPr>
          <w:rFonts w:eastAsia="Arial" w:cs="Arial"/>
          <w:sz w:val="18"/>
          <w:szCs w:val="18"/>
        </w:rPr>
        <w:t>).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5 Podmínky a omezení aplikace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1,5 strany) vymezuje: 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Identifikátor aplikace stanovený pro všechny aplikace v TS 21219-1.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Verzi aplikace</w:t>
      </w:r>
      <w:r>
        <w:rPr>
          <w:rFonts w:eastAsia="Arial" w:cs="Arial"/>
        </w:rPr>
        <w:t>;</w:t>
      </w:r>
      <w:r>
        <w:rPr>
          <w:rFonts w:eastAsia="Arial" w:cs="Arial"/>
          <w:color w:val="000000"/>
        </w:rPr>
        <w:t xml:space="preserve"> verze je klíčová z pohledu dekodéru, jednotlivé verze stejné aplikace se totiž mohou od sebe lišit strukturou, obsahem, atp. 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lastRenderedPageBreak/>
        <w:t xml:space="preserve">Pořadí kontejnerů, ze kterých je zpráva složena. Zpráva se skládá z kontejneru pro management zpráv (MMC), kontejneru s dopravní aplikací (ADC) a kontejneru pro odkazování na polohu (LRC). 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>Rozšiřitelnost a zpětnou kompatibilitu, jako požadavek na přeskočení neznámých částí zprávy dekod</w:t>
      </w:r>
      <w:r>
        <w:rPr>
          <w:rFonts w:eastAsia="Arial" w:cs="Arial"/>
          <w:color w:val="000000"/>
        </w:rPr>
        <w:t>é</w:t>
      </w:r>
      <w:r>
        <w:rPr>
          <w:rFonts w:eastAsia="Arial" w:cs="Arial"/>
          <w:color w:val="000000"/>
        </w:rPr>
        <w:t>rem a specifikaci v budoucnu rozšiřitelných částí struktur TPEG zprávy.</w:t>
      </w:r>
    </w:p>
    <w:p w:rsidR="00A26A91" w:rsidRDefault="00A26A91" w:rsidP="00A26A9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eastAsia="Arial" w:cs="Arial"/>
          <w:color w:val="000000"/>
        </w:rPr>
        <w:t xml:space="preserve">Použití rámce komponent služby TPEG dle ISO/TS 21219-5 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6 Struktura 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b/>
          <w:color w:val="000000"/>
        </w:rPr>
      </w:pPr>
      <w:r>
        <w:rPr>
          <w:rFonts w:eastAsia="Arial" w:cs="Arial"/>
          <w:color w:val="000000"/>
        </w:rPr>
        <w:t>Tato kapitola (rozsah 1 obrázek) obsahuje UML model aplikace WEA.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7 Komponenty zprávy 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8 stran, obrázky a tabulky) popisuje komponenty zprávy WEA.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Stanovuje </w:t>
      </w:r>
      <w:r>
        <w:rPr>
          <w:rFonts w:eastAsia="Arial" w:cs="Arial"/>
          <w:b/>
          <w:color w:val="000000"/>
        </w:rPr>
        <w:t>2 různé struktury zprávy WEA</w:t>
      </w:r>
      <w:r>
        <w:rPr>
          <w:rFonts w:eastAsia="Arial" w:cs="Arial"/>
          <w:color w:val="000000"/>
        </w:rPr>
        <w:t>, jedna pro pokrytí různých oblastí, druhá pro pokrytí různých čas</w:t>
      </w:r>
      <w:r>
        <w:rPr>
          <w:rFonts w:eastAsia="Arial" w:cs="Arial"/>
          <w:color w:val="000000"/>
        </w:rPr>
        <w:t>o</w:t>
      </w:r>
      <w:r>
        <w:rPr>
          <w:rFonts w:eastAsia="Arial" w:cs="Arial"/>
          <w:color w:val="000000"/>
        </w:rPr>
        <w:t xml:space="preserve">vých období. Oblasti mohou být popisovány hierarchicky pomocí konceptu </w:t>
      </w:r>
      <w:r>
        <w:rPr>
          <w:rFonts w:eastAsia="Arial" w:cs="Arial"/>
        </w:rPr>
        <w:t>propojování</w:t>
      </w:r>
      <w:r>
        <w:rPr>
          <w:rFonts w:eastAsia="Arial" w:cs="Arial"/>
          <w:color w:val="000000"/>
        </w:rPr>
        <w:t xml:space="preserve"> předchůdců a následn</w:t>
      </w:r>
      <w:r>
        <w:rPr>
          <w:rFonts w:eastAsia="Arial" w:cs="Arial"/>
          <w:color w:val="000000"/>
        </w:rPr>
        <w:t>í</w:t>
      </w:r>
      <w:r>
        <w:rPr>
          <w:rFonts w:eastAsia="Arial" w:cs="Arial"/>
          <w:color w:val="000000"/>
        </w:rPr>
        <w:t>ků zpráv. Stanoveny jsou tyto formy zprávy WEA, struktura obsahuje:</w:t>
      </w:r>
    </w:p>
    <w:p w:rsidR="00A26A91" w:rsidRDefault="00A26A91" w:rsidP="00A26A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pouze MMC, pro rušící zprávy,</w:t>
      </w:r>
    </w:p>
    <w:p w:rsidR="00A26A91" w:rsidRDefault="00A26A91" w:rsidP="00A26A9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 xml:space="preserve">jeden MMC, jeden ADC a jeden LRC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Díky hierarchickému pokrytí časové i prostorové domény mohou přijímače</w:t>
      </w:r>
      <w:r>
        <w:rPr>
          <w:rFonts w:eastAsia="Arial" w:cs="Arial"/>
        </w:rPr>
        <w:t xml:space="preserve"> </w:t>
      </w:r>
      <w:r>
        <w:rPr>
          <w:rFonts w:eastAsia="Arial" w:cs="Arial"/>
          <w:color w:val="000000"/>
        </w:rPr>
        <w:t xml:space="preserve">pracovat s informacemi pouze na určité úrovni rozlišení a v případě potřeby získat detailnější přehled o situaci. </w:t>
      </w:r>
    </w:p>
    <w:p w:rsidR="00A26A91" w:rsidRDefault="00A26A91" w:rsidP="0080255D">
      <w:pPr>
        <w:pStyle w:val="Obrzek"/>
        <w:rPr>
          <w:rFonts w:eastAsia="Arial"/>
          <w:color w:val="000000"/>
        </w:rPr>
      </w:pPr>
      <w:r>
        <w:rPr>
          <w:rFonts w:eastAsia="Arial"/>
          <w:noProof/>
          <w:lang w:val="en-US" w:eastAsia="en-US"/>
        </w:rPr>
        <w:drawing>
          <wp:inline distT="114300" distB="114300" distL="114300" distR="114300" wp14:anchorId="242609BA" wp14:editId="624FF3FE">
            <wp:extent cx="5295014" cy="3189767"/>
            <wp:effectExtent l="0" t="0" r="127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998" cy="3191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6A91" w:rsidRDefault="00A26A91" w:rsidP="0080255D">
      <w:pPr>
        <w:pStyle w:val="NadpisTabObr"/>
        <w:rPr>
          <w:rFonts w:eastAsia="Arial"/>
        </w:rPr>
      </w:pPr>
      <w:proofErr w:type="gramStart"/>
      <w:r>
        <w:rPr>
          <w:rFonts w:eastAsia="Arial"/>
        </w:rPr>
        <w:t>Obrázek 2  – Ukázka</w:t>
      </w:r>
      <w:proofErr w:type="gramEnd"/>
      <w:r>
        <w:rPr>
          <w:rFonts w:eastAsia="Arial"/>
        </w:rPr>
        <w:t xml:space="preserve"> zprávy WEA (obrázek 4 normy)</w:t>
      </w:r>
    </w:p>
    <w:p w:rsidR="0080255D" w:rsidRDefault="0080255D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Kontejner s odkazy na polohu se v popisovaném dokumentu neřeší, slovně i hierarchicky se poloha popisuje přímo v kontejneru ADC, obsah kontejneru LRC je nejasný.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Hierarchicky se zpráva o počasí (</w:t>
      </w:r>
      <w:proofErr w:type="spellStart"/>
      <w:r>
        <w:rPr>
          <w:rFonts w:eastAsia="Arial" w:cs="Arial"/>
          <w:color w:val="000000"/>
        </w:rPr>
        <w:t>WeatherMessage</w:t>
      </w:r>
      <w:proofErr w:type="spellEnd"/>
      <w:r>
        <w:rPr>
          <w:rFonts w:eastAsia="Arial" w:cs="Arial"/>
          <w:color w:val="000000"/>
        </w:rPr>
        <w:t>) skládá z MMC, ADC a LRC</w:t>
      </w:r>
      <w:r>
        <w:rPr>
          <w:rFonts w:eastAsia="Arial" w:cs="Arial"/>
        </w:rPr>
        <w:t>,</w:t>
      </w:r>
      <w:r>
        <w:rPr>
          <w:rFonts w:eastAsia="Arial" w:cs="Arial"/>
          <w:color w:val="000000"/>
        </w:rPr>
        <w:t xml:space="preserve"> kde ADC obsahuje strukturu </w:t>
      </w:r>
      <w:proofErr w:type="spellStart"/>
      <w:r>
        <w:rPr>
          <w:rFonts w:eastAsia="Arial" w:cs="Arial"/>
          <w:color w:val="000000"/>
        </w:rPr>
        <w:t>WeatherInformation</w:t>
      </w:r>
      <w:proofErr w:type="spellEnd"/>
      <w:r>
        <w:rPr>
          <w:rFonts w:eastAsia="Arial" w:cs="Arial"/>
          <w:color w:val="000000"/>
        </w:rPr>
        <w:t>, skládající se z:</w:t>
      </w:r>
    </w:p>
    <w:p w:rsidR="00A26A91" w:rsidRDefault="00A26A91" w:rsidP="00A26A9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vymezení oblasti zájmu (</w:t>
      </w:r>
      <w:proofErr w:type="spellStart"/>
      <w:r>
        <w:rPr>
          <w:rFonts w:eastAsia="Arial" w:cs="Arial"/>
          <w:color w:val="000000"/>
        </w:rPr>
        <w:t>geographicalSignificance</w:t>
      </w:r>
      <w:proofErr w:type="spellEnd"/>
      <w:r>
        <w:rPr>
          <w:rFonts w:eastAsia="Arial" w:cs="Arial"/>
          <w:color w:val="000000"/>
        </w:rPr>
        <w:t>)</w:t>
      </w:r>
    </w:p>
    <w:p w:rsidR="00A26A91" w:rsidRDefault="00A26A91" w:rsidP="00A26A9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vlastní zprávy o počasí (</w:t>
      </w:r>
      <w:proofErr w:type="spellStart"/>
      <w:r>
        <w:rPr>
          <w:rFonts w:eastAsia="Arial" w:cs="Arial"/>
          <w:color w:val="000000"/>
        </w:rPr>
        <w:t>weatherReport</w:t>
      </w:r>
      <w:proofErr w:type="spellEnd"/>
      <w:r>
        <w:rPr>
          <w:rFonts w:eastAsia="Arial" w:cs="Arial"/>
          <w:color w:val="000000"/>
        </w:rPr>
        <w:t>)</w:t>
      </w:r>
    </w:p>
    <w:p w:rsidR="00A26A91" w:rsidRDefault="00A26A91" w:rsidP="00A26A9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</w:rPr>
        <w:t xml:space="preserve">volitelných </w:t>
      </w:r>
      <w:r>
        <w:rPr>
          <w:rFonts w:eastAsia="Arial" w:cs="Arial"/>
          <w:color w:val="000000"/>
        </w:rPr>
        <w:t>odkazů na předchůdce a následníky (</w:t>
      </w:r>
      <w:proofErr w:type="spellStart"/>
      <w:r>
        <w:rPr>
          <w:rFonts w:eastAsia="Arial" w:cs="Arial"/>
          <w:color w:val="000000"/>
        </w:rPr>
        <w:t>webLinks</w:t>
      </w:r>
      <w:proofErr w:type="spellEnd"/>
      <w:r>
        <w:rPr>
          <w:rFonts w:eastAsia="Arial" w:cs="Arial"/>
          <w:color w:val="000000"/>
        </w:rPr>
        <w:t xml:space="preserve">) a </w:t>
      </w:r>
    </w:p>
    <w:p w:rsidR="00A26A91" w:rsidRDefault="00A26A91" w:rsidP="00A26A9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color w:val="000000"/>
        </w:rPr>
      </w:pPr>
      <w:r>
        <w:rPr>
          <w:rFonts w:eastAsia="Arial" w:cs="Arial"/>
          <w:color w:val="000000"/>
        </w:rPr>
        <w:t>webové linky (</w:t>
      </w:r>
      <w:proofErr w:type="spellStart"/>
      <w:r>
        <w:rPr>
          <w:rFonts w:eastAsia="Arial" w:cs="Arial"/>
          <w:color w:val="000000"/>
        </w:rPr>
        <w:t>webContent</w:t>
      </w:r>
      <w:proofErr w:type="spellEnd"/>
      <w:r>
        <w:rPr>
          <w:rFonts w:eastAsia="Arial" w:cs="Arial"/>
          <w:color w:val="000000"/>
        </w:rPr>
        <w:t>).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lastRenderedPageBreak/>
        <w:t>Zpráva o počasí se skládá z typu zprávy, definice počasí (</w:t>
      </w:r>
      <w:proofErr w:type="spellStart"/>
      <w:r>
        <w:rPr>
          <w:rFonts w:eastAsia="Arial" w:cs="Arial"/>
          <w:color w:val="000000"/>
        </w:rPr>
        <w:t>weatherItem</w:t>
      </w:r>
      <w:proofErr w:type="spellEnd"/>
      <w:r>
        <w:rPr>
          <w:rFonts w:eastAsia="Arial" w:cs="Arial"/>
          <w:color w:val="000000"/>
        </w:rPr>
        <w:t>) a doplňujících informací. Definice poč</w:t>
      </w:r>
      <w:r>
        <w:rPr>
          <w:rFonts w:eastAsia="Arial" w:cs="Arial"/>
          <w:color w:val="000000"/>
        </w:rPr>
        <w:t>a</w:t>
      </w:r>
      <w:r>
        <w:rPr>
          <w:rFonts w:eastAsia="Arial" w:cs="Arial"/>
          <w:color w:val="000000"/>
        </w:rPr>
        <w:t>sí (</w:t>
      </w:r>
      <w:proofErr w:type="spellStart"/>
      <w:r>
        <w:rPr>
          <w:rFonts w:eastAsia="Arial" w:cs="Arial"/>
          <w:b/>
          <w:color w:val="000000"/>
        </w:rPr>
        <w:t>weatherItem</w:t>
      </w:r>
      <w:proofErr w:type="spellEnd"/>
      <w:r>
        <w:rPr>
          <w:rFonts w:eastAsia="Arial" w:cs="Arial"/>
          <w:color w:val="000000"/>
        </w:rPr>
        <w:t xml:space="preserve">) je hlavním nosným informačním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>em zprávy a obsahuje veškeré další detaily o počasí, viz UML model výše.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Popisovaný dokument hovoří v části MMC (7.12-7.14) o odkazu na události TPEG typu TEC, to je ale pravd</w:t>
      </w:r>
      <w:r>
        <w:rPr>
          <w:rFonts w:eastAsia="Arial" w:cs="Arial"/>
          <w:color w:val="000000"/>
        </w:rPr>
        <w:t>ě</w:t>
      </w:r>
      <w:r>
        <w:rPr>
          <w:rFonts w:eastAsia="Arial" w:cs="Arial"/>
          <w:color w:val="000000"/>
        </w:rPr>
        <w:t xml:space="preserve">podobně </w:t>
      </w:r>
      <w:r>
        <w:rPr>
          <w:rFonts w:eastAsia="Arial" w:cs="Arial"/>
        </w:rPr>
        <w:t>chybný</w:t>
      </w:r>
      <w:r>
        <w:rPr>
          <w:rFonts w:eastAsia="Arial" w:cs="Arial"/>
          <w:color w:val="000000"/>
        </w:rPr>
        <w:t xml:space="preserve"> text, protože použití tohoto klíčového slova nedává v kontextu smysl (mělo být nahrazeno te</w:t>
      </w:r>
      <w:r>
        <w:rPr>
          <w:rFonts w:eastAsia="Arial" w:cs="Arial"/>
          <w:color w:val="000000"/>
        </w:rPr>
        <w:t>x</w:t>
      </w:r>
      <w:r>
        <w:rPr>
          <w:rFonts w:eastAsia="Arial" w:cs="Arial"/>
          <w:color w:val="000000"/>
        </w:rPr>
        <w:t xml:space="preserve">tem WEA). 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8 Datové typy 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(rozsah 1 strana) obsahuje </w:t>
      </w:r>
      <w:r>
        <w:rPr>
          <w:rFonts w:eastAsia="Arial" w:cs="Arial"/>
          <w:b/>
          <w:color w:val="000000"/>
        </w:rPr>
        <w:t>definice</w:t>
      </w:r>
      <w:r>
        <w:rPr>
          <w:rFonts w:eastAsia="Arial" w:cs="Arial"/>
          <w:color w:val="000000"/>
        </w:rPr>
        <w:t xml:space="preserve"> dvou datových struktur (typů) </w:t>
      </w:r>
      <w:proofErr w:type="spellStart"/>
      <w:r>
        <w:rPr>
          <w:rFonts w:eastAsia="Arial" w:cs="Arial"/>
          <w:color w:val="000000"/>
        </w:rPr>
        <w:t>LinkedMessage</w:t>
      </w:r>
      <w:proofErr w:type="spellEnd"/>
      <w:r>
        <w:rPr>
          <w:rFonts w:eastAsia="Arial" w:cs="Arial"/>
          <w:color w:val="000000"/>
        </w:rPr>
        <w:t xml:space="preserve"> a </w:t>
      </w:r>
      <w:r>
        <w:rPr>
          <w:rFonts w:eastAsia="Arial" w:cs="Arial"/>
        </w:rPr>
        <w:t>Element</w:t>
      </w:r>
      <w:r>
        <w:rPr>
          <w:rFonts w:eastAsia="Arial" w:cs="Arial"/>
          <w:color w:val="000000"/>
        </w:rPr>
        <w:t xml:space="preserve">.  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9 Tabulky 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kapitola (rozsah 19 stran) obsahuje tabulky</w:t>
      </w:r>
      <w:r>
        <w:rPr>
          <w:rFonts w:eastAsia="Arial" w:cs="Arial"/>
        </w:rPr>
        <w:t xml:space="preserve"> s</w:t>
      </w:r>
      <w:r>
        <w:rPr>
          <w:rFonts w:eastAsia="Arial" w:cs="Arial"/>
          <w:color w:val="000000"/>
        </w:rPr>
        <w:t xml:space="preserve"> definicemi výčtových typů aplikace WEA. S</w:t>
      </w:r>
      <w:r>
        <w:rPr>
          <w:rFonts w:eastAsia="Arial" w:cs="Arial"/>
        </w:rPr>
        <w:t xml:space="preserve">eznam tabulek uvedených v této kapitole uvádí následující tabulka. </w:t>
      </w:r>
    </w:p>
    <w:p w:rsidR="00A26A91" w:rsidRDefault="00A26A91" w:rsidP="004B0A72">
      <w:pPr>
        <w:pStyle w:val="NadpisTabObr"/>
        <w:rPr>
          <w:rFonts w:eastAsia="Arial"/>
        </w:rPr>
      </w:pPr>
      <w:r>
        <w:rPr>
          <w:rFonts w:eastAsia="Arial"/>
        </w:rPr>
        <w:t>Tabulka 1 – Seznam použitých tabulek WEA</w:t>
      </w:r>
    </w:p>
    <w:p w:rsidR="0080255D" w:rsidRDefault="0080255D" w:rsidP="0080255D">
      <w:pPr>
        <w:pStyle w:val="NadpisTabObr"/>
        <w:rPr>
          <w:rFonts w:eastAsia="Arial"/>
        </w:rPr>
      </w:pPr>
      <w:r>
        <w:rPr>
          <w:rFonts w:eastAsia="Arial"/>
        </w:rPr>
        <w:object w:dxaOrig="9298" w:dyaOrig="7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65pt;height:379.25pt" o:ole="">
            <v:imagedata r:id="rId12" o:title=""/>
          </v:shape>
          <o:OLEObject Type="Embed" ProgID="Word.Document.12" ShapeID="_x0000_i1025" DrawAspect="Content" ObjectID="_1618060153" r:id="rId13">
            <o:FieldCodes>\s</o:FieldCodes>
          </o:OLEObject>
        </w:objec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5A5A5A"/>
        </w:rPr>
      </w:pPr>
      <w:r>
        <w:rPr>
          <w:rFonts w:eastAsia="Arial" w:cs="Arial"/>
          <w:color w:val="5A5A5A"/>
        </w:rPr>
        <w:t xml:space="preserve">Následující tabulka 2 uvádí část tabulky 14 popisovaného dokumentu stanovující položky výčtového typu </w:t>
      </w:r>
      <w:proofErr w:type="spellStart"/>
      <w:r>
        <w:rPr>
          <w:rFonts w:eastAsia="Arial" w:cs="Arial"/>
          <w:color w:val="5A5A5A"/>
        </w:rPr>
        <w:t>R</w:t>
      </w:r>
      <w:r>
        <w:rPr>
          <w:rFonts w:eastAsia="Arial" w:cs="Arial"/>
          <w:color w:val="5A5A5A"/>
        </w:rPr>
        <w:t>e</w:t>
      </w:r>
      <w:r>
        <w:rPr>
          <w:rFonts w:eastAsia="Arial" w:cs="Arial"/>
          <w:color w:val="5A5A5A"/>
        </w:rPr>
        <w:t>portType</w:t>
      </w:r>
      <w:proofErr w:type="spellEnd"/>
      <w:r>
        <w:rPr>
          <w:rFonts w:eastAsia="Arial" w:cs="Arial"/>
          <w:color w:val="5A5A5A"/>
        </w:rPr>
        <w:t xml:space="preserve">. </w:t>
      </w:r>
    </w:p>
    <w:p w:rsidR="0080255D" w:rsidRDefault="0080255D">
      <w:pPr>
        <w:rPr>
          <w:rFonts w:eastAsia="Arial"/>
          <w:b/>
        </w:rPr>
      </w:pPr>
      <w:r>
        <w:rPr>
          <w:rFonts w:eastAsia="Arial"/>
        </w:rPr>
        <w:br w:type="page"/>
      </w:r>
    </w:p>
    <w:p w:rsidR="0080255D" w:rsidRDefault="0080255D" w:rsidP="0080255D">
      <w:pPr>
        <w:pStyle w:val="NadpisTabObr"/>
        <w:rPr>
          <w:rFonts w:eastAsia="Arial"/>
        </w:rPr>
      </w:pPr>
      <w:r>
        <w:rPr>
          <w:rFonts w:eastAsia="Arial"/>
        </w:rPr>
        <w:lastRenderedPageBreak/>
        <w:t xml:space="preserve">Tabulka 2 – Příklad části </w:t>
      </w:r>
      <w:r w:rsidRPr="0080255D">
        <w:rPr>
          <w:rFonts w:eastAsia="Arial"/>
        </w:rPr>
        <w:t>definice</w:t>
      </w:r>
      <w:r>
        <w:rPr>
          <w:rFonts w:eastAsia="Arial"/>
        </w:rPr>
        <w:t xml:space="preserve"> výčtového typu wea000:ReportType (část tabulky 14 normy)</w:t>
      </w:r>
    </w:p>
    <w:bookmarkStart w:id="8" w:name="_MON_1618059443"/>
    <w:bookmarkEnd w:id="8"/>
    <w:p w:rsidR="0080255D" w:rsidRDefault="00825DF1" w:rsidP="0080255D">
      <w:pPr>
        <w:pStyle w:val="Obrzek"/>
        <w:rPr>
          <w:rFonts w:eastAsia="Arial"/>
        </w:rPr>
      </w:pPr>
      <w:r>
        <w:rPr>
          <w:rFonts w:eastAsia="Arial"/>
        </w:rPr>
        <w:object w:dxaOrig="9070" w:dyaOrig="3302">
          <v:shape id="_x0000_i1026" type="#_x0000_t75" style="width:453.75pt;height:164.95pt" o:ole="">
            <v:imagedata r:id="rId14" o:title="" cropbottom="3376f"/>
          </v:shape>
          <o:OLEObject Type="Embed" ProgID="Word.Document.12" ShapeID="_x0000_i1026" DrawAspect="Content" ObjectID="_1618060154" r:id="rId15">
            <o:FieldCodes>\s</o:FieldCodes>
          </o:OLEObject>
        </w:objec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10 Literatura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kapitola uvádí pět (nečíslovaných) odkazů na v textu použité koncepty, odkaz na normu </w:t>
      </w:r>
      <w:proofErr w:type="gramStart"/>
      <w:r>
        <w:rPr>
          <w:rFonts w:eastAsia="Arial" w:cs="Arial"/>
          <w:color w:val="000000"/>
        </w:rPr>
        <w:t>TPEG2-TEC</w:t>
      </w:r>
      <w:r>
        <w:rPr>
          <w:rFonts w:eastAsia="Arial" w:cs="Arial"/>
        </w:rPr>
        <w:t>,</w:t>
      </w:r>
      <w:r>
        <w:rPr>
          <w:rFonts w:eastAsia="Arial" w:cs="Arial"/>
          <w:color w:val="000000"/>
        </w:rPr>
        <w:t xml:space="preserve">  případ</w:t>
      </w:r>
      <w:proofErr w:type="gramEnd"/>
      <w:r>
        <w:rPr>
          <w:rFonts w:eastAsia="Arial" w:cs="Arial"/>
          <w:color w:val="000000"/>
        </w:rPr>
        <w:t xml:space="preserve"> užití</w:t>
      </w:r>
      <w:r>
        <w:rPr>
          <w:rFonts w:eastAsia="Arial" w:cs="Arial"/>
        </w:rPr>
        <w:t xml:space="preserve"> TISA,</w:t>
      </w:r>
      <w:r>
        <w:rPr>
          <w:rFonts w:eastAsia="Arial" w:cs="Arial"/>
          <w:color w:val="000000"/>
        </w:rPr>
        <w:t xml:space="preserve"> zdroj pro SYNOP a další.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Příloha A (normativní) – TPEG-bin reprezentace 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příloha (rozsah 12 stran) stanovuje binární reprezentaci aplikace pro informace o počasí (WEA) TPEG pro použití v DAB. Pro popis binární reprezentace je použit pseudokód, kde pro každé klíčové slovo zapsané stru</w:t>
      </w:r>
      <w:r>
        <w:rPr>
          <w:rFonts w:eastAsia="Arial" w:cs="Arial"/>
          <w:color w:val="000000"/>
        </w:rPr>
        <w:t>k</w:t>
      </w:r>
      <w:r>
        <w:rPr>
          <w:rFonts w:eastAsia="Arial" w:cs="Arial"/>
          <w:color w:val="000000"/>
        </w:rPr>
        <w:t>tury je znám jeho binární tvar.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Příloha obsahuje samostatně uvedené binární reprezentace rámce TPEG, zprávy WEA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>ů určených pro budoucí rozšíření a datových typů. Dále obsahuje identifikátory komponent zprávy a vysvětlení použití obecných atributů TPEG.</w:t>
      </w:r>
    </w:p>
    <w:p w:rsidR="00A26A91" w:rsidRPr="0080255D" w:rsidRDefault="00A26A91" w:rsidP="0080255D">
      <w:pPr>
        <w:pStyle w:val="NadpisTabObr"/>
        <w:rPr>
          <w:rFonts w:eastAsia="Arial"/>
        </w:rPr>
      </w:pPr>
      <w:r w:rsidRPr="0080255D">
        <w:rPr>
          <w:rFonts w:eastAsia="Arial"/>
        </w:rPr>
        <w:t xml:space="preserve">Tabulka 3 – Ukázka pseudokódu binární specifikace prvku </w:t>
      </w:r>
      <w:proofErr w:type="spellStart"/>
      <w:r w:rsidRPr="0080255D">
        <w:rPr>
          <w:rFonts w:eastAsia="Arial"/>
        </w:rPr>
        <w:t>WeatherInformation</w:t>
      </w:r>
      <w:proofErr w:type="spellEnd"/>
      <w:r w:rsidRPr="0080255D">
        <w:rPr>
          <w:rFonts w:eastAsia="Arial"/>
        </w:rPr>
        <w:t xml:space="preserve"> (tabulka 45 normy)</w:t>
      </w:r>
    </w:p>
    <w:p w:rsidR="004B0A72" w:rsidRDefault="004B0A72" w:rsidP="0080255D">
      <w:pPr>
        <w:pStyle w:val="Obrzek"/>
        <w:rPr>
          <w:rFonts w:eastAsia="Arial" w:cs="Arial"/>
          <w:b/>
          <w:color w:val="000000"/>
          <w:sz w:val="18"/>
          <w:szCs w:val="18"/>
        </w:rPr>
      </w:pPr>
      <w:r w:rsidRPr="0080255D">
        <w:rPr>
          <w:rFonts w:eastAsia="Arial"/>
          <w:noProof/>
          <w:lang w:val="en-US" w:eastAsia="en-US"/>
        </w:rPr>
        <w:drawing>
          <wp:inline distT="0" distB="0" distL="0" distR="0" wp14:anchorId="3D03E569" wp14:editId="5984AF3B">
            <wp:extent cx="6124575" cy="2232660"/>
            <wp:effectExtent l="0" t="0" r="0" b="0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Příloha B (normativní) – TPEG-ML reprezentace WEA</w:t>
      </w:r>
    </w:p>
    <w:p w:rsidR="004B0A72" w:rsidRDefault="00A26A91" w:rsidP="004B0A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příloha (rozsah 22 stran) obsahuje nejprve samostatně uvedené XML schéma rámce TPEG, zprávy WEA a jejích součástí,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 xml:space="preserve">ů určených pro budoucí rozšíření a datových typů a tabulek WEA (definovaných jako </w:t>
      </w:r>
      <w:proofErr w:type="spellStart"/>
      <w:r>
        <w:rPr>
          <w:rFonts w:eastAsia="Arial" w:cs="Arial"/>
          <w:color w:val="000000"/>
        </w:rPr>
        <w:t>xs:complexType</w:t>
      </w:r>
      <w:proofErr w:type="spellEnd"/>
      <w:r>
        <w:rPr>
          <w:rFonts w:eastAsia="Arial" w:cs="Arial"/>
          <w:color w:val="000000"/>
        </w:rPr>
        <w:t xml:space="preserve">). Následně uvádí výše zmíněné </w:t>
      </w:r>
      <w:r>
        <w:rPr>
          <w:rFonts w:eastAsia="Arial" w:cs="Arial"/>
        </w:rPr>
        <w:t xml:space="preserve">samostatně uvedené XML schémata </w:t>
      </w:r>
      <w:r>
        <w:rPr>
          <w:rFonts w:eastAsia="Arial" w:cs="Arial"/>
          <w:color w:val="000000"/>
        </w:rPr>
        <w:t xml:space="preserve">v jednom funkčním XML schématu. </w:t>
      </w:r>
    </w:p>
    <w:p w:rsidR="004B0A72" w:rsidRDefault="004B0A72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</w:p>
    <w:p w:rsidR="004B0A72" w:rsidRDefault="004B0A72" w:rsidP="0080255D">
      <w:pPr>
        <w:pStyle w:val="Obrzek"/>
        <w:rPr>
          <w:rFonts w:eastAsia="Arial" w:cs="Arial"/>
          <w:color w:val="000000"/>
        </w:rPr>
      </w:pPr>
      <w:r w:rsidRPr="0080255D">
        <w:rPr>
          <w:rFonts w:eastAsia="Arial"/>
          <w:noProof/>
          <w:lang w:val="en-US" w:eastAsia="en-US"/>
        </w:rPr>
        <w:lastRenderedPageBreak/>
        <w:drawing>
          <wp:inline distT="0" distB="0" distL="0" distR="0" wp14:anchorId="0D6EAE40" wp14:editId="6A1F7689">
            <wp:extent cx="6124575" cy="1329055"/>
            <wp:effectExtent l="0" t="0" r="9525" b="4445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A91" w:rsidRDefault="00A26A91" w:rsidP="004B0A72">
      <w:pPr>
        <w:pStyle w:val="NadpisTabObr"/>
        <w:rPr>
          <w:rFonts w:eastAsia="Arial"/>
          <w:sz w:val="22"/>
          <w:szCs w:val="22"/>
        </w:rPr>
      </w:pPr>
      <w:r>
        <w:rPr>
          <w:rFonts w:eastAsia="Arial"/>
        </w:rPr>
        <w:t xml:space="preserve">Obrázek 3 – Výstřižek schématu XSD stanovujícího strukturu prvku </w:t>
      </w:r>
      <w:proofErr w:type="spellStart"/>
      <w:r>
        <w:rPr>
          <w:rFonts w:eastAsia="Arial"/>
        </w:rPr>
        <w:t>WeatherInformation</w:t>
      </w:r>
      <w:proofErr w:type="spellEnd"/>
      <w:r>
        <w:rPr>
          <w:rFonts w:eastAsia="Arial"/>
        </w:rPr>
        <w:t xml:space="preserve"> </w:t>
      </w:r>
    </w:p>
    <w:p w:rsidR="00A26A91" w:rsidRDefault="00A26A91" w:rsidP="004B0A72">
      <w:pPr>
        <w:pStyle w:val="Nadpiskapitoly"/>
        <w:rPr>
          <w:rFonts w:eastAsia="Arial"/>
        </w:rPr>
      </w:pPr>
      <w:r>
        <w:rPr>
          <w:rFonts w:eastAsia="Arial"/>
        </w:rPr>
        <w:t>Příloha C (informativní) – Příklady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Tato příloha (rozsah 5 stran, 6 obrázků) obsahuje </w:t>
      </w:r>
      <w:r>
        <w:rPr>
          <w:rFonts w:eastAsia="Arial" w:cs="Arial"/>
        </w:rPr>
        <w:t>tři</w:t>
      </w:r>
      <w:r>
        <w:rPr>
          <w:rFonts w:eastAsia="Arial" w:cs="Arial"/>
          <w:color w:val="000000"/>
        </w:rPr>
        <w:t xml:space="preserve"> příklady různých zpráv (prezentované jako UML objekty) a příklady jejich vizualizace v koncovém terminálu. </w:t>
      </w:r>
    </w:p>
    <w:p w:rsidR="00A26A91" w:rsidRDefault="00A26A91" w:rsidP="0080255D">
      <w:pPr>
        <w:pStyle w:val="Obrzek"/>
        <w:rPr>
          <w:rFonts w:eastAsia="Arial"/>
        </w:rPr>
      </w:pPr>
      <w:r w:rsidRPr="004B0A72">
        <w:rPr>
          <w:rFonts w:eastAsia="Arial"/>
          <w:noProof/>
          <w:lang w:val="en-US" w:eastAsia="en-US"/>
        </w:rPr>
        <w:drawing>
          <wp:inline distT="0" distB="0" distL="114300" distR="114300" wp14:anchorId="5C145240" wp14:editId="12A456BE">
            <wp:extent cx="1400810" cy="297751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2977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0255D">
        <w:rPr>
          <w:rFonts w:eastAsia="Arial"/>
          <w:noProof/>
          <w:lang w:val="en-US" w:eastAsia="en-US"/>
        </w:rPr>
        <w:drawing>
          <wp:inline distT="0" distB="0" distL="114300" distR="114300" wp14:anchorId="45A0634E" wp14:editId="350E8E97">
            <wp:extent cx="4063365" cy="294767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294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6A91" w:rsidRDefault="00A26A91" w:rsidP="004B0A72">
      <w:pPr>
        <w:pStyle w:val="NadpisTabObr"/>
        <w:rPr>
          <w:rFonts w:eastAsia="Arial"/>
        </w:rPr>
      </w:pPr>
      <w:r>
        <w:rPr>
          <w:rFonts w:eastAsia="Arial"/>
        </w:rPr>
        <w:t>Obrázek 4 – Ukázka hierarchie propojování zpráv (koláž obrázků 5 a 7 normy)</w:t>
      </w:r>
    </w:p>
    <w:p w:rsidR="00A26A91" w:rsidRDefault="00A26A91" w:rsidP="00A26A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60" w:line="276" w:lineRule="auto"/>
        <w:jc w:val="both"/>
        <w:rPr>
          <w:rFonts w:eastAsia="Arial" w:cs="Arial"/>
          <w:b/>
          <w:color w:val="000000"/>
          <w:sz w:val="22"/>
          <w:szCs w:val="22"/>
        </w:rPr>
      </w:pPr>
      <w:r>
        <w:rPr>
          <w:rFonts w:eastAsia="Arial" w:cs="Arial"/>
          <w:b/>
          <w:color w:val="000000"/>
          <w:sz w:val="22"/>
          <w:szCs w:val="22"/>
        </w:rPr>
        <w:t>Příloha D (informativní) Návrh mapování kódů SYNOP do kódů TPEG-WEA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>Tato příloha (rozsah 4 strany, 1 tabulka) poskytuje návrh mapování jednotlivých kódů povrchových synoptických pozorování SYNOP světové meteorologické organizace WMO do kódů definovaných popisovaným dokume</w:t>
      </w:r>
      <w:r>
        <w:rPr>
          <w:rFonts w:eastAsia="Arial" w:cs="Arial"/>
          <w:color w:val="000000"/>
        </w:rPr>
        <w:t>n</w:t>
      </w:r>
      <w:r>
        <w:rPr>
          <w:rFonts w:eastAsia="Arial" w:cs="Arial"/>
          <w:color w:val="000000"/>
        </w:rPr>
        <w:t xml:space="preserve">tem. </w:t>
      </w:r>
    </w:p>
    <w:p w:rsidR="00A26A91" w:rsidRDefault="00A26A91" w:rsidP="00A26A91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eastAsia="Arial" w:cs="Arial"/>
          <w:color w:val="000000"/>
        </w:rPr>
      </w:pPr>
      <w:r>
        <w:rPr>
          <w:rFonts w:eastAsia="Arial" w:cs="Arial"/>
          <w:color w:val="000000"/>
        </w:rPr>
        <w:t xml:space="preserve">Tabulka 61 popisovaného dokumentu stanovuje mapování 100 kódů SYNOP do 7 typů popisujících 36 </w:t>
      </w:r>
      <w:r>
        <w:rPr>
          <w:rFonts w:eastAsia="Arial" w:cs="Arial"/>
        </w:rPr>
        <w:t>prvk</w:t>
      </w:r>
      <w:r>
        <w:rPr>
          <w:rFonts w:eastAsia="Arial" w:cs="Arial"/>
          <w:color w:val="000000"/>
        </w:rPr>
        <w:t>ů, někdy s nastavitelným kvantifikátorem. Viz následující obrázek.</w:t>
      </w:r>
    </w:p>
    <w:p w:rsidR="00A26A91" w:rsidRDefault="00A26A91" w:rsidP="0080255D">
      <w:pPr>
        <w:pStyle w:val="Obrzek"/>
        <w:rPr>
          <w:rFonts w:eastAsia="Arial"/>
        </w:rPr>
      </w:pPr>
      <w:r w:rsidRPr="0080255D">
        <w:rPr>
          <w:rFonts w:eastAsia="Arial"/>
          <w:noProof/>
          <w:lang w:val="en-US" w:eastAsia="en-US"/>
        </w:rPr>
        <w:drawing>
          <wp:inline distT="0" distB="0" distL="114300" distR="114300" wp14:anchorId="5DBB767C" wp14:editId="7BBD5FEA">
            <wp:extent cx="5757545" cy="198945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98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D4C50" w:rsidRPr="00A14059" w:rsidRDefault="00A26A91" w:rsidP="00825DF1">
      <w:pPr>
        <w:pStyle w:val="NadpisTabObr"/>
      </w:pPr>
      <w:r w:rsidRPr="0080255D">
        <w:rPr>
          <w:rFonts w:eastAsia="Arial"/>
        </w:rPr>
        <w:t>Obrázek 5 – Ukázka mapování SYNOP do TPEG2-WEA (výstřižek tabulky 61 normy)</w:t>
      </w:r>
    </w:p>
    <w:sectPr w:rsidR="006D4C50" w:rsidRPr="00A14059" w:rsidSect="00BB78B4">
      <w:footerReference w:type="even" r:id="rId21"/>
      <w:footerReference w:type="default" r:id="rId22"/>
      <w:footerReference w:type="first" r:id="rId23"/>
      <w:pgSz w:w="11907" w:h="16840" w:code="9"/>
      <w:pgMar w:top="1134" w:right="964" w:bottom="1134" w:left="1021" w:header="567" w:footer="34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ABD" w:rsidRDefault="00B86ABD">
      <w:r>
        <w:separator/>
      </w:r>
    </w:p>
  </w:endnote>
  <w:endnote w:type="continuationSeparator" w:id="0">
    <w:p w:rsidR="00B86ABD" w:rsidRDefault="00B8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ont293">
    <w:altName w:val="Times New Roman"/>
    <w:charset w:val="EE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F609E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F609E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48E3" w:rsidRDefault="00C648E3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ABD" w:rsidRDefault="00B86ABD">
      <w:r>
        <w:separator/>
      </w:r>
    </w:p>
  </w:footnote>
  <w:footnote w:type="continuationSeparator" w:id="0">
    <w:p w:rsidR="00B86ABD" w:rsidRDefault="00B86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>
    <w:nsid w:val="266357D3"/>
    <w:multiLevelType w:val="multilevel"/>
    <w:tmpl w:val="0BA05D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>
    <w:nsid w:val="277A397F"/>
    <w:multiLevelType w:val="multilevel"/>
    <w:tmpl w:val="06E0F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u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u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u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7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8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0">
    <w:nsid w:val="6E155DC0"/>
    <w:multiLevelType w:val="multilevel"/>
    <w:tmpl w:val="A2B0B74C"/>
    <w:lvl w:ilvl="0">
      <w:start w:val="1"/>
      <w:numFmt w:val="bullet"/>
      <w:lvlText w:val="●"/>
      <w:lvlJc w:val="left"/>
      <w:pPr>
        <w:ind w:left="720" w:firstLine="108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1">
      <w:start w:val="1"/>
      <w:numFmt w:val="bullet"/>
      <w:lvlText w:val="•"/>
      <w:lvlJc w:val="left"/>
      <w:pPr>
        <w:ind w:left="1440" w:firstLine="252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396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4">
      <w:start w:val="1"/>
      <w:numFmt w:val="bullet"/>
      <w:lvlText w:val="•"/>
      <w:lvlJc w:val="left"/>
      <w:pPr>
        <w:ind w:left="3600" w:firstLine="684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828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7">
      <w:start w:val="1"/>
      <w:numFmt w:val="bullet"/>
      <w:lvlText w:val="•"/>
      <w:lvlJc w:val="left"/>
      <w:pPr>
        <w:ind w:left="5760" w:firstLine="11160"/>
      </w:pPr>
      <w:rPr>
        <w:rFonts w:ascii="Noto Sans Symbols" w:eastAsia="Noto Sans Symbols" w:hAnsi="Noto Sans Symbols" w:cs="Noto Sans Symbols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12600"/>
      </w:pPr>
      <w:rPr>
        <w:rFonts w:ascii="Noto Sans Symbols" w:eastAsia="Noto Sans Symbols" w:hAnsi="Noto Sans Symbols" w:cs="Noto Sans Symbols"/>
        <w:u w:val="none"/>
        <w:vertAlign w:val="baseline"/>
      </w:rPr>
    </w:lvl>
  </w:abstractNum>
  <w:abstractNum w:abstractNumId="21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>
    <w:abstractNumId w:val="9"/>
  </w:num>
  <w:num w:numId="2">
    <w:abstractNumId w:val="17"/>
  </w:num>
  <w:num w:numId="3">
    <w:abstractNumId w:val="19"/>
  </w:num>
  <w:num w:numId="4">
    <w:abstractNumId w:val="16"/>
  </w:num>
  <w:num w:numId="5">
    <w:abstractNumId w:val="10"/>
  </w:num>
  <w:num w:numId="6">
    <w:abstractNumId w:val="18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8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21"/>
    <w:lvlOverride w:ilvl="0">
      <w:startOverride w:val="1"/>
    </w:lvlOverride>
  </w:num>
  <w:num w:numId="19">
    <w:abstractNumId w:val="11"/>
  </w:num>
  <w:num w:numId="20">
    <w:abstractNumId w:val="12"/>
  </w:num>
  <w:num w:numId="21">
    <w:abstractNumId w:val="20"/>
  </w:num>
  <w:num w:numId="22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mirrorMargins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64C44"/>
    <w:rsid w:val="00176DDD"/>
    <w:rsid w:val="00177748"/>
    <w:rsid w:val="00196299"/>
    <w:rsid w:val="001A319F"/>
    <w:rsid w:val="001C3743"/>
    <w:rsid w:val="001D2A3C"/>
    <w:rsid w:val="001D4156"/>
    <w:rsid w:val="001E086C"/>
    <w:rsid w:val="001F609E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49BC"/>
    <w:rsid w:val="004461F3"/>
    <w:rsid w:val="004500BC"/>
    <w:rsid w:val="00452D0B"/>
    <w:rsid w:val="00462A2A"/>
    <w:rsid w:val="00472F48"/>
    <w:rsid w:val="00475928"/>
    <w:rsid w:val="00490BE9"/>
    <w:rsid w:val="00494DEB"/>
    <w:rsid w:val="004B0A72"/>
    <w:rsid w:val="004B3EED"/>
    <w:rsid w:val="004B60DF"/>
    <w:rsid w:val="004C13F5"/>
    <w:rsid w:val="004C6E9D"/>
    <w:rsid w:val="004D20EB"/>
    <w:rsid w:val="004E06E3"/>
    <w:rsid w:val="004F751B"/>
    <w:rsid w:val="00500E11"/>
    <w:rsid w:val="00520EA3"/>
    <w:rsid w:val="0052204A"/>
    <w:rsid w:val="00522861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B7A3A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108E8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0255D"/>
    <w:rsid w:val="0081556F"/>
    <w:rsid w:val="00825DF1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9E7FA1"/>
    <w:rsid w:val="00A14059"/>
    <w:rsid w:val="00A26A91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296F"/>
    <w:rsid w:val="00B86ABD"/>
    <w:rsid w:val="00B876A8"/>
    <w:rsid w:val="00B90A20"/>
    <w:rsid w:val="00B94E4C"/>
    <w:rsid w:val="00B969D7"/>
    <w:rsid w:val="00BB24EF"/>
    <w:rsid w:val="00BB402A"/>
    <w:rsid w:val="00BB78B4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648E3"/>
    <w:rsid w:val="00C746BB"/>
    <w:rsid w:val="00C7629D"/>
    <w:rsid w:val="00C802FB"/>
    <w:rsid w:val="00C93942"/>
    <w:rsid w:val="00C97059"/>
    <w:rsid w:val="00C97668"/>
    <w:rsid w:val="00CA1FB5"/>
    <w:rsid w:val="00CA69F3"/>
    <w:rsid w:val="00CA71AD"/>
    <w:rsid w:val="00CB1F73"/>
    <w:rsid w:val="00CB5518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34B6"/>
    <w:rsid w:val="00DE45DE"/>
    <w:rsid w:val="00E01005"/>
    <w:rsid w:val="00E048DB"/>
    <w:rsid w:val="00E1690A"/>
    <w:rsid w:val="00E25702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2847"/>
    <w:rsid w:val="00F73230"/>
    <w:rsid w:val="00F7428B"/>
    <w:rsid w:val="00F90C19"/>
    <w:rsid w:val="00F96DBF"/>
    <w:rsid w:val="00FB1A5C"/>
    <w:rsid w:val="00FB258B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E36D41"/>
    <w:rPr>
      <w:rFonts w:ascii="Arial" w:hAnsi="Arial"/>
      <w:lang w:val="cs-CZ" w:eastAsia="cs-CZ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  <w:lang w:val="x-none" w:eastAsia="x-none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  <w:rPr>
      <w:lang w:val="x-none" w:eastAsia="x-none"/>
    </w:r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  <w:rPr>
      <w:lang w:val="x-none" w:eastAsia="x-none"/>
    </w:r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  <w:rPr>
      <w:lang w:val="x-none" w:eastAsia="x-none"/>
    </w:r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  <w:rPr>
      <w:lang w:val="x-none" w:eastAsia="x-none"/>
    </w:r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  <w:rPr>
      <w:lang w:val="x-none" w:eastAsia="x-none"/>
    </w:r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  <w:rPr>
      <w:lang w:val="x-none" w:eastAsia="x-none"/>
    </w:r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  <w:rPr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E36D41"/>
    <w:pPr>
      <w:spacing w:after="120"/>
      <w:jc w:val="both"/>
    </w:pPr>
    <w:rPr>
      <w:rFonts w:ascii="Arial" w:hAnsi="Arial"/>
      <w:lang w:val="cs-CZ" w:eastAsia="cs-CZ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  <w:lang w:val="x-none" w:eastAsia="x-none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  <w:lang w:val="x-none" w:eastAsia="x-none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  <w:lang w:val="x-none" w:eastAsia="x-none"/>
    </w:rPr>
  </w:style>
  <w:style w:type="paragraph" w:styleId="Zkladntext">
    <w:name w:val="Body Text"/>
    <w:basedOn w:val="Normln"/>
    <w:link w:val="ZkladntextChar"/>
    <w:rsid w:val="00E36D41"/>
    <w:pPr>
      <w:spacing w:after="120"/>
    </w:pPr>
    <w:rPr>
      <w:lang w:val="x-none" w:eastAsia="x-none"/>
    </w:r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uiPriority w:val="99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uiPriority w:val="99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b/>
      <w:bCs/>
      <w:kern w:val="28"/>
      <w:sz w:val="32"/>
      <w:szCs w:val="32"/>
      <w:lang w:val="x-none" w:eastAsia="x-none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Subtitle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Emphasis"/>
    <w:qFormat/>
    <w:rsid w:val="005C34C0"/>
    <w:rPr>
      <w:i/>
      <w:iCs/>
    </w:rPr>
  </w:style>
  <w:style w:type="character" w:customStyle="1" w:styleId="TextnormyChar">
    <w:name w:val="Text normy Char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  <w:rPr>
      <w:lang w:val="x-none" w:eastAsia="x-none"/>
    </w:rPr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/>
      <w:sz w:val="16"/>
      <w:szCs w:val="16"/>
      <w:lang w:val="x-none" w:eastAsia="x-none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cs-CZ" w:eastAsia="cs-CZ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customStyle="1" w:styleId="3">
    <w:name w:val="3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2">
    <w:name w:val="2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table" w:customStyle="1" w:styleId="1">
    <w:name w:val="1"/>
    <w:basedOn w:val="Normlntabulka"/>
    <w:rsid w:val="00BB78B4"/>
    <w:pPr>
      <w:widowControl w:val="0"/>
    </w:pPr>
    <w:rPr>
      <w:color w:val="000000"/>
      <w:lang w:val="cs-CZ" w:eastAsia="cs-CZ"/>
    </w:rPr>
    <w:tblPr>
      <w:tblStyleRowBandSize w:val="1"/>
      <w:tblStyleColBandSize w:val="1"/>
      <w:tblInd w:w="0" w:type="nil"/>
    </w:tblPr>
  </w:style>
  <w:style w:type="paragraph" w:styleId="Odstavecseseznamem">
    <w:name w:val="List Paragraph"/>
    <w:basedOn w:val="Normln"/>
    <w:uiPriority w:val="34"/>
    <w:qFormat/>
    <w:rsid w:val="00BB78B4"/>
    <w:pPr>
      <w:widowControl w:val="0"/>
      <w:ind w:left="720"/>
      <w:contextualSpacing/>
    </w:pPr>
    <w:rPr>
      <w:rFonts w:ascii="Times New Roman" w:hAnsi="Times New Roman"/>
      <w:color w:val="000000"/>
    </w:rPr>
  </w:style>
  <w:style w:type="paragraph" w:customStyle="1" w:styleId="Standard">
    <w:name w:val="Standard"/>
    <w:rsid w:val="00B8296F"/>
    <w:pPr>
      <w:suppressAutoHyphens/>
      <w:autoSpaceDN w:val="0"/>
      <w:spacing w:after="120"/>
      <w:jc w:val="both"/>
      <w:textAlignment w:val="baseline"/>
    </w:pPr>
    <w:rPr>
      <w:rFonts w:ascii="Arial" w:eastAsia="Arial" w:hAnsi="Arial" w:cs="Arial"/>
      <w:kern w:val="3"/>
      <w:sz w:val="22"/>
      <w:szCs w:val="22"/>
      <w:lang w:val="cs-CZ" w:eastAsia="cs-CZ"/>
    </w:rPr>
  </w:style>
  <w:style w:type="paragraph" w:customStyle="1" w:styleId="Odstavecseseznamem1">
    <w:name w:val="Odstavec se seznamem1"/>
    <w:basedOn w:val="Normln"/>
    <w:rsid w:val="00B8296F"/>
    <w:pPr>
      <w:suppressAutoHyphens/>
      <w:spacing w:after="200" w:line="276" w:lineRule="auto"/>
      <w:ind w:left="720"/>
    </w:pPr>
    <w:rPr>
      <w:rFonts w:ascii="Calibri" w:eastAsia="SimSun" w:hAnsi="Calibri" w:cs="font293"/>
      <w:sz w:val="22"/>
      <w:szCs w:val="22"/>
      <w:lang w:val="sk-SK" w:eastAsia="ar-SA"/>
    </w:rPr>
  </w:style>
  <w:style w:type="paragraph" w:customStyle="1" w:styleId="Special">
    <w:name w:val="Special"/>
    <w:basedOn w:val="Normln"/>
    <w:next w:val="Normln"/>
    <w:rsid w:val="00B8296F"/>
    <w:pPr>
      <w:spacing w:after="240" w:line="230" w:lineRule="atLeast"/>
      <w:jc w:val="both"/>
    </w:pPr>
    <w:rPr>
      <w:rFonts w:eastAsia="Arial Unicode MS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Microsoft_Word_Document1.docx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6.e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package" Target="embeddings/Microsoft_Word_Document2.docx"/><Relationship Id="rId23" Type="http://schemas.openxmlformats.org/officeDocument/2006/relationships/footer" Target="footer3.xml"/><Relationship Id="rId10" Type="http://schemas.openxmlformats.org/officeDocument/2006/relationships/hyperlink" Target="http://www.itsterminology.org" TargetMode="Externa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emf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053AD-23C4-4447-B0D2-C0B173AA6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Normy15f.dot</Template>
  <TotalTime>25</TotalTime>
  <Pages>6</Pages>
  <Words>1540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11143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creator>Koutska Mila</dc:creator>
  <cp:lastModifiedBy>LenS</cp:lastModifiedBy>
  <cp:revision>5</cp:revision>
  <cp:lastPrinted>2019-04-29T13:37:00Z</cp:lastPrinted>
  <dcterms:created xsi:type="dcterms:W3CDTF">2019-04-29T13:48:00Z</dcterms:created>
  <dcterms:modified xsi:type="dcterms:W3CDTF">2019-04-29T14:22:00Z</dcterms:modified>
</cp:coreProperties>
</file>