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90A20" w:rsidRDefault="00B90A20" w:rsidP="00B90A20">
      <w:pPr>
        <w:pStyle w:val="esknorma"/>
      </w:pPr>
    </w:p>
    <w:p w:rsidR="00B90A20" w:rsidRDefault="00B90A20" w:rsidP="00B90A20">
      <w:pPr>
        <w:pStyle w:val="1Str1Rad"/>
        <w:tabs>
          <w:tab w:val="clear" w:pos="7371"/>
          <w:tab w:val="left" w:pos="7080"/>
        </w:tabs>
        <w:spacing w:after="60"/>
        <w:jc w:val="center"/>
        <w:rPr>
          <w:b/>
          <w:sz w:val="40"/>
          <w:szCs w:val="40"/>
        </w:rPr>
      </w:pPr>
      <w:r>
        <w:rPr>
          <w:b/>
          <w:sz w:val="40"/>
          <w:szCs w:val="40"/>
        </w:rPr>
        <w:t xml:space="preserve">EXTRAKT z technické </w:t>
      </w:r>
      <w:r w:rsidR="002D1B8A">
        <w:rPr>
          <w:b/>
          <w:sz w:val="40"/>
          <w:szCs w:val="40"/>
        </w:rPr>
        <w:t>specifikace</w:t>
      </w:r>
      <w:r>
        <w:rPr>
          <w:b/>
          <w:sz w:val="40"/>
          <w:szCs w:val="40"/>
        </w:rPr>
        <w:t xml:space="preserve"> ISO</w:t>
      </w:r>
      <w:r w:rsidR="00EB2801">
        <w:rPr>
          <w:b/>
          <w:sz w:val="40"/>
          <w:szCs w:val="40"/>
        </w:rPr>
        <w:t xml:space="preserve"> </w:t>
      </w:r>
    </w:p>
    <w:p w:rsidR="00B90A20" w:rsidRDefault="00B90A20" w:rsidP="00B90A20">
      <w:pPr>
        <w:pStyle w:val="esknorma"/>
        <w:spacing w:after="60"/>
        <w:rPr>
          <w:b/>
          <w:sz w:val="20"/>
        </w:rPr>
      </w:pPr>
      <w:r>
        <w:rPr>
          <w:b/>
          <w:sz w:val="20"/>
        </w:rPr>
        <w:t>Extrakt nenahrazuje samotnou technickou normu, je pouze informativním materiálem o normě.</w:t>
      </w:r>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B90A20" w:rsidTr="00DE34B6">
        <w:trPr>
          <w:cantSplit/>
          <w:trHeight w:val="1701"/>
        </w:trPr>
        <w:tc>
          <w:tcPr>
            <w:tcW w:w="7371" w:type="dxa"/>
          </w:tcPr>
          <w:p w:rsidR="00B90A20" w:rsidRPr="00B013D8" w:rsidRDefault="002D1B8A" w:rsidP="002D1B8A">
            <w:pPr>
              <w:pStyle w:val="1StrNN-4-4"/>
              <w:rPr>
                <w:szCs w:val="28"/>
              </w:rPr>
            </w:pPr>
            <w:r>
              <w:t xml:space="preserve">Inteligentní dopravní systémy – </w:t>
            </w:r>
            <w:r>
              <w:br/>
              <w:t>Dopravní a cestovní informace v dopravním protokolu expertní skupiny, druhá generace (TPEG2) – Část 9: Informace o službách a síti</w:t>
            </w:r>
          </w:p>
        </w:tc>
        <w:tc>
          <w:tcPr>
            <w:tcW w:w="2552" w:type="dxa"/>
          </w:tcPr>
          <w:p w:rsidR="00B90A20" w:rsidRDefault="00B90A20" w:rsidP="00DE34B6">
            <w:pPr>
              <w:pStyle w:val="1StrCN"/>
            </w:pPr>
          </w:p>
          <w:p w:rsidR="00B90A20" w:rsidRPr="001265B9" w:rsidRDefault="002D1B8A" w:rsidP="00DE34B6">
            <w:pPr>
              <w:pStyle w:val="1StrCN"/>
              <w:rPr>
                <w:b w:val="0"/>
              </w:rPr>
            </w:pPr>
            <w:r w:rsidRPr="002D1B8A">
              <w:t>ISO/TS 21219-9</w:t>
            </w:r>
            <w:r w:rsidR="00B90A20">
              <w:br/>
            </w:r>
            <w:r w:rsidR="00B90A20" w:rsidRPr="001265B9">
              <w:t xml:space="preserve"> </w:t>
            </w:r>
          </w:p>
          <w:p w:rsidR="00B90A20" w:rsidRPr="00373277" w:rsidRDefault="002D1B8A" w:rsidP="00DE34B6">
            <w:pPr>
              <w:pStyle w:val="1StrTrZn"/>
            </w:pPr>
            <w:r w:rsidRPr="002D1B8A">
              <w:t>01 8259</w:t>
            </w:r>
          </w:p>
        </w:tc>
      </w:tr>
    </w:tbl>
    <w:p w:rsidR="002D1B8A" w:rsidRDefault="00B90A20" w:rsidP="002D1B8A">
      <w:pPr>
        <w:keepNext/>
        <w:keepLines/>
        <w:tabs>
          <w:tab w:val="right" w:pos="9923"/>
        </w:tabs>
        <w:spacing w:before="240" w:after="360"/>
        <w:jc w:val="right"/>
        <w:rPr>
          <w:sz w:val="28"/>
          <w:szCs w:val="28"/>
        </w:rPr>
      </w:pPr>
      <w:r>
        <w:tab/>
      </w:r>
      <w:r w:rsidR="002D1B8A">
        <w:rPr>
          <w:sz w:val="28"/>
          <w:szCs w:val="28"/>
        </w:rPr>
        <w:t>Vydána 201</w:t>
      </w:r>
      <w:r w:rsidR="00F13173">
        <w:rPr>
          <w:sz w:val="28"/>
          <w:szCs w:val="28"/>
        </w:rPr>
        <w:t>6</w:t>
      </w:r>
      <w:r w:rsidR="002D1B8A">
        <w:rPr>
          <w:sz w:val="28"/>
          <w:szCs w:val="28"/>
        </w:rPr>
        <w:t xml:space="preserve">, </w:t>
      </w:r>
      <w:r w:rsidR="00FD4FFA">
        <w:rPr>
          <w:sz w:val="28"/>
          <w:szCs w:val="28"/>
        </w:rPr>
        <w:t>62</w:t>
      </w:r>
      <w:r w:rsidR="002D1B8A">
        <w:rPr>
          <w:sz w:val="28"/>
          <w:szCs w:val="28"/>
        </w:rPr>
        <w:t xml:space="preserve"> stran</w:t>
      </w:r>
    </w:p>
    <w:p w:rsidR="002D1B8A" w:rsidRDefault="002D1B8A" w:rsidP="002D1B8A">
      <w:pPr>
        <w:pStyle w:val="Nadpis1"/>
      </w:pPr>
      <w:bookmarkStart w:id="0" w:name="_GoBack"/>
      <w:bookmarkEnd w:id="0"/>
    </w:p>
    <w:p w:rsidR="002D1B8A" w:rsidRDefault="002D1B8A" w:rsidP="002D1B8A">
      <w:pPr>
        <w:pStyle w:val="Nadpis1"/>
      </w:pPr>
      <w:proofErr w:type="spellStart"/>
      <w:r>
        <w:t>Úvod</w:t>
      </w:r>
      <w:proofErr w:type="spellEnd"/>
    </w:p>
    <w:p w:rsidR="002D1B8A" w:rsidRDefault="002D1B8A" w:rsidP="002D1B8A">
      <w:pPr>
        <w:spacing w:after="120"/>
        <w:jc w:val="both"/>
      </w:pPr>
      <w:r>
        <w:t xml:space="preserve">Technická specifikace ISO 21219 se zabývá druhou generací protokolu TPEG pro </w:t>
      </w:r>
      <w:r>
        <w:rPr>
          <w:b/>
        </w:rPr>
        <w:t>poskytování informací o dopravě koncovým uživatelům</w:t>
      </w:r>
      <w:r>
        <w:t xml:space="preserve">, označovaným TPEG2. </w:t>
      </w:r>
    </w:p>
    <w:p w:rsidR="002D1B8A" w:rsidRDefault="002D1B8A" w:rsidP="002D1B8A">
      <w:pPr>
        <w:spacing w:after="120"/>
        <w:jc w:val="both"/>
      </w:pPr>
      <w:r>
        <w:t>ISO/TS 21219 obsahuje řadu částí, které pokrývají úvod, pravidla, “sady nástrojů” (</w:t>
      </w:r>
      <w:proofErr w:type="spellStart"/>
      <w:r>
        <w:t>toolkity</w:t>
      </w:r>
      <w:proofErr w:type="spellEnd"/>
      <w:r>
        <w:t>) a jednotlivé aplik</w:t>
      </w:r>
      <w:r>
        <w:t>a</w:t>
      </w:r>
      <w:r>
        <w:t>ce. TPEG2 je postaven na modelování v UML, se sadou základních pravidel stanovujících strategii modelování a pravidla konverze modelu do dvou fyzických formátů: binárního pro vysílání v DAB a XML pro šíření Intern</w:t>
      </w:r>
      <w:r>
        <w:t>e</w:t>
      </w:r>
      <w:r>
        <w:t>tem (části 2, 3, 4 normy). Pro snazší udržovatelnost specifikace se změny provádí pouze na úrovni obecného modelu v UML (XMI soubor) a následně pomocí automatizovaných nástrojů převádějí do popisů jednotlivých fyzických formátů (dokument s přílohami pro každý fyzický formát). Tato koncepční témata jsou řešena částmi, které se nazývají sady nástrojů (</w:t>
      </w:r>
      <w:proofErr w:type="spellStart"/>
      <w:r>
        <w:t>toolkity</w:t>
      </w:r>
      <w:proofErr w:type="spellEnd"/>
      <w:r>
        <w:t>).</w:t>
      </w:r>
    </w:p>
    <w:p w:rsidR="002D1B8A" w:rsidRDefault="002D1B8A" w:rsidP="002D1B8A">
      <w:pPr>
        <w:spacing w:after="120"/>
        <w:jc w:val="both"/>
      </w:pPr>
      <w:r>
        <w:t>TPEG2 stanovuje použití tří dílčích částí (kontejnerů): management zpráv (část 6 normy), dopravní aplikaci (mnoho částí) a odkazování na polohu (část 7 normy).</w:t>
      </w:r>
    </w:p>
    <w:p w:rsidR="002D1B8A" w:rsidRDefault="002D1B8A" w:rsidP="002D1B8A">
      <w:pPr>
        <w:spacing w:after="120"/>
        <w:jc w:val="both"/>
      </w:pPr>
      <w:r>
        <w:t>ISO/TS 21219 se skládá z těchto částí (tučně je zvýrazněna část popisovaná v tomto extraktu):</w:t>
      </w:r>
    </w:p>
    <w:p w:rsidR="002D1B8A" w:rsidRDefault="002D1B8A" w:rsidP="002D1B8A">
      <w:pPr>
        <w:numPr>
          <w:ilvl w:val="0"/>
          <w:numId w:val="42"/>
        </w:numPr>
        <w:pBdr>
          <w:top w:val="nil"/>
          <w:left w:val="nil"/>
          <w:bottom w:val="nil"/>
          <w:right w:val="nil"/>
          <w:between w:val="nil"/>
        </w:pBdr>
        <w:spacing w:after="120"/>
        <w:ind w:left="284" w:hanging="218"/>
        <w:jc w:val="both"/>
      </w:pPr>
      <w:proofErr w:type="spellStart"/>
      <w:r>
        <w:rPr>
          <w:b/>
        </w:rPr>
        <w:t>Toolkity</w:t>
      </w:r>
      <w:proofErr w:type="spellEnd"/>
      <w:r>
        <w:rPr>
          <w:b/>
        </w:rPr>
        <w:t xml:space="preserve"> </w:t>
      </w:r>
      <w:r>
        <w:t>(nástroje): TPEG2-INV (část 1: Úvod, číslování a verze), TPEG2-UML (část 2: Pravidla modelování pomocí UML), TPEG2-UBCR (část 3: Pravidla pro konverzi z UML do binárního kódu), TPEG2-UXCR (část 4: Pravidla pro konverzi UML do XML), TPEG2-SFW (část 5: Rámec pro služby TPEG), TPEG2-MMC (část 6: Kontejner pro management zpráv), TPEG2-LRC (část 7: Kontejner pro odkazování na polohu)</w:t>
      </w:r>
    </w:p>
    <w:p w:rsidR="002D1B8A" w:rsidRDefault="002D1B8A" w:rsidP="002D1B8A">
      <w:pPr>
        <w:numPr>
          <w:ilvl w:val="0"/>
          <w:numId w:val="42"/>
        </w:numPr>
        <w:pBdr>
          <w:top w:val="nil"/>
          <w:left w:val="nil"/>
          <w:bottom w:val="nil"/>
          <w:right w:val="nil"/>
          <w:between w:val="nil"/>
        </w:pBdr>
        <w:spacing w:after="120"/>
        <w:ind w:left="284" w:hanging="218"/>
        <w:jc w:val="both"/>
      </w:pPr>
      <w:r>
        <w:rPr>
          <w:b/>
        </w:rPr>
        <w:t>Speciální aplikace</w:t>
      </w:r>
      <w:r>
        <w:t xml:space="preserve">: </w:t>
      </w:r>
      <w:r>
        <w:rPr>
          <w:b/>
        </w:rPr>
        <w:t>TPEG2-SNI (část 9: Informace o službách a síti)</w:t>
      </w:r>
      <w:r>
        <w:t>, TPEG2-CAI (část 10: Informace o podmíněném přístupu), TPEG2-LTE (část 24: Slabé šifrování)</w:t>
      </w:r>
    </w:p>
    <w:p w:rsidR="002D1B8A" w:rsidRDefault="002D1B8A" w:rsidP="002D1B8A">
      <w:pPr>
        <w:numPr>
          <w:ilvl w:val="0"/>
          <w:numId w:val="42"/>
        </w:numPr>
        <w:pBdr>
          <w:top w:val="nil"/>
          <w:left w:val="nil"/>
          <w:bottom w:val="nil"/>
          <w:right w:val="nil"/>
          <w:between w:val="nil"/>
        </w:pBdr>
        <w:spacing w:after="120"/>
        <w:ind w:left="284" w:hanging="218"/>
        <w:jc w:val="both"/>
      </w:pPr>
      <w:r>
        <w:rPr>
          <w:b/>
        </w:rPr>
        <w:t>Odkazování na polohu</w:t>
      </w:r>
      <w:r>
        <w:t>: TPEG2-ULR (část 11: Odkazování na polohu v aplikacích), TPEG2-ETL (část 20: Odkazování na polohu metodou rozšířeného TMC), TPEG2-GLR (část 21: Geografické odkazování na pol</w:t>
      </w:r>
      <w:r>
        <w:t>o</w:t>
      </w:r>
      <w:r>
        <w:t xml:space="preserve">hu), TPEG2-OLR (část 22: Odkazování na polohu metodou </w:t>
      </w:r>
      <w:proofErr w:type="spellStart"/>
      <w:r>
        <w:t>OpenLR</w:t>
      </w:r>
      <w:proofErr w:type="spellEnd"/>
      <w:r>
        <w:t>)</w:t>
      </w:r>
    </w:p>
    <w:p w:rsidR="002D1B8A" w:rsidRDefault="002D1B8A" w:rsidP="002D1B8A">
      <w:pPr>
        <w:numPr>
          <w:ilvl w:val="0"/>
          <w:numId w:val="42"/>
        </w:numPr>
        <w:pBdr>
          <w:top w:val="nil"/>
          <w:left w:val="nil"/>
          <w:bottom w:val="nil"/>
          <w:right w:val="nil"/>
          <w:between w:val="nil"/>
        </w:pBdr>
        <w:spacing w:after="120"/>
        <w:ind w:left="284" w:hanging="218"/>
        <w:jc w:val="both"/>
      </w:pPr>
      <w:r>
        <w:rPr>
          <w:b/>
        </w:rPr>
        <w:t>Aplikace</w:t>
      </w:r>
      <w:r>
        <w:t>: TPEG2-RTM (část 12: Aplikace pro zprávy o silniční dopravě), TPEG2-PTI (část 13: Aplikace pro informace o veřejné dopravě), TPEG2-PKI (část 14: Aplikace pro informace o parkování), TPEG2-TEC (část 15: Aplikace pro vybrané dopravní události), TPEG2-FPI (část 16: Aplikace pro informace o cenách poho</w:t>
      </w:r>
      <w:r>
        <w:t>n</w:t>
      </w:r>
      <w:r>
        <w:t>ných hmot), TPEG2-SPI (část 17: Aplikace pro informace o rychlostních omezeních), TPEG2-TFP (část 18: Aplikace pro informace o stavu dopravního proudu a jeho predikci), TPEG2-WEA (část 19: Aplikace pro i</w:t>
      </w:r>
      <w:r>
        <w:t>n</w:t>
      </w:r>
      <w:r>
        <w:t>formace o počasí), TPEG2-RMR (část 23: Aplikace pro informace o multimodálních trasách), TPEG2-EMI (část 25: Nabíjecí infrastruktura pro elektromobily) a další.</w:t>
      </w:r>
    </w:p>
    <w:p w:rsidR="002D1B8A" w:rsidRDefault="002D1B8A" w:rsidP="002D1B8A">
      <w:pPr>
        <w:spacing w:after="120"/>
        <w:jc w:val="both"/>
      </w:pPr>
      <w:r>
        <w:t>Na rozdíl od RDS-TMC, které je svým způsobem popisu události jednoúrovňové, umožňuje TPEG informace členit strukturovaně se zvyšující se mírou detailu. Dopravní události popisuje TPEG úzkoprofilově, je vždy z</w:t>
      </w:r>
      <w:r>
        <w:t>a</w:t>
      </w:r>
      <w:r>
        <w:t>měřen na jeden konkrétní typ situací (například pro ceny pohonných hmot, dojezdové doby atd.), které popisuje do větší hloubky, každému typu je věnována samostatná část specifikace (tzv. ”aplikace TPEG”). Počet částí se stále rozšiřuje.</w:t>
      </w:r>
    </w:p>
    <w:p w:rsidR="002D1B8A" w:rsidRDefault="002D1B8A" w:rsidP="002D1B8A">
      <w:pPr>
        <w:spacing w:after="120"/>
        <w:jc w:val="both"/>
      </w:pPr>
      <w:r>
        <w:t>Rozlišení TPEG / TPEG1 / TPEG2 se většinou uvádí pouze v úvodu částí norem/specifikací, zatímco ostatní kapitoly již mezi TPEG a TPEG2 nerozlišují - to je implicitní dle kontextu. Stejným způsobem k tomu přistupuj</w:t>
      </w:r>
      <w:r>
        <w:t>e</w:t>
      </w:r>
      <w:r>
        <w:t>me i v tomto extraktu.</w:t>
      </w:r>
    </w:p>
    <w:p w:rsidR="002D1B8A" w:rsidRDefault="002D1B8A" w:rsidP="002D1B8A">
      <w:pPr>
        <w:spacing w:after="120"/>
        <w:jc w:val="both"/>
      </w:pPr>
      <w:r>
        <w:lastRenderedPageBreak/>
        <w:t>Tento extrakt popisuje část 9 „Informace o službách a síti” (dále jen “popisovaný dokument”), která stanovuje způsob indikace služeb dostupných ve vysílaném obsahu. Část těchto informací je určena pro prezentaci uživ</w:t>
      </w:r>
      <w:r>
        <w:t>a</w:t>
      </w:r>
      <w:r>
        <w:t>teli a část pro dekodér.</w:t>
      </w:r>
    </w:p>
    <w:p w:rsidR="002D1B8A" w:rsidRDefault="002D1B8A" w:rsidP="002D1B8A">
      <w:pPr>
        <w:spacing w:before="80" w:after="200"/>
        <w:jc w:val="both"/>
        <w:rPr>
          <w:sz w:val="18"/>
          <w:szCs w:val="18"/>
        </w:rPr>
      </w:pPr>
      <w:r>
        <w:rPr>
          <w:sz w:val="18"/>
          <w:szCs w:val="18"/>
        </w:rPr>
        <w:t>Poznámka: Extrakt přejímá původní číslování kapitol.</w:t>
      </w:r>
    </w:p>
    <w:p w:rsidR="002D1B8A" w:rsidRDefault="002D1B8A" w:rsidP="002D1B8A">
      <w:pPr>
        <w:pStyle w:val="Nadpis1"/>
      </w:pPr>
      <w:proofErr w:type="spellStart"/>
      <w:r>
        <w:t>Užití</w:t>
      </w:r>
      <w:proofErr w:type="spellEnd"/>
    </w:p>
    <w:p w:rsidR="002D1B8A" w:rsidRDefault="002D1B8A" w:rsidP="002D1B8A">
      <w:pPr>
        <w:spacing w:after="120"/>
        <w:jc w:val="both"/>
      </w:pPr>
      <w:r>
        <w:t>Popisovaný dokument uvádí strukturu a obsah informací o službě TPEG a síti pro vysílání v DAB (binární fo</w:t>
      </w:r>
      <w:r>
        <w:t>r</w:t>
      </w:r>
      <w:r>
        <w:t>ma) a pro šíření zpráv Internetem (XML). Všechny služby TPEG musí tuto povinnou komponentu rámce služby používat. Bez použití informací o službách a síti (SNI) by dekodér neměl informace o komponentách přijatého datového rámce a uživateli by nemohl být prezentován popis služby. Dále SNI umožňuje popisování přesahů a propojení stejných či podobných služeb na stejném či rozdílném médiu. Proto je popisovaná specifikace n</w:t>
      </w:r>
      <w:r>
        <w:t>e</w:t>
      </w:r>
      <w:r>
        <w:t xml:space="preserve">zbytná pro </w:t>
      </w:r>
      <w:r w:rsidRPr="00833B2C">
        <w:rPr>
          <w:b/>
        </w:rPr>
        <w:t>poskytovatele i příjemce dopravních informací</w:t>
      </w:r>
      <w:r>
        <w:t xml:space="preserve">, jejich programátory, kteří pracují se samotným formátem XML či programují datové proudy pro DAB. Popis SNI v popisovaném dokumentu je konkrétní a je určen k její implementaci. </w:t>
      </w:r>
    </w:p>
    <w:p w:rsidR="002D1B8A" w:rsidRDefault="002D1B8A" w:rsidP="002D1B8A">
      <w:pPr>
        <w:pStyle w:val="Nadpis1"/>
      </w:pPr>
      <w:proofErr w:type="spellStart"/>
      <w:r>
        <w:t>Souvisící</w:t>
      </w:r>
      <w:proofErr w:type="spellEnd"/>
      <w:r>
        <w:t xml:space="preserve"> </w:t>
      </w:r>
      <w:proofErr w:type="spellStart"/>
      <w:r>
        <w:t>normy</w:t>
      </w:r>
      <w:proofErr w:type="spellEnd"/>
      <w:r>
        <w:t xml:space="preserve"> (</w:t>
      </w:r>
      <w:proofErr w:type="spellStart"/>
      <w:r>
        <w:t>výběr</w:t>
      </w:r>
      <w:proofErr w:type="spellEnd"/>
      <w:r>
        <w:t>)</w:t>
      </w:r>
    </w:p>
    <w:p w:rsidR="002D1B8A" w:rsidRDefault="002D1B8A" w:rsidP="002D1B8A">
      <w:pPr>
        <w:spacing w:after="120"/>
        <w:jc w:val="both"/>
      </w:pPr>
      <w:r>
        <w:t xml:space="preserve">Klíčové normy, na které tento dokument odkazuje, jsou: specifikace TPEG2 části 1 až 6 a 9, dále normy ETSI stanovující rámec DAB, RDS, DVB, SWIFT a normu NRSC k HD Radiu.  </w:t>
      </w:r>
    </w:p>
    <w:p w:rsidR="002D1B8A" w:rsidRDefault="002D1B8A" w:rsidP="002D1B8A">
      <w:pPr>
        <w:pStyle w:val="Nadpis1"/>
      </w:pPr>
      <w:r>
        <w:t>1 </w:t>
      </w:r>
      <w:proofErr w:type="spellStart"/>
      <w:r>
        <w:t>Předmět</w:t>
      </w:r>
      <w:proofErr w:type="spellEnd"/>
    </w:p>
    <w:p w:rsidR="002D1B8A" w:rsidRDefault="002D1B8A" w:rsidP="002D1B8A">
      <w:pPr>
        <w:spacing w:after="120"/>
        <w:jc w:val="both"/>
      </w:pPr>
      <w:r>
        <w:t>Popisovaný dokument TPEG2-SNI zavádí způsob poskytování informací o službách a síti v rámci služby TPEG. Aplikace TPEG-SNI je navržena tak, aby umožnila efektivní a jazykově nezávislé poskytování informací o d</w:t>
      </w:r>
      <w:r>
        <w:t>o</w:t>
      </w:r>
      <w:r>
        <w:t xml:space="preserve">stupnosti stejné služby na jiném kanálu nebo podobných datech od jiného poskytovatele služeb. </w:t>
      </w:r>
    </w:p>
    <w:p w:rsidR="002D1B8A" w:rsidRDefault="002D1B8A" w:rsidP="002D1B8A">
      <w:pPr>
        <w:spacing w:after="120"/>
        <w:jc w:val="both"/>
      </w:pPr>
      <w:r>
        <w:t>Dokument popisuje řadu tabulek s informacemi, které poskytují komplexní možnosti popisu služeb, jejich čas</w:t>
      </w:r>
      <w:r>
        <w:t>o</w:t>
      </w:r>
      <w:r>
        <w:t>vání, obsah, zeměpisné pokrytí apod. Ve všech datových tocích TPEG je povinné uvádět tzv. GST (průvodní tabulky služby). Dále je možné oznamovat propojení obsahu mezi různými nosiči a službami.</w:t>
      </w:r>
    </w:p>
    <w:p w:rsidR="002D1B8A" w:rsidRDefault="002D1B8A" w:rsidP="002D1B8A">
      <w:pPr>
        <w:pStyle w:val="Nadpis1"/>
      </w:pPr>
      <w:r>
        <w:t>3 </w:t>
      </w:r>
      <w:proofErr w:type="spellStart"/>
      <w:r>
        <w:t>Termíny</w:t>
      </w:r>
      <w:proofErr w:type="spellEnd"/>
      <w:r>
        <w:t xml:space="preserve">, </w:t>
      </w:r>
      <w:proofErr w:type="spellStart"/>
      <w:r>
        <w:t>definice</w:t>
      </w:r>
      <w:proofErr w:type="spellEnd"/>
      <w:r>
        <w:t xml:space="preserve"> a </w:t>
      </w:r>
      <w:proofErr w:type="spellStart"/>
      <w:r>
        <w:t>zkratky</w:t>
      </w:r>
      <w:proofErr w:type="spellEnd"/>
    </w:p>
    <w:p w:rsidR="002D1B8A" w:rsidRDefault="002D1B8A" w:rsidP="002D1B8A">
      <w:pPr>
        <w:spacing w:after="120"/>
        <w:jc w:val="both"/>
      </w:pPr>
      <w:r>
        <w:t>Tato kapitola definuje 21 termínů. Většina se věnuje definici určitého typu tabulek s informacemi o službě či identifikaci té které služby či její komponenty. Klíčovými jsou tyto termíny:</w:t>
      </w:r>
    </w:p>
    <w:p w:rsidR="002D1B8A" w:rsidRDefault="002D1B8A" w:rsidP="002D1B8A">
      <w:pPr>
        <w:spacing w:after="120"/>
        <w:jc w:val="both"/>
      </w:pPr>
      <w:bookmarkStart w:id="1" w:name="_gjdgxs" w:colFirst="0" w:colLast="0"/>
      <w:bookmarkEnd w:id="1"/>
      <w:r>
        <w:rPr>
          <w:b/>
        </w:rPr>
        <w:t>průvodní tabulky služby</w:t>
      </w:r>
      <w:r>
        <w:t xml:space="preserve"> </w:t>
      </w:r>
      <w:r>
        <w:rPr>
          <w:i/>
        </w:rPr>
        <w:t>(</w:t>
      </w:r>
      <w:proofErr w:type="spellStart"/>
      <w:r>
        <w:rPr>
          <w:i/>
        </w:rPr>
        <w:t>guide</w:t>
      </w:r>
      <w:proofErr w:type="spellEnd"/>
      <w:r>
        <w:rPr>
          <w:i/>
        </w:rPr>
        <w:t xml:space="preserve"> to </w:t>
      </w:r>
      <w:proofErr w:type="spellStart"/>
      <w:r>
        <w:rPr>
          <w:i/>
        </w:rPr>
        <w:t>the</w:t>
      </w:r>
      <w:proofErr w:type="spellEnd"/>
      <w:r>
        <w:rPr>
          <w:i/>
        </w:rPr>
        <w:t xml:space="preserve"> </w:t>
      </w:r>
      <w:proofErr w:type="spellStart"/>
      <w:r>
        <w:rPr>
          <w:i/>
        </w:rPr>
        <w:t>service</w:t>
      </w:r>
      <w:proofErr w:type="spellEnd"/>
      <w:r>
        <w:rPr>
          <w:i/>
        </w:rPr>
        <w:t xml:space="preserve"> </w:t>
      </w:r>
      <w:proofErr w:type="spellStart"/>
      <w:r>
        <w:rPr>
          <w:i/>
        </w:rPr>
        <w:t>tables</w:t>
      </w:r>
      <w:proofErr w:type="spellEnd"/>
      <w:r>
        <w:rPr>
          <w:i/>
        </w:rPr>
        <w:t>)</w:t>
      </w:r>
      <w:r>
        <w:t xml:space="preserve"> – tabulky obsahující základní informace o službě jako například struktura služby, její načasování či popis obsahu</w:t>
      </w:r>
    </w:p>
    <w:p w:rsidR="002D1B8A" w:rsidRDefault="002D1B8A" w:rsidP="002D1B8A">
      <w:pPr>
        <w:spacing w:after="120"/>
        <w:jc w:val="both"/>
      </w:pPr>
      <w:bookmarkStart w:id="2" w:name="_30j0zll" w:colFirst="0" w:colLast="0"/>
      <w:bookmarkEnd w:id="2"/>
      <w:r>
        <w:rPr>
          <w:b/>
        </w:rPr>
        <w:t>služba</w:t>
      </w:r>
      <w:r>
        <w:t xml:space="preserve"> </w:t>
      </w:r>
      <w:r>
        <w:rPr>
          <w:i/>
        </w:rPr>
        <w:t>(</w:t>
      </w:r>
      <w:proofErr w:type="spellStart"/>
      <w:r>
        <w:rPr>
          <w:i/>
        </w:rPr>
        <w:t>service</w:t>
      </w:r>
      <w:proofErr w:type="spellEnd"/>
      <w:r>
        <w:rPr>
          <w:i/>
        </w:rPr>
        <w:t>)</w:t>
      </w:r>
      <w:r>
        <w:t xml:space="preserve"> – sbírka různých informačních toků (aplikací) logicky spojených a dodaných poskytovatelem služeb koncovému uživateli </w:t>
      </w:r>
    </w:p>
    <w:p w:rsidR="002D1B8A" w:rsidRDefault="002D1B8A" w:rsidP="002D1B8A">
      <w:pPr>
        <w:spacing w:after="120"/>
        <w:jc w:val="both"/>
      </w:pPr>
      <w:r>
        <w:rPr>
          <w:b/>
        </w:rPr>
        <w:t>aplikace</w:t>
      </w:r>
      <w:r>
        <w:t xml:space="preserve"> </w:t>
      </w:r>
      <w:r>
        <w:rPr>
          <w:i/>
        </w:rPr>
        <w:t>(</w:t>
      </w:r>
      <w:proofErr w:type="spellStart"/>
      <w:r>
        <w:rPr>
          <w:i/>
        </w:rPr>
        <w:t>application</w:t>
      </w:r>
      <w:proofErr w:type="spellEnd"/>
      <w:r>
        <w:rPr>
          <w:i/>
        </w:rPr>
        <w:t>)</w:t>
      </w:r>
      <w:r>
        <w:t xml:space="preserve"> – tok informací, který sám o sobě přináší výhodu (tj. může být "aplikován") koncovým uživatelem</w:t>
      </w:r>
    </w:p>
    <w:p w:rsidR="002D1B8A" w:rsidRDefault="002D1B8A" w:rsidP="002D1B8A">
      <w:pPr>
        <w:pStyle w:val="Nadpis1"/>
      </w:pPr>
      <w:r>
        <w:t>4 </w:t>
      </w:r>
      <w:proofErr w:type="spellStart"/>
      <w:r>
        <w:t>Zkratky</w:t>
      </w:r>
      <w:proofErr w:type="spellEnd"/>
    </w:p>
    <w:p w:rsidR="002D1B8A" w:rsidRDefault="002D1B8A" w:rsidP="002D1B8A">
      <w:pPr>
        <w:spacing w:after="120"/>
        <w:jc w:val="both"/>
      </w:pPr>
      <w:r>
        <w:t>Tato kapitola stanoví 35 zkratek. V kapitole jsou uvedeny pouze některé zkratky částí specifikace TPEG. Tyto zkratky uvádíme v úvodu tohoto extraktu, proto je zde dále neuvádíme.</w:t>
      </w:r>
    </w:p>
    <w:p w:rsidR="002D1B8A" w:rsidRDefault="002D1B8A" w:rsidP="002D1B8A">
      <w:pPr>
        <w:spacing w:after="120"/>
        <w:jc w:val="both"/>
      </w:pPr>
      <w:r>
        <w:rPr>
          <w:b/>
        </w:rPr>
        <w:t>TPEG</w:t>
      </w:r>
      <w:r>
        <w:tab/>
        <w:t xml:space="preserve">dopravní protokol expertní skupiny </w:t>
      </w:r>
      <w:r>
        <w:rPr>
          <w:i/>
        </w:rPr>
        <w:t xml:space="preserve">(transport </w:t>
      </w:r>
      <w:proofErr w:type="spellStart"/>
      <w:r>
        <w:rPr>
          <w:i/>
        </w:rPr>
        <w:t>protocol</w:t>
      </w:r>
      <w:proofErr w:type="spellEnd"/>
      <w:r>
        <w:rPr>
          <w:i/>
        </w:rPr>
        <w:t xml:space="preserve"> </w:t>
      </w:r>
      <w:proofErr w:type="spellStart"/>
      <w:r>
        <w:rPr>
          <w:i/>
        </w:rPr>
        <w:t>experts</w:t>
      </w:r>
      <w:proofErr w:type="spellEnd"/>
      <w:r>
        <w:rPr>
          <w:i/>
        </w:rPr>
        <w:t xml:space="preserve"> </w:t>
      </w:r>
      <w:proofErr w:type="spellStart"/>
      <w:r>
        <w:rPr>
          <w:i/>
        </w:rPr>
        <w:t>group</w:t>
      </w:r>
      <w:proofErr w:type="spellEnd"/>
      <w:r>
        <w:rPr>
          <w:i/>
        </w:rPr>
        <w:t>)</w:t>
      </w:r>
    </w:p>
    <w:p w:rsidR="002D1B8A" w:rsidRDefault="002D1B8A" w:rsidP="002D1B8A">
      <w:pPr>
        <w:spacing w:after="120"/>
        <w:jc w:val="both"/>
        <w:rPr>
          <w:i/>
        </w:rPr>
      </w:pPr>
      <w:r>
        <w:rPr>
          <w:b/>
        </w:rPr>
        <w:t>GST</w:t>
      </w:r>
      <w:r>
        <w:rPr>
          <w:b/>
        </w:rPr>
        <w:tab/>
      </w:r>
      <w:r>
        <w:t>průvodní</w:t>
      </w:r>
      <w:r>
        <w:rPr>
          <w:b/>
        </w:rPr>
        <w:t xml:space="preserve"> </w:t>
      </w:r>
      <w:r>
        <w:t>tabulky</w:t>
      </w:r>
      <w:r>
        <w:rPr>
          <w:b/>
        </w:rPr>
        <w:t xml:space="preserve"> </w:t>
      </w:r>
      <w:r>
        <w:t xml:space="preserve">služby </w:t>
      </w:r>
      <w:r>
        <w:rPr>
          <w:i/>
        </w:rPr>
        <w:t>(</w:t>
      </w:r>
      <w:proofErr w:type="spellStart"/>
      <w:r>
        <w:rPr>
          <w:i/>
        </w:rPr>
        <w:t>guide</w:t>
      </w:r>
      <w:proofErr w:type="spellEnd"/>
      <w:r>
        <w:rPr>
          <w:i/>
        </w:rPr>
        <w:t xml:space="preserve"> to </w:t>
      </w:r>
      <w:proofErr w:type="spellStart"/>
      <w:r>
        <w:rPr>
          <w:i/>
        </w:rPr>
        <w:t>service</w:t>
      </w:r>
      <w:proofErr w:type="spellEnd"/>
      <w:r>
        <w:rPr>
          <w:i/>
        </w:rPr>
        <w:t xml:space="preserve"> </w:t>
      </w:r>
      <w:proofErr w:type="spellStart"/>
      <w:r>
        <w:rPr>
          <w:i/>
        </w:rPr>
        <w:t>tables</w:t>
      </w:r>
      <w:proofErr w:type="spellEnd"/>
      <w:r>
        <w:rPr>
          <w:i/>
        </w:rPr>
        <w:t>)</w:t>
      </w:r>
    </w:p>
    <w:p w:rsidR="002D1B8A" w:rsidRDefault="002D1B8A" w:rsidP="002D1B8A">
      <w:pPr>
        <w:spacing w:after="120"/>
        <w:jc w:val="both"/>
        <w:rPr>
          <w:i/>
        </w:rPr>
      </w:pPr>
      <w:r>
        <w:rPr>
          <w:b/>
        </w:rPr>
        <w:t>SIT</w:t>
      </w:r>
      <w:r>
        <w:rPr>
          <w:b/>
        </w:rPr>
        <w:tab/>
      </w:r>
      <w:r>
        <w:t xml:space="preserve">tabulka informací o službě </w:t>
      </w:r>
      <w:r>
        <w:rPr>
          <w:i/>
        </w:rPr>
        <w:t>(</w:t>
      </w:r>
      <w:proofErr w:type="spellStart"/>
      <w:r>
        <w:rPr>
          <w:i/>
        </w:rPr>
        <w:t>service</w:t>
      </w:r>
      <w:proofErr w:type="spellEnd"/>
      <w:r>
        <w:rPr>
          <w:i/>
        </w:rPr>
        <w:t xml:space="preserve"> </w:t>
      </w:r>
      <w:proofErr w:type="spellStart"/>
      <w:r>
        <w:rPr>
          <w:i/>
        </w:rPr>
        <w:t>information</w:t>
      </w:r>
      <w:proofErr w:type="spellEnd"/>
      <w:r>
        <w:rPr>
          <w:i/>
        </w:rPr>
        <w:t xml:space="preserve"> table)</w:t>
      </w:r>
    </w:p>
    <w:p w:rsidR="002D1B8A" w:rsidRDefault="002D1B8A" w:rsidP="002D1B8A">
      <w:pPr>
        <w:spacing w:after="120"/>
        <w:jc w:val="both"/>
        <w:rPr>
          <w:i/>
        </w:rPr>
      </w:pPr>
      <w:r>
        <w:rPr>
          <w:b/>
        </w:rPr>
        <w:t>SCID</w:t>
      </w:r>
      <w:r>
        <w:rPr>
          <w:b/>
        </w:rPr>
        <w:tab/>
      </w:r>
      <w:r>
        <w:t xml:space="preserve">identifikace komponenty služby </w:t>
      </w:r>
      <w:r>
        <w:rPr>
          <w:i/>
        </w:rPr>
        <w:t>(</w:t>
      </w:r>
      <w:proofErr w:type="spellStart"/>
      <w:r>
        <w:rPr>
          <w:i/>
        </w:rPr>
        <w:t>service</w:t>
      </w:r>
      <w:proofErr w:type="spellEnd"/>
      <w:r>
        <w:rPr>
          <w:i/>
        </w:rPr>
        <w:t xml:space="preserve"> </w:t>
      </w:r>
      <w:proofErr w:type="spellStart"/>
      <w:r>
        <w:rPr>
          <w:i/>
        </w:rPr>
        <w:t>component</w:t>
      </w:r>
      <w:proofErr w:type="spellEnd"/>
      <w:r>
        <w:rPr>
          <w:i/>
        </w:rPr>
        <w:t xml:space="preserve"> </w:t>
      </w:r>
      <w:proofErr w:type="spellStart"/>
      <w:r>
        <w:rPr>
          <w:i/>
        </w:rPr>
        <w:t>identification</w:t>
      </w:r>
      <w:proofErr w:type="spellEnd"/>
      <w:r>
        <w:rPr>
          <w:i/>
        </w:rPr>
        <w:t>)</w:t>
      </w:r>
    </w:p>
    <w:p w:rsidR="002D1B8A" w:rsidRDefault="002D1B8A" w:rsidP="002D1B8A">
      <w:pPr>
        <w:spacing w:after="120"/>
        <w:jc w:val="both"/>
        <w:rPr>
          <w:i/>
        </w:rPr>
      </w:pPr>
      <w:r>
        <w:rPr>
          <w:b/>
        </w:rPr>
        <w:t>SNI</w:t>
      </w:r>
      <w:r>
        <w:rPr>
          <w:b/>
        </w:rPr>
        <w:tab/>
      </w:r>
      <w:r>
        <w:t xml:space="preserve">Informace o službách a síti </w:t>
      </w:r>
      <w:r>
        <w:rPr>
          <w:i/>
        </w:rPr>
        <w:t>(</w:t>
      </w:r>
      <w:proofErr w:type="spellStart"/>
      <w:r>
        <w:rPr>
          <w:i/>
        </w:rPr>
        <w:t>service</w:t>
      </w:r>
      <w:proofErr w:type="spellEnd"/>
      <w:r>
        <w:rPr>
          <w:i/>
        </w:rPr>
        <w:t xml:space="preserve"> and network </w:t>
      </w:r>
      <w:proofErr w:type="spellStart"/>
      <w:r>
        <w:rPr>
          <w:i/>
        </w:rPr>
        <w:t>identification</w:t>
      </w:r>
      <w:proofErr w:type="spellEnd"/>
      <w:r>
        <w:rPr>
          <w:i/>
        </w:rPr>
        <w:t>)</w:t>
      </w:r>
    </w:p>
    <w:p w:rsidR="002D1B8A" w:rsidRDefault="002D1B8A" w:rsidP="002D1B8A">
      <w:pPr>
        <w:spacing w:after="120"/>
        <w:jc w:val="both"/>
        <w:rPr>
          <w:i/>
        </w:rPr>
      </w:pPr>
      <w:r>
        <w:rPr>
          <w:b/>
        </w:rPr>
        <w:t>COID</w:t>
      </w:r>
      <w:r>
        <w:rPr>
          <w:b/>
        </w:rPr>
        <w:tab/>
      </w:r>
      <w:r>
        <w:t>identifikace obsahu</w:t>
      </w:r>
      <w:r>
        <w:rPr>
          <w:i/>
        </w:rPr>
        <w:t xml:space="preserve"> (</w:t>
      </w:r>
      <w:proofErr w:type="spellStart"/>
      <w:r>
        <w:rPr>
          <w:i/>
        </w:rPr>
        <w:t>content</w:t>
      </w:r>
      <w:proofErr w:type="spellEnd"/>
      <w:r>
        <w:rPr>
          <w:i/>
        </w:rPr>
        <w:t xml:space="preserve"> </w:t>
      </w:r>
      <w:proofErr w:type="spellStart"/>
      <w:r>
        <w:rPr>
          <w:i/>
        </w:rPr>
        <w:t>identification</w:t>
      </w:r>
      <w:proofErr w:type="spellEnd"/>
      <w:r>
        <w:t>)</w:t>
      </w:r>
    </w:p>
    <w:p w:rsidR="002D1B8A" w:rsidRDefault="002D1B8A" w:rsidP="002D1B8A">
      <w:pPr>
        <w:spacing w:after="120"/>
        <w:jc w:val="both"/>
        <w:rPr>
          <w:i/>
        </w:rPr>
      </w:pPr>
      <w:r>
        <w:rPr>
          <w:b/>
        </w:rPr>
        <w:t>AID</w:t>
      </w:r>
      <w:r>
        <w:rPr>
          <w:b/>
        </w:rPr>
        <w:tab/>
      </w:r>
      <w:r>
        <w:t>identifikace aplikace</w:t>
      </w:r>
      <w:r>
        <w:rPr>
          <w:b/>
        </w:rPr>
        <w:t xml:space="preserve"> </w:t>
      </w:r>
      <w:r>
        <w:t>(</w:t>
      </w:r>
      <w:proofErr w:type="spellStart"/>
      <w:r>
        <w:rPr>
          <w:i/>
        </w:rPr>
        <w:t>application</w:t>
      </w:r>
      <w:proofErr w:type="spellEnd"/>
      <w:r>
        <w:rPr>
          <w:i/>
        </w:rPr>
        <w:t xml:space="preserve"> </w:t>
      </w:r>
      <w:proofErr w:type="spellStart"/>
      <w:r>
        <w:rPr>
          <w:i/>
        </w:rPr>
        <w:t>identification</w:t>
      </w:r>
      <w:proofErr w:type="spellEnd"/>
      <w:r>
        <w:rPr>
          <w:i/>
        </w:rPr>
        <w:t>)</w:t>
      </w:r>
    </w:p>
    <w:p w:rsidR="002D1B8A" w:rsidRDefault="002D1B8A" w:rsidP="002D1B8A">
      <w:pPr>
        <w:spacing w:after="120"/>
        <w:jc w:val="both"/>
      </w:pPr>
      <w:r>
        <w:t>Další termíny a zkratky z oboru ITS jsou obsaženy ve slovníku ITS terminology (</w:t>
      </w:r>
      <w:hyperlink r:id="rId9">
        <w:r>
          <w:rPr>
            <w:color w:val="0000FF"/>
            <w:u w:val="single"/>
          </w:rPr>
          <w:t>www.itsterminology.org</w:t>
        </w:r>
      </w:hyperlink>
      <w:r>
        <w:t>).</w:t>
      </w:r>
    </w:p>
    <w:p w:rsidR="002D1B8A" w:rsidRDefault="002D1B8A" w:rsidP="002D1B8A">
      <w:pPr>
        <w:pStyle w:val="Nadpis1"/>
      </w:pPr>
      <w:r>
        <w:t>5 </w:t>
      </w:r>
      <w:proofErr w:type="spellStart"/>
      <w:r>
        <w:t>Podmínky</w:t>
      </w:r>
      <w:proofErr w:type="spellEnd"/>
      <w:r>
        <w:t xml:space="preserve"> a </w:t>
      </w:r>
      <w:proofErr w:type="spellStart"/>
      <w:r>
        <w:t>omezení</w:t>
      </w:r>
      <w:proofErr w:type="spellEnd"/>
      <w:r>
        <w:t xml:space="preserve"> </w:t>
      </w:r>
      <w:proofErr w:type="spellStart"/>
      <w:r>
        <w:t>aplikace</w:t>
      </w:r>
      <w:proofErr w:type="spellEnd"/>
    </w:p>
    <w:p w:rsidR="002D1B8A" w:rsidRDefault="002D1B8A" w:rsidP="002D1B8A">
      <w:pPr>
        <w:spacing w:after="120"/>
        <w:jc w:val="both"/>
      </w:pPr>
      <w:r>
        <w:t>Tato kapitola (rozsah 1 strana, 5 článků) nejprve vymezuje použití identifikátoru aplikace (AID) v rámci informací o službě, kdy každá „aplikace“ TPEG má svůj identifikátor stanovený v části TPEG-INV. AID je v TPEG2-SNI použit k indikaci jakým způsobem má dekodér pracovat s předávaným obsahem.</w:t>
      </w:r>
    </w:p>
    <w:p w:rsidR="002D1B8A" w:rsidRDefault="002D1B8A" w:rsidP="002D1B8A">
      <w:pPr>
        <w:spacing w:after="120"/>
        <w:jc w:val="both"/>
      </w:pPr>
      <w:r>
        <w:lastRenderedPageBreak/>
        <w:t>Dále se kapitola věnuje signalizaci verze aplikace. Verze je klíčová z pohledu dekodéru, jednotlivé verze stejné aplikace se totiž mohou od sebe lišit strukturou, obsahem, atp. Princip přidělování verzí je stanoven v popisovaném dokumentu.</w:t>
      </w:r>
    </w:p>
    <w:p w:rsidR="002D1B8A" w:rsidRDefault="002D1B8A" w:rsidP="002D1B8A">
      <w:pPr>
        <w:spacing w:after="120"/>
        <w:jc w:val="both"/>
      </w:pPr>
      <w:r>
        <w:t>Za zmínku stojí článek 5.3, který uvádí, že díky zachování binární kompatibility (v DAB) mezi formáty TPEG1 a TPEG2 nebylo možné plně automatizovaně použít pravidel pro konverzi mezi modelem a binární reprezentací. Odchylky od postupu stanoveného v TPEG2-UBCR jsou popsány v Příloze A.</w:t>
      </w:r>
    </w:p>
    <w:p w:rsidR="002D1B8A" w:rsidRDefault="002D1B8A" w:rsidP="002D1B8A">
      <w:pPr>
        <w:spacing w:after="120"/>
        <w:jc w:val="both"/>
      </w:pPr>
      <w:r>
        <w:t>SNI používá rámec komponent služby TPEG. V posledním článku je uveden konceptuální model multiplexu aplikací a služeb.</w:t>
      </w:r>
    </w:p>
    <w:p w:rsidR="002D1B8A" w:rsidRDefault="002D1B8A" w:rsidP="002D1B8A">
      <w:pPr>
        <w:pStyle w:val="Nadpis1"/>
      </w:pPr>
      <w:r>
        <w:t>6 </w:t>
      </w:r>
      <w:proofErr w:type="spellStart"/>
      <w:r>
        <w:t>Zásady</w:t>
      </w:r>
      <w:proofErr w:type="spellEnd"/>
      <w:r>
        <w:t xml:space="preserve"> </w:t>
      </w:r>
      <w:proofErr w:type="spellStart"/>
      <w:r>
        <w:t>návrhu</w:t>
      </w:r>
      <w:proofErr w:type="spellEnd"/>
    </w:p>
    <w:p w:rsidR="002D1B8A" w:rsidRDefault="002D1B8A" w:rsidP="002D1B8A">
      <w:pPr>
        <w:spacing w:after="120"/>
        <w:jc w:val="both"/>
      </w:pPr>
      <w:r>
        <w:t xml:space="preserve">Tato kapitola </w:t>
      </w:r>
      <w:r w:rsidR="00EB2801">
        <w:t xml:space="preserve">obsahuje čtyři články </w:t>
      </w:r>
      <w:r>
        <w:t xml:space="preserve">(rozsah 4 stran) </w:t>
      </w:r>
      <w:r w:rsidR="00EB2801">
        <w:t xml:space="preserve">a </w:t>
      </w:r>
      <w:r>
        <w:t xml:space="preserve">uvádí základní zásady návrhu služby (principy) a sadu pravidel. </w:t>
      </w:r>
    </w:p>
    <w:p w:rsidR="002D1B8A" w:rsidRDefault="002D1B8A" w:rsidP="002D1B8A">
      <w:pPr>
        <w:spacing w:after="120"/>
        <w:jc w:val="both"/>
      </w:pPr>
      <w:r>
        <w:t xml:space="preserve">První zásada stanovuje tzv. „proměnné odkazování na obsah“, tedy způsob jak (prostřednictvím </w:t>
      </w:r>
      <w:r>
        <w:rPr>
          <w:b/>
        </w:rPr>
        <w:t>SCID</w:t>
      </w:r>
      <w:r>
        <w:t>) identif</w:t>
      </w:r>
      <w:r>
        <w:t>i</w:t>
      </w:r>
      <w:r>
        <w:t>kovat obsah sdílený mezi více službami, kdy tyto služby mohou být národní, regionální, lokální či kombinace lokálních a regionálních atp. (viz obrázek 1).</w:t>
      </w:r>
    </w:p>
    <w:p w:rsidR="002D1B8A" w:rsidRDefault="002D1B8A" w:rsidP="002D1B8A">
      <w:pPr>
        <w:keepNext/>
        <w:spacing w:after="120"/>
        <w:jc w:val="both"/>
      </w:pPr>
      <w:r>
        <w:rPr>
          <w:noProof/>
          <w:lang w:val="en-US" w:eastAsia="en-US"/>
        </w:rPr>
        <w:drawing>
          <wp:inline distT="0" distB="0" distL="0" distR="0">
            <wp:extent cx="3115310" cy="2200910"/>
            <wp:effectExtent l="0" t="0" r="8890" b="8890"/>
            <wp:docPr id="12"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15310" cy="2200910"/>
                    </a:xfrm>
                    <a:prstGeom prst="rect">
                      <a:avLst/>
                    </a:prstGeom>
                    <a:noFill/>
                    <a:ln>
                      <a:noFill/>
                    </a:ln>
                  </pic:spPr>
                </pic:pic>
              </a:graphicData>
            </a:graphic>
          </wp:inline>
        </w:drawing>
      </w:r>
      <w:r>
        <w:t xml:space="preserve"> </w:t>
      </w:r>
      <w:r>
        <w:rPr>
          <w:noProof/>
          <w:lang w:val="en-US" w:eastAsia="en-US"/>
        </w:rPr>
        <w:drawing>
          <wp:anchor distT="0" distB="0" distL="114300" distR="114300" simplePos="0" relativeHeight="251659264" behindDoc="0" locked="0" layoutInCell="1" allowOverlap="1">
            <wp:simplePos x="0" y="0"/>
            <wp:positionH relativeFrom="margin">
              <wp:posOffset>2352040</wp:posOffset>
            </wp:positionH>
            <wp:positionV relativeFrom="paragraph">
              <wp:posOffset>404495</wp:posOffset>
            </wp:positionV>
            <wp:extent cx="3619500" cy="676275"/>
            <wp:effectExtent l="0" t="0" r="0" b="9525"/>
            <wp:wrapNone/>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19500" cy="6762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1B8A" w:rsidRDefault="002D1B8A" w:rsidP="00EB2801">
      <w:pPr>
        <w:pStyle w:val="NadpisTabObr"/>
      </w:pPr>
      <w:r>
        <w:t xml:space="preserve">Obrázek 1 – Jak použít identifikaci obsahu (SCID) sdíleného mezi službami (výřez obr. 2 dokumentu) </w:t>
      </w:r>
    </w:p>
    <w:p w:rsidR="00EB2801" w:rsidRDefault="00EB2801" w:rsidP="002D1B8A">
      <w:pPr>
        <w:spacing w:after="120"/>
        <w:jc w:val="both"/>
      </w:pPr>
    </w:p>
    <w:p w:rsidR="002D1B8A" w:rsidRDefault="002D1B8A" w:rsidP="002D1B8A">
      <w:pPr>
        <w:spacing w:after="120"/>
        <w:jc w:val="both"/>
      </w:pPr>
      <w:r>
        <w:t xml:space="preserve">Další zásada ukazuje použití aplikace SNI v proudu TPEG dat v jednom datovém rámci, kdy právě SNI přiřazuje jednotlivým komponentům rámce jejich význam (viz obrázek 2). </w:t>
      </w:r>
    </w:p>
    <w:p w:rsidR="002D1B8A" w:rsidRDefault="002D1B8A" w:rsidP="002D1B8A">
      <w:pPr>
        <w:spacing w:after="120"/>
        <w:jc w:val="both"/>
      </w:pPr>
      <w:r>
        <w:rPr>
          <w:noProof/>
          <w:lang w:val="en-US" w:eastAsia="en-US"/>
        </w:rPr>
        <w:drawing>
          <wp:inline distT="0" distB="0" distL="0" distR="0">
            <wp:extent cx="2998470" cy="1828800"/>
            <wp:effectExtent l="0" t="0" r="0" b="0"/>
            <wp:docPr id="1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8470" cy="1828800"/>
                    </a:xfrm>
                    <a:prstGeom prst="rect">
                      <a:avLst/>
                    </a:prstGeom>
                    <a:noFill/>
                    <a:ln>
                      <a:noFill/>
                    </a:ln>
                  </pic:spPr>
                </pic:pic>
              </a:graphicData>
            </a:graphic>
          </wp:inline>
        </w:drawing>
      </w:r>
      <w:r>
        <w:t xml:space="preserve"> </w:t>
      </w:r>
      <w:r>
        <w:rPr>
          <w:noProof/>
          <w:lang w:val="en-US" w:eastAsia="en-US"/>
        </w:rPr>
        <w:drawing>
          <wp:inline distT="0" distB="0" distL="0" distR="0">
            <wp:extent cx="2870835" cy="1765300"/>
            <wp:effectExtent l="0" t="0" r="5715" b="6350"/>
            <wp:docPr id="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835" cy="1765300"/>
                    </a:xfrm>
                    <a:prstGeom prst="rect">
                      <a:avLst/>
                    </a:prstGeom>
                    <a:noFill/>
                    <a:ln>
                      <a:noFill/>
                    </a:ln>
                  </pic:spPr>
                </pic:pic>
              </a:graphicData>
            </a:graphic>
          </wp:inline>
        </w:drawing>
      </w:r>
      <w:r>
        <w:rPr>
          <w:noProof/>
          <w:lang w:val="en-US" w:eastAsia="en-US"/>
        </w:rPr>
        <mc:AlternateContent>
          <mc:Choice Requires="wps">
            <w:drawing>
              <wp:anchor distT="0" distB="0" distL="114300" distR="114300" simplePos="0" relativeHeight="251660288" behindDoc="0" locked="0" layoutInCell="1" allowOverlap="1">
                <wp:simplePos x="0" y="0"/>
                <wp:positionH relativeFrom="margin">
                  <wp:posOffset>2743200</wp:posOffset>
                </wp:positionH>
                <wp:positionV relativeFrom="paragraph">
                  <wp:posOffset>965200</wp:posOffset>
                </wp:positionV>
                <wp:extent cx="587375" cy="301625"/>
                <wp:effectExtent l="0" t="19050" r="41275" b="41275"/>
                <wp:wrapNone/>
                <wp:docPr id="15" name="Šipka doprava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375" cy="301625"/>
                        </a:xfrm>
                        <a:prstGeom prst="rightArrow">
                          <a:avLst>
                            <a:gd name="adj1" fmla="val 50000"/>
                            <a:gd name="adj2" fmla="val 50000"/>
                          </a:avLst>
                        </a:prstGeom>
                        <a:solidFill>
                          <a:srgbClr val="4F81BD"/>
                        </a:solidFill>
                        <a:ln w="25400" cap="flat" cmpd="sng">
                          <a:solidFill>
                            <a:srgbClr val="395E89"/>
                          </a:solidFill>
                          <a:prstDash val="solid"/>
                          <a:round/>
                          <a:headEnd type="none" w="sm" len="sm"/>
                          <a:tailEnd type="none" w="sm" len="sm"/>
                        </a:ln>
                      </wps:spPr>
                      <wps:txbx>
                        <w:txbxContent>
                          <w:p w:rsidR="002D1B8A" w:rsidRDefault="002D1B8A" w:rsidP="002D1B8A">
                            <w:pPr>
                              <w:textDirection w:val="btLr"/>
                            </w:pPr>
                          </w:p>
                        </w:txbxContent>
                      </wps:txbx>
                      <wps:bodyPr spcFirstLastPara="1" wrap="square" lIns="91425" tIns="91425" rIns="91425" bIns="91425" anchor="ctr" anchorCtr="0"/>
                    </wps:wsp>
                  </a:graphicData>
                </a:graphic>
                <wp14:sizeRelH relativeFrom="page">
                  <wp14:pctWidth>0</wp14:pctWidth>
                </wp14:sizeRelH>
                <wp14:sizeRelV relativeFrom="page">
                  <wp14:pctHeight>0</wp14:pctHeight>
                </wp14:sizeRelV>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Šipka doprava 6" o:spid="_x0000_s1026" type="#_x0000_t13" style="position:absolute;left:0;text-align:left;margin-left:3in;margin-top:76pt;width:46.25pt;height:2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" adj="16054" fillcolor="#4f81bd" strokecolor="#395e89" strokeweight="2pt">
                <v:stroke startarrowwidth="narrow" startarrowlength="short" endarrowwidth="narrow" endarrowlength="short" joinstyle="round"/>
                <v:path arrowok="t"/>
                <v:textbox inset="2.53958mm,2.53958mm,2.53958mm,2.53958mm">
                  <w:txbxContent>
                    <w:p w:rsidR="002D1B8A" w:rsidRDefault="002D1B8A" w:rsidP="002D1B8A">
                      <w:pPr>
                        <w:textDirection w:val="btLr"/>
                      </w:pPr>
                    </w:p>
                  </w:txbxContent>
                </v:textbox>
                <w10:wrap anchorx="margin"/>
              </v:shape>
            </w:pict>
          </mc:Fallback>
        </mc:AlternateContent>
      </w:r>
      <w:r>
        <w:rPr>
          <w:noProof/>
          <w:lang w:val="en-US" w:eastAsia="en-US"/>
        </w:rPr>
        <mc:AlternateContent>
          <mc:Choice Requires="wps">
            <w:drawing>
              <wp:anchor distT="0" distB="0" distL="114300" distR="114300" simplePos="0" relativeHeight="251661312" behindDoc="0" locked="0" layoutInCell="1" allowOverlap="1">
                <wp:simplePos x="0" y="0"/>
                <wp:positionH relativeFrom="margin">
                  <wp:posOffset>619125</wp:posOffset>
                </wp:positionH>
                <wp:positionV relativeFrom="paragraph">
                  <wp:posOffset>85725</wp:posOffset>
                </wp:positionV>
                <wp:extent cx="1454785" cy="257175"/>
                <wp:effectExtent l="0" t="0" r="12065" b="28575"/>
                <wp:wrapNone/>
                <wp:docPr id="14"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54785" cy="257175"/>
                        </a:xfrm>
                        <a:prstGeom prst="rect">
                          <a:avLst/>
                        </a:prstGeom>
                        <a:solidFill>
                          <a:srgbClr val="F2DADA"/>
                        </a:solidFill>
                        <a:ln w="9525" cap="flat" cmpd="sng">
                          <a:solidFill>
                            <a:srgbClr val="000000"/>
                          </a:solidFill>
                          <a:prstDash val="solid"/>
                          <a:round/>
                          <a:headEnd type="none" w="sm" len="sm"/>
                          <a:tailEnd type="none" w="sm" len="sm"/>
                        </a:ln>
                      </wps:spPr>
                      <wps:txbx>
                        <w:txbxContent>
                          <w:p w:rsidR="002D1B8A" w:rsidRDefault="002D1B8A" w:rsidP="002D1B8A">
                            <w:pPr>
                              <w:textDirection w:val="btLr"/>
                            </w:pPr>
                            <w:r>
                              <w:t>PŘED dekódováním SNI</w:t>
                            </w:r>
                          </w:p>
                        </w:txbxContent>
                      </wps:txbx>
                      <wps:bodyPr spcFirstLastPara="1" wrap="square" lIns="91425" tIns="45700" rIns="91425" bIns="45700" anchor="t" anchorCtr="0"/>
                    </wps:wsp>
                  </a:graphicData>
                </a:graphic>
                <wp14:sizeRelH relativeFrom="page">
                  <wp14:pctWidth>0</wp14:pctWidth>
                </wp14:sizeRelH>
                <wp14:sizeRelV relativeFrom="page">
                  <wp14:pctHeight>0</wp14:pctHeight>
                </wp14:sizeRelV>
              </wp:anchor>
            </w:drawing>
          </mc:Choice>
          <mc:Fallback>
            <w:pict>
              <v:rect id="Obdélník 8" o:spid="_x0000_s1027" style="position:absolute;left:0;text-align:left;margin-left:48.75pt;margin-top:6.75pt;width:114.55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" fillcolor="#f2dada">
                <v:stroke startarrowwidth="narrow" startarrowlength="short" endarrowwidth="narrow" endarrowlength="short" joinstyle="round"/>
                <v:path arrowok="t"/>
                <v:textbox inset="2.53958mm,1.2694mm,2.53958mm,1.2694mm">
                  <w:txbxContent>
                    <w:p w:rsidR="002D1B8A" w:rsidRDefault="002D1B8A" w:rsidP="002D1B8A">
                      <w:pPr>
                        <w:textDirection w:val="btLr"/>
                      </w:pPr>
                      <w:r>
                        <w:t>PŘED dekódováním SNI</w:t>
                      </w:r>
                    </w:p>
                  </w:txbxContent>
                </v:textbox>
                <w10:wrap anchorx="margin"/>
              </v:rect>
            </w:pict>
          </mc:Fallback>
        </mc:AlternateContent>
      </w:r>
      <w:r>
        <w:rPr>
          <w:noProof/>
          <w:lang w:val="en-US" w:eastAsia="en-US"/>
        </w:rPr>
        <mc:AlternateContent>
          <mc:Choice Requires="wps">
            <w:drawing>
              <wp:anchor distT="0" distB="0" distL="114300" distR="114300" simplePos="0" relativeHeight="251662336" behindDoc="0" locked="0" layoutInCell="1" allowOverlap="1">
                <wp:simplePos x="0" y="0"/>
                <wp:positionH relativeFrom="margin">
                  <wp:posOffset>3876675</wp:posOffset>
                </wp:positionH>
                <wp:positionV relativeFrom="paragraph">
                  <wp:posOffset>85725</wp:posOffset>
                </wp:positionV>
                <wp:extent cx="1242695" cy="256540"/>
                <wp:effectExtent l="0" t="0" r="14605" b="10160"/>
                <wp:wrapNone/>
                <wp:docPr id="13" name="Obdélník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42695" cy="256540"/>
                        </a:xfrm>
                        <a:prstGeom prst="rect">
                          <a:avLst/>
                        </a:prstGeom>
                        <a:solidFill>
                          <a:srgbClr val="EAF1DD"/>
                        </a:solidFill>
                        <a:ln w="9525" cap="flat" cmpd="sng">
                          <a:solidFill>
                            <a:srgbClr val="000000"/>
                          </a:solidFill>
                          <a:prstDash val="solid"/>
                          <a:round/>
                          <a:headEnd type="none" w="sm" len="sm"/>
                          <a:tailEnd type="none" w="sm" len="sm"/>
                        </a:ln>
                      </wps:spPr>
                      <wps:txbx>
                        <w:txbxContent>
                          <w:p w:rsidR="002D1B8A" w:rsidRDefault="002D1B8A" w:rsidP="002D1B8A">
                            <w:pPr>
                              <w:textDirection w:val="btLr"/>
                            </w:pPr>
                            <w:r>
                              <w:t>PO dekódování SNI</w:t>
                            </w:r>
                          </w:p>
                        </w:txbxContent>
                      </wps:txbx>
                      <wps:bodyPr spcFirstLastPara="1" wrap="square" lIns="91425" tIns="45700" rIns="91425" bIns="45700" anchor="t" anchorCtr="0"/>
                    </wps:wsp>
                  </a:graphicData>
                </a:graphic>
                <wp14:sizeRelH relativeFrom="page">
                  <wp14:pctWidth>0</wp14:pctWidth>
                </wp14:sizeRelH>
                <wp14:sizeRelV relativeFrom="page">
                  <wp14:pctHeight>0</wp14:pctHeight>
                </wp14:sizeRelV>
              </wp:anchor>
            </w:drawing>
          </mc:Choice>
          <mc:Fallback>
            <w:pict>
              <v:rect id="Obdélník 7" o:spid="_x0000_s1028" style="position:absolute;left:0;text-align:left;margin-left:305.25pt;margin-top:6.75pt;width:97.85pt;height:20.2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" fillcolor="#eaf1dd">
                <v:stroke startarrowwidth="narrow" startarrowlength="short" endarrowwidth="narrow" endarrowlength="short" joinstyle="round"/>
                <v:path arrowok="t"/>
                <v:textbox inset="2.53958mm,1.2694mm,2.53958mm,1.2694mm">
                  <w:txbxContent>
                    <w:p w:rsidR="002D1B8A" w:rsidRDefault="002D1B8A" w:rsidP="002D1B8A">
                      <w:pPr>
                        <w:textDirection w:val="btLr"/>
                      </w:pPr>
                      <w:r>
                        <w:t>PO dekódování SNI</w:t>
                      </w:r>
                    </w:p>
                  </w:txbxContent>
                </v:textbox>
                <w10:wrap anchorx="margin"/>
              </v:rect>
            </w:pict>
          </mc:Fallback>
        </mc:AlternateContent>
      </w:r>
    </w:p>
    <w:p w:rsidR="002D1B8A" w:rsidRDefault="002D1B8A" w:rsidP="00EB2801">
      <w:pPr>
        <w:pStyle w:val="NadpisTabObr"/>
      </w:pPr>
      <w:r>
        <w:t xml:space="preserve">Obrázek 2 – Identifikace komponent služby v datovém rámci TPEG (výřez obr. 3 dokumentu) </w:t>
      </w:r>
    </w:p>
    <w:p w:rsidR="002D1B8A" w:rsidRDefault="002D1B8A" w:rsidP="002D1B8A">
      <w:pPr>
        <w:spacing w:after="120"/>
        <w:jc w:val="both"/>
      </w:pPr>
      <w:r>
        <w:t>Následující zásada ukazuje na dvou příkladech přidělování identifikačních čísel službám TPEG ve vazbě na identifikátor obsahu COID, aplikace AID a komponenty služby SCID.</w:t>
      </w:r>
    </w:p>
    <w:p w:rsidR="002D1B8A" w:rsidRDefault="002D1B8A" w:rsidP="002D1B8A">
      <w:pPr>
        <w:spacing w:after="120"/>
        <w:jc w:val="both"/>
      </w:pPr>
      <w:r>
        <w:t>Poslední článek kapitoly stanovuje obecná pravidla aplikace TPEG2-SNI pro přidělování služeb jejich poskyt</w:t>
      </w:r>
      <w:r>
        <w:t>o</w:t>
      </w:r>
      <w:r>
        <w:t>vatelem v rámci jednoho přenosového média. Například:</w:t>
      </w:r>
    </w:p>
    <w:p w:rsidR="002D1B8A" w:rsidRDefault="002D1B8A" w:rsidP="002D1B8A">
      <w:pPr>
        <w:numPr>
          <w:ilvl w:val="0"/>
          <w:numId w:val="43"/>
        </w:numPr>
        <w:pBdr>
          <w:top w:val="nil"/>
          <w:left w:val="nil"/>
          <w:bottom w:val="nil"/>
          <w:right w:val="nil"/>
          <w:between w:val="nil"/>
        </w:pBdr>
        <w:spacing w:after="120"/>
        <w:jc w:val="both"/>
      </w:pPr>
      <w:r>
        <w:t>každá služba musí povinně použít SNI</w:t>
      </w:r>
    </w:p>
    <w:p w:rsidR="002D1B8A" w:rsidRDefault="002D1B8A" w:rsidP="002D1B8A">
      <w:pPr>
        <w:numPr>
          <w:ilvl w:val="0"/>
          <w:numId w:val="43"/>
        </w:numPr>
        <w:pBdr>
          <w:top w:val="nil"/>
          <w:left w:val="nil"/>
          <w:bottom w:val="nil"/>
          <w:right w:val="nil"/>
          <w:between w:val="nil"/>
        </w:pBdr>
        <w:spacing w:after="120"/>
        <w:jc w:val="both"/>
      </w:pPr>
      <w:r>
        <w:t>SNI se ve službě smí vyskytnout pouze jednou a má rezervovaný identifikátor SCID=00</w:t>
      </w:r>
    </w:p>
    <w:p w:rsidR="002D1B8A" w:rsidRDefault="002D1B8A" w:rsidP="002D1B8A">
      <w:pPr>
        <w:pStyle w:val="Nadpis1"/>
      </w:pPr>
      <w:r>
        <w:lastRenderedPageBreak/>
        <w:t>7 </w:t>
      </w:r>
      <w:proofErr w:type="spellStart"/>
      <w:r>
        <w:t>Struktura</w:t>
      </w:r>
      <w:proofErr w:type="spellEnd"/>
      <w:r>
        <w:t xml:space="preserve"> SNI</w:t>
      </w:r>
    </w:p>
    <w:p w:rsidR="002D1B8A" w:rsidRDefault="002D1B8A" w:rsidP="002D1B8A">
      <w:pPr>
        <w:spacing w:after="120"/>
        <w:jc w:val="both"/>
      </w:pPr>
      <w:r>
        <w:t>Tato kapitola (rozsah 1 obrázek) uvádí strukturu SNI. Jsou ukázány pouze obecné části, GST a SIT jsou na této úrovni ukázány jen jako „prázdné“ obálky.</w:t>
      </w:r>
    </w:p>
    <w:p w:rsidR="002D1B8A" w:rsidRDefault="002D1B8A" w:rsidP="002D1B8A">
      <w:pPr>
        <w:pStyle w:val="Nadpis1"/>
      </w:pPr>
      <w:r>
        <w:t>8 </w:t>
      </w:r>
      <w:proofErr w:type="spellStart"/>
      <w:r>
        <w:t>Komponenty</w:t>
      </w:r>
      <w:proofErr w:type="spellEnd"/>
      <w:r>
        <w:t xml:space="preserve"> SNI </w:t>
      </w:r>
      <w:proofErr w:type="spellStart"/>
      <w:r>
        <w:t>zprávy</w:t>
      </w:r>
      <w:proofErr w:type="spellEnd"/>
    </w:p>
    <w:p w:rsidR="002D1B8A" w:rsidRDefault="002D1B8A" w:rsidP="002D1B8A">
      <w:pPr>
        <w:spacing w:after="120"/>
        <w:jc w:val="both"/>
      </w:pPr>
      <w:r>
        <w:t xml:space="preserve">Tato kapitola (rozsah 10 stran) podrobně popisuje komponenty zprávy SNI. </w:t>
      </w:r>
    </w:p>
    <w:p w:rsidR="002D1B8A" w:rsidRDefault="002D1B8A" w:rsidP="002D1B8A">
      <w:pPr>
        <w:spacing w:after="120"/>
        <w:jc w:val="both"/>
      </w:pPr>
      <w:r>
        <w:t>V článku 8.1 Šablona SNI se uvádí, že SNI poskytuje 3 skupiny komponent, které umožňují dekódovat službu TPEG; jsou to:</w:t>
      </w:r>
    </w:p>
    <w:p w:rsidR="002D1B8A" w:rsidRDefault="002D1B8A" w:rsidP="002D1B8A">
      <w:pPr>
        <w:numPr>
          <w:ilvl w:val="0"/>
          <w:numId w:val="44"/>
        </w:numPr>
        <w:pBdr>
          <w:top w:val="nil"/>
          <w:left w:val="nil"/>
          <w:bottom w:val="nil"/>
          <w:right w:val="nil"/>
          <w:between w:val="nil"/>
        </w:pBdr>
        <w:spacing w:after="120"/>
        <w:jc w:val="both"/>
      </w:pPr>
      <w:r>
        <w:t>Informace o službě – obecný popis služby, např. logo a abstrakt</w:t>
      </w:r>
    </w:p>
    <w:p w:rsidR="002D1B8A" w:rsidRDefault="002D1B8A" w:rsidP="002D1B8A">
      <w:pPr>
        <w:numPr>
          <w:ilvl w:val="0"/>
          <w:numId w:val="44"/>
        </w:numPr>
        <w:pBdr>
          <w:top w:val="nil"/>
          <w:left w:val="nil"/>
          <w:bottom w:val="nil"/>
          <w:right w:val="nil"/>
          <w:between w:val="nil"/>
        </w:pBdr>
        <w:spacing w:after="120"/>
        <w:jc w:val="both"/>
      </w:pPr>
      <w:r>
        <w:t>Informace o komponentách – tabulka GST obsahující základní popis služby a dynamický popis (tabulka SIT) obsahující například počet aktuálních zpráv. Frekvence vysílání těchto tabulek může být upravena podle možností média a požadavků služby.</w:t>
      </w:r>
    </w:p>
    <w:p w:rsidR="002D1B8A" w:rsidRDefault="002D1B8A" w:rsidP="002D1B8A">
      <w:pPr>
        <w:numPr>
          <w:ilvl w:val="0"/>
          <w:numId w:val="44"/>
        </w:numPr>
        <w:pBdr>
          <w:top w:val="nil"/>
          <w:left w:val="nil"/>
          <w:bottom w:val="nil"/>
          <w:right w:val="nil"/>
          <w:between w:val="nil"/>
        </w:pBdr>
        <w:spacing w:after="120"/>
        <w:jc w:val="both"/>
      </w:pPr>
      <w:r>
        <w:t>Informace o propojení – propojení služeb nezávisle na médiu</w:t>
      </w:r>
    </w:p>
    <w:p w:rsidR="002D1B8A" w:rsidRDefault="002D1B8A" w:rsidP="002D1B8A">
      <w:pPr>
        <w:spacing w:after="120"/>
        <w:jc w:val="both"/>
      </w:pPr>
      <w:r>
        <w:t>Dále jsou v článku 8.1 stanovena pravidla na číslování verzí tabulek poskytovaných v rámci SNI.</w:t>
      </w:r>
    </w:p>
    <w:p w:rsidR="002D1B8A" w:rsidRDefault="002D1B8A" w:rsidP="002D1B8A">
      <w:pPr>
        <w:spacing w:after="120"/>
        <w:jc w:val="both"/>
      </w:pPr>
      <w:r>
        <w:t>Články 8.2 až 8.6 stanovují atributy (rozsahy, typy, příklady) obecných tříd (viz následující obrázek) vyskytuj</w:t>
      </w:r>
      <w:r>
        <w:t>í</w:t>
      </w:r>
      <w:r>
        <w:t>cích se v SNI, tak jak byly tyto třídy ukázány na obrázku v kapitole 7.</w:t>
      </w:r>
    </w:p>
    <w:p w:rsidR="002D1B8A" w:rsidRDefault="002D1B8A" w:rsidP="00EB2801">
      <w:pPr>
        <w:pStyle w:val="Obrzek"/>
      </w:pPr>
      <w:r>
        <w:rPr>
          <w:noProof/>
          <w:lang w:val="en-US" w:eastAsia="en-US"/>
        </w:rPr>
        <w:drawing>
          <wp:inline distT="0" distB="0" distL="0" distR="0" wp14:anchorId="1B445F13" wp14:editId="29002C01">
            <wp:extent cx="5975350" cy="2328545"/>
            <wp:effectExtent l="0" t="0" r="6350" b="0"/>
            <wp:docPr id="9"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5350" cy="2328545"/>
                    </a:xfrm>
                    <a:prstGeom prst="rect">
                      <a:avLst/>
                    </a:prstGeom>
                    <a:noFill/>
                    <a:ln>
                      <a:noFill/>
                    </a:ln>
                  </pic:spPr>
                </pic:pic>
              </a:graphicData>
            </a:graphic>
          </wp:inline>
        </w:drawing>
      </w:r>
    </w:p>
    <w:p w:rsidR="002D1B8A" w:rsidRDefault="002D1B8A" w:rsidP="00EB2801">
      <w:pPr>
        <w:pStyle w:val="NadpisTabObr"/>
      </w:pPr>
      <w:r>
        <w:t>Obrázek 2 – Obecné třídy SNI stanovené v kapitole 8 dokumentu (výřez obr. 6 dokumentu)</w:t>
      </w:r>
    </w:p>
    <w:p w:rsidR="002D1B8A" w:rsidRDefault="002D1B8A" w:rsidP="002D1B8A">
      <w:pPr>
        <w:spacing w:after="120"/>
        <w:jc w:val="both"/>
      </w:pPr>
    </w:p>
    <w:p w:rsidR="002D1B8A" w:rsidRDefault="002D1B8A" w:rsidP="002D1B8A">
      <w:pPr>
        <w:spacing w:after="120"/>
        <w:jc w:val="both"/>
      </w:pPr>
      <w:r>
        <w:t xml:space="preserve">Článek 8.7 stanovuje strukturu a obsah tabulek GST, jejich struktura se skládá ze 7 částí. </w:t>
      </w:r>
    </w:p>
    <w:p w:rsidR="002D1B8A" w:rsidRDefault="002D1B8A" w:rsidP="002D1B8A">
      <w:pPr>
        <w:spacing w:after="120"/>
        <w:jc w:val="both"/>
      </w:pPr>
      <w:r>
        <w:t xml:space="preserve">Články 8.8 – 8.15 tyto části </w:t>
      </w:r>
      <w:r>
        <w:rPr>
          <w:b/>
        </w:rPr>
        <w:t>obecně</w:t>
      </w:r>
      <w:r>
        <w:t xml:space="preserve"> popisují (uvádějí pouze řádek textu a číslo tabulky s odkazem na externě definovanou pod-tabulku) následující tabulky:</w:t>
      </w:r>
    </w:p>
    <w:p w:rsidR="002D1B8A" w:rsidRDefault="002D1B8A" w:rsidP="002D1B8A">
      <w:pPr>
        <w:numPr>
          <w:ilvl w:val="0"/>
          <w:numId w:val="45"/>
        </w:numPr>
        <w:pBdr>
          <w:top w:val="nil"/>
          <w:left w:val="nil"/>
          <w:bottom w:val="nil"/>
          <w:right w:val="nil"/>
          <w:between w:val="nil"/>
        </w:pBdr>
        <w:contextualSpacing/>
      </w:pPr>
      <w:r>
        <w:rPr>
          <w:rFonts w:ascii="Courier New" w:eastAsia="Courier New" w:hAnsi="Courier New" w:cs="Courier New"/>
        </w:rPr>
        <w:t>GST1_FastTuningTable</w:t>
      </w:r>
      <w:r>
        <w:t xml:space="preserve"> – povinná tabulka, ve které musí být uvedeny všechny komponenty služby. Tabulka je uvedena verzí a kódováním a následně obsahuje řádky propojující SCID s COID a AID.</w:t>
      </w:r>
    </w:p>
    <w:p w:rsidR="002D1B8A" w:rsidRDefault="002D1B8A" w:rsidP="002D1B8A">
      <w:pPr>
        <w:numPr>
          <w:ilvl w:val="0"/>
          <w:numId w:val="45"/>
        </w:numPr>
        <w:pBdr>
          <w:top w:val="nil"/>
          <w:left w:val="nil"/>
          <w:bottom w:val="nil"/>
          <w:right w:val="nil"/>
          <w:between w:val="nil"/>
        </w:pBdr>
        <w:contextualSpacing/>
      </w:pPr>
      <w:r>
        <w:t xml:space="preserve">Další tabulky: </w:t>
      </w:r>
      <w:r>
        <w:rPr>
          <w:rFonts w:ascii="Courier New" w:eastAsia="Courier New" w:hAnsi="Courier New" w:cs="Courier New"/>
        </w:rPr>
        <w:t>GST2_TimeScheduleTable</w:t>
      </w:r>
      <w:r>
        <w:t xml:space="preserve">, </w:t>
      </w:r>
      <w:r>
        <w:rPr>
          <w:rFonts w:ascii="Courier New" w:eastAsia="Courier New" w:hAnsi="Courier New" w:cs="Courier New"/>
        </w:rPr>
        <w:t>GST3_ContentDescription (viz tabulka 1)</w:t>
      </w:r>
      <w:r>
        <w:t xml:space="preserve">, </w:t>
      </w:r>
      <w:r>
        <w:rPr>
          <w:rFonts w:ascii="Courier New" w:eastAsia="Courier New" w:hAnsi="Courier New" w:cs="Courier New"/>
        </w:rPr>
        <w:t>GST4_GeographicalCoverage</w:t>
      </w:r>
      <w:r>
        <w:t xml:space="preserve">, </w:t>
      </w:r>
      <w:r>
        <w:rPr>
          <w:rFonts w:ascii="Courier New" w:eastAsia="Courier New" w:hAnsi="Courier New" w:cs="Courier New"/>
        </w:rPr>
        <w:t>GST5_ServiceComponentReset</w:t>
      </w:r>
      <w:r>
        <w:t xml:space="preserve">, </w:t>
      </w:r>
      <w:r>
        <w:rPr>
          <w:rFonts w:ascii="Courier New" w:eastAsia="Courier New" w:hAnsi="Courier New" w:cs="Courier New"/>
        </w:rPr>
        <w:t>GST6_ConditionalAccessInformationReference</w:t>
      </w:r>
      <w:r>
        <w:t xml:space="preserve"> a </w:t>
      </w:r>
      <w:r>
        <w:rPr>
          <w:rFonts w:ascii="Courier New" w:eastAsia="Courier New" w:hAnsi="Courier New" w:cs="Courier New"/>
        </w:rPr>
        <w:t>GST7_Versioning</w:t>
      </w:r>
      <w:r>
        <w:t>.</w:t>
      </w:r>
    </w:p>
    <w:p w:rsidR="002D1B8A" w:rsidRDefault="002D1B8A" w:rsidP="002D1B8A">
      <w:pPr>
        <w:keepNext/>
        <w:spacing w:before="120" w:after="120"/>
        <w:rPr>
          <w:b/>
        </w:rPr>
      </w:pPr>
    </w:p>
    <w:p w:rsidR="002D1B8A" w:rsidRDefault="002D1B8A" w:rsidP="002D1B8A">
      <w:pPr>
        <w:keepNext/>
        <w:spacing w:before="120" w:after="120"/>
        <w:jc w:val="center"/>
        <w:rPr>
          <w:b/>
        </w:rPr>
      </w:pPr>
      <w:r>
        <w:rPr>
          <w:b/>
        </w:rPr>
        <w:t xml:space="preserve">Tabulka 1 - Definice tabulky </w:t>
      </w:r>
      <w:r>
        <w:rPr>
          <w:rFonts w:ascii="Courier New" w:eastAsia="Courier New" w:hAnsi="Courier New" w:cs="Courier New"/>
          <w:b/>
        </w:rPr>
        <w:t>GST3_ContentDescription</w:t>
      </w:r>
      <w:r>
        <w:rPr>
          <w:b/>
        </w:rPr>
        <w:t xml:space="preserve"> (tab. 10 dokumentu)</w:t>
      </w:r>
    </w:p>
    <w:tbl>
      <w:tblPr>
        <w:tblW w:w="9921" w:type="dxa"/>
        <w:tblInd w:w="172" w:type="dxa"/>
        <w:tblLayout w:type="fixed"/>
        <w:tblLook w:val="0000" w:firstRow="0" w:lastRow="0" w:firstColumn="0" w:lastColumn="0" w:noHBand="0" w:noVBand="0"/>
      </w:tblPr>
      <w:tblGrid>
        <w:gridCol w:w="2055"/>
        <w:gridCol w:w="1782"/>
        <w:gridCol w:w="1060"/>
        <w:gridCol w:w="5024"/>
      </w:tblGrid>
      <w:tr w:rsidR="002D1B8A" w:rsidTr="00833B2C">
        <w:tc>
          <w:tcPr>
            <w:tcW w:w="2055"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jc w:val="center"/>
              <w:rPr>
                <w:b/>
                <w:sz w:val="18"/>
                <w:szCs w:val="18"/>
              </w:rPr>
            </w:pPr>
            <w:proofErr w:type="spellStart"/>
            <w:r>
              <w:rPr>
                <w:b/>
                <w:sz w:val="18"/>
                <w:szCs w:val="18"/>
              </w:rPr>
              <w:t>Name</w:t>
            </w:r>
            <w:proofErr w:type="spellEnd"/>
          </w:p>
        </w:tc>
        <w:tc>
          <w:tcPr>
            <w:tcW w:w="1782"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jc w:val="center"/>
              <w:rPr>
                <w:b/>
                <w:sz w:val="18"/>
                <w:szCs w:val="18"/>
              </w:rPr>
            </w:pPr>
            <w:r>
              <w:rPr>
                <w:b/>
                <w:sz w:val="18"/>
                <w:szCs w:val="18"/>
              </w:rPr>
              <w:t>Type</w:t>
            </w:r>
          </w:p>
        </w:tc>
        <w:tc>
          <w:tcPr>
            <w:tcW w:w="106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b/>
                <w:sz w:val="18"/>
                <w:szCs w:val="18"/>
              </w:rPr>
            </w:pPr>
            <w:r>
              <w:rPr>
                <w:b/>
                <w:sz w:val="18"/>
                <w:szCs w:val="18"/>
              </w:rPr>
              <w:t>Multiplic</w:t>
            </w:r>
            <w:r>
              <w:rPr>
                <w:b/>
                <w:sz w:val="18"/>
                <w:szCs w:val="18"/>
              </w:rPr>
              <w:t>i</w:t>
            </w:r>
            <w:r>
              <w:rPr>
                <w:b/>
                <w:sz w:val="18"/>
                <w:szCs w:val="18"/>
              </w:rPr>
              <w:t>ty</w:t>
            </w:r>
          </w:p>
        </w:tc>
        <w:tc>
          <w:tcPr>
            <w:tcW w:w="5024"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b/>
                <w:sz w:val="18"/>
                <w:szCs w:val="18"/>
              </w:rPr>
            </w:pPr>
            <w:proofErr w:type="spellStart"/>
            <w:r>
              <w:rPr>
                <w:b/>
                <w:sz w:val="18"/>
                <w:szCs w:val="18"/>
              </w:rPr>
              <w:t>Description</w:t>
            </w:r>
            <w:proofErr w:type="spellEnd"/>
          </w:p>
        </w:tc>
      </w:tr>
      <w:tr w:rsidR="002D1B8A" w:rsidTr="00833B2C">
        <w:tc>
          <w:tcPr>
            <w:tcW w:w="2055" w:type="dxa"/>
            <w:tcBorders>
              <w:top w:val="single" w:sz="8" w:space="0" w:color="000000"/>
              <w:left w:val="single" w:sz="8" w:space="0" w:color="000000"/>
              <w:bottom w:val="single" w:sz="8" w:space="0" w:color="000000"/>
              <w:right w:val="single" w:sz="8" w:space="0" w:color="000000"/>
            </w:tcBorders>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tableVersion</w:t>
            </w:r>
            <w:proofErr w:type="spellEnd"/>
          </w:p>
        </w:tc>
        <w:tc>
          <w:tcPr>
            <w:tcW w:w="1782"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IntUnTi</w:t>
            </w:r>
            <w:proofErr w:type="spellEnd"/>
          </w:p>
        </w:tc>
        <w:tc>
          <w:tcPr>
            <w:tcW w:w="106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sz w:val="18"/>
                <w:szCs w:val="18"/>
              </w:rPr>
            </w:pPr>
            <w:r>
              <w:rPr>
                <w:sz w:val="18"/>
                <w:szCs w:val="18"/>
              </w:rPr>
              <w:t>1</w:t>
            </w:r>
          </w:p>
        </w:tc>
        <w:tc>
          <w:tcPr>
            <w:tcW w:w="5024"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rPr>
                <w:sz w:val="18"/>
                <w:szCs w:val="18"/>
              </w:rPr>
            </w:pPr>
            <w:proofErr w:type="spellStart"/>
            <w:r>
              <w:rPr>
                <w:sz w:val="18"/>
                <w:szCs w:val="18"/>
              </w:rPr>
              <w:t>Incremented</w:t>
            </w:r>
            <w:proofErr w:type="spellEnd"/>
            <w:r>
              <w:rPr>
                <w:sz w:val="18"/>
                <w:szCs w:val="18"/>
              </w:rPr>
              <w:t xml:space="preserve">, </w:t>
            </w:r>
            <w:proofErr w:type="spellStart"/>
            <w:r>
              <w:rPr>
                <w:sz w:val="18"/>
                <w:szCs w:val="18"/>
              </w:rPr>
              <w:t>if</w:t>
            </w:r>
            <w:proofErr w:type="spellEnd"/>
            <w:r>
              <w:rPr>
                <w:sz w:val="18"/>
                <w:szCs w:val="18"/>
              </w:rPr>
              <w:t xml:space="preserve"> </w:t>
            </w:r>
            <w:proofErr w:type="spellStart"/>
            <w:r>
              <w:rPr>
                <w:sz w:val="18"/>
                <w:szCs w:val="18"/>
              </w:rPr>
              <w:t>any</w:t>
            </w:r>
            <w:proofErr w:type="spellEnd"/>
            <w:r>
              <w:rPr>
                <w:sz w:val="18"/>
                <w:szCs w:val="18"/>
              </w:rPr>
              <w:t xml:space="preserve"> </w:t>
            </w:r>
            <w:proofErr w:type="spellStart"/>
            <w:r>
              <w:rPr>
                <w:sz w:val="18"/>
                <w:szCs w:val="18"/>
              </w:rPr>
              <w:t>of</w:t>
            </w:r>
            <w:proofErr w:type="spellEnd"/>
            <w:r>
              <w:rPr>
                <w:sz w:val="18"/>
                <w:szCs w:val="18"/>
              </w:rPr>
              <w:t xml:space="preserve"> </w:t>
            </w:r>
            <w:proofErr w:type="spellStart"/>
            <w:r>
              <w:rPr>
                <w:sz w:val="18"/>
                <w:szCs w:val="18"/>
              </w:rPr>
              <w:t>the</w:t>
            </w:r>
            <w:proofErr w:type="spellEnd"/>
            <w:r>
              <w:rPr>
                <w:sz w:val="18"/>
                <w:szCs w:val="18"/>
              </w:rPr>
              <w:t xml:space="preserve"> </w:t>
            </w:r>
            <w:proofErr w:type="spellStart"/>
            <w:r>
              <w:rPr>
                <w:sz w:val="18"/>
                <w:szCs w:val="18"/>
              </w:rPr>
              <w:t>entries</w:t>
            </w:r>
            <w:proofErr w:type="spellEnd"/>
            <w:r>
              <w:rPr>
                <w:sz w:val="18"/>
                <w:szCs w:val="18"/>
              </w:rPr>
              <w:t xml:space="preserve"> </w:t>
            </w:r>
            <w:proofErr w:type="spellStart"/>
            <w:r>
              <w:rPr>
                <w:sz w:val="18"/>
                <w:szCs w:val="18"/>
              </w:rPr>
              <w:t>is</w:t>
            </w:r>
            <w:proofErr w:type="spellEnd"/>
            <w:r>
              <w:rPr>
                <w:sz w:val="18"/>
                <w:szCs w:val="18"/>
              </w:rPr>
              <w:t xml:space="preserve"> </w:t>
            </w:r>
            <w:proofErr w:type="spellStart"/>
            <w:r>
              <w:rPr>
                <w:sz w:val="18"/>
                <w:szCs w:val="18"/>
              </w:rPr>
              <w:t>changed</w:t>
            </w:r>
            <w:proofErr w:type="spellEnd"/>
            <w:r>
              <w:rPr>
                <w:sz w:val="18"/>
                <w:szCs w:val="18"/>
              </w:rPr>
              <w:t>.</w:t>
            </w:r>
          </w:p>
        </w:tc>
      </w:tr>
      <w:tr w:rsidR="002D1B8A" w:rsidTr="00833B2C">
        <w:tc>
          <w:tcPr>
            <w:tcW w:w="2055" w:type="dxa"/>
            <w:tcBorders>
              <w:top w:val="single" w:sz="8" w:space="0" w:color="000000"/>
              <w:left w:val="single" w:sz="8" w:space="0" w:color="000000"/>
              <w:bottom w:val="single" w:sz="8" w:space="0" w:color="000000"/>
              <w:right w:val="single" w:sz="8" w:space="0" w:color="000000"/>
            </w:tcBorders>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tableEntry</w:t>
            </w:r>
            <w:proofErr w:type="spellEnd"/>
          </w:p>
        </w:tc>
        <w:tc>
          <w:tcPr>
            <w:tcW w:w="1782"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rPr>
                <w:sz w:val="18"/>
                <w:szCs w:val="18"/>
              </w:rPr>
            </w:pPr>
            <w:r>
              <w:rPr>
                <w:sz w:val="18"/>
                <w:szCs w:val="18"/>
              </w:rPr>
              <w:t>GST3_Entry</w:t>
            </w:r>
          </w:p>
        </w:tc>
        <w:tc>
          <w:tcPr>
            <w:tcW w:w="106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sz w:val="18"/>
                <w:szCs w:val="18"/>
              </w:rPr>
            </w:pPr>
            <w:r>
              <w:rPr>
                <w:sz w:val="18"/>
                <w:szCs w:val="18"/>
              </w:rPr>
              <w:t>1..255</w:t>
            </w:r>
          </w:p>
        </w:tc>
        <w:tc>
          <w:tcPr>
            <w:tcW w:w="5024"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rPr>
                <w:sz w:val="18"/>
                <w:szCs w:val="18"/>
              </w:rPr>
            </w:pPr>
            <w:r>
              <w:rPr>
                <w:sz w:val="18"/>
                <w:szCs w:val="18"/>
              </w:rPr>
              <w:t xml:space="preserve">Lines </w:t>
            </w:r>
            <w:proofErr w:type="spellStart"/>
            <w:r>
              <w:rPr>
                <w:sz w:val="18"/>
                <w:szCs w:val="18"/>
              </w:rPr>
              <w:t>of</w:t>
            </w:r>
            <w:proofErr w:type="spellEnd"/>
            <w:r>
              <w:rPr>
                <w:sz w:val="18"/>
                <w:szCs w:val="18"/>
              </w:rPr>
              <w:t xml:space="preserve"> table GST3.</w:t>
            </w:r>
          </w:p>
        </w:tc>
      </w:tr>
    </w:tbl>
    <w:p w:rsidR="002D1B8A" w:rsidRDefault="002D1B8A" w:rsidP="002D1B8A"/>
    <w:p w:rsidR="002D1B8A" w:rsidRDefault="002D1B8A" w:rsidP="002D1B8A">
      <w:pPr>
        <w:spacing w:after="120"/>
        <w:jc w:val="both"/>
      </w:pPr>
      <w:r>
        <w:t xml:space="preserve">Článek 8.15 stanovuje volitelnou komponentu </w:t>
      </w:r>
      <w:proofErr w:type="spellStart"/>
      <w:r>
        <w:rPr>
          <w:rFonts w:ascii="Courier New" w:eastAsia="Courier New" w:hAnsi="Courier New" w:cs="Courier New"/>
        </w:rPr>
        <w:t>GST_ServiceTableAccelerator</w:t>
      </w:r>
      <w:proofErr w:type="spellEnd"/>
      <w:r>
        <w:t>, která se opakuje ve vysíl</w:t>
      </w:r>
      <w:r>
        <w:t>a</w:t>
      </w:r>
      <w:r>
        <w:t>ném proudu častěji než GST a umožňuje „rychleji“ předat číslo verze tabulek GST = tedy to jediné, co tato ko</w:t>
      </w:r>
      <w:r>
        <w:t>m</w:t>
      </w:r>
      <w:r>
        <w:t>ponenta obsahuje.</w:t>
      </w:r>
    </w:p>
    <w:p w:rsidR="002D1B8A" w:rsidRDefault="002D1B8A" w:rsidP="002D1B8A">
      <w:pPr>
        <w:spacing w:after="120"/>
        <w:jc w:val="both"/>
      </w:pPr>
      <w:bookmarkStart w:id="3" w:name="_1fob9te" w:colFirst="0" w:colLast="0"/>
      <w:bookmarkEnd w:id="3"/>
      <w:r>
        <w:lastRenderedPageBreak/>
        <w:t xml:space="preserve">Článek 8.16 stanovuje volitelnou komponentu </w:t>
      </w:r>
      <w:proofErr w:type="spellStart"/>
      <w:r>
        <w:rPr>
          <w:rFonts w:ascii="Courier New" w:eastAsia="Courier New" w:hAnsi="Courier New" w:cs="Courier New"/>
        </w:rPr>
        <w:t>LinkageToSameService</w:t>
      </w:r>
      <w:proofErr w:type="spellEnd"/>
      <w:r>
        <w:t xml:space="preserve">, SNI „propojení“ pomáhá přijímači najít komponenty stejné služby na stejném médiu ve stejné síti nebo na jiných nosičích v jiných sítích. </w:t>
      </w:r>
    </w:p>
    <w:p w:rsidR="002D1B8A" w:rsidRDefault="002D1B8A" w:rsidP="002D1B8A">
      <w:pPr>
        <w:spacing w:after="120"/>
        <w:jc w:val="both"/>
      </w:pPr>
      <w:r>
        <w:t xml:space="preserve">Článek 8.17 stanovuje význam slovního spojení „stejná služba“ použitého v předchozím článku. Uvádí, že </w:t>
      </w:r>
      <w:proofErr w:type="spellStart"/>
      <w:r>
        <w:rPr>
          <w:rFonts w:ascii="Courier New" w:eastAsia="Courier New" w:hAnsi="Courier New" w:cs="Courier New"/>
        </w:rPr>
        <w:t>Li</w:t>
      </w:r>
      <w:r>
        <w:rPr>
          <w:rFonts w:ascii="Courier New" w:eastAsia="Courier New" w:hAnsi="Courier New" w:cs="Courier New"/>
        </w:rPr>
        <w:t>n</w:t>
      </w:r>
      <w:r>
        <w:rPr>
          <w:rFonts w:ascii="Courier New" w:eastAsia="Courier New" w:hAnsi="Courier New" w:cs="Courier New"/>
        </w:rPr>
        <w:t>kageToSameService</w:t>
      </w:r>
      <w:proofErr w:type="spellEnd"/>
      <w:r>
        <w:t xml:space="preserve"> se použije díky konceptu „dělitelnosti“ služby do malých, úzce tematicky a geograficky specializovaných částí (komponent) služby.</w:t>
      </w:r>
    </w:p>
    <w:p w:rsidR="002D1B8A" w:rsidRDefault="002D1B8A" w:rsidP="002D1B8A">
      <w:pPr>
        <w:spacing w:after="120"/>
        <w:jc w:val="both"/>
      </w:pPr>
      <w:bookmarkStart w:id="4" w:name="_3znysh7" w:colFirst="0" w:colLast="0"/>
      <w:bookmarkEnd w:id="4"/>
      <w:r>
        <w:t xml:space="preserve">Článek 8.18 stanovuje volitelnou komponentu </w:t>
      </w:r>
      <w:proofErr w:type="spellStart"/>
      <w:r>
        <w:rPr>
          <w:rFonts w:ascii="Courier New" w:eastAsia="Courier New" w:hAnsi="Courier New" w:cs="Courier New"/>
        </w:rPr>
        <w:t>LinkageToRelatedService</w:t>
      </w:r>
      <w:proofErr w:type="spellEnd"/>
      <w:r>
        <w:t>, SNI „propojení“ pomáhá přijímači najít komponenty návazné služby na stejném médiu ve stejné síti nebo na jiných nosičích v jiných sítích.</w:t>
      </w:r>
    </w:p>
    <w:p w:rsidR="002D1B8A" w:rsidRDefault="002D1B8A" w:rsidP="002D1B8A">
      <w:pPr>
        <w:spacing w:after="120"/>
        <w:jc w:val="both"/>
      </w:pPr>
      <w:bookmarkStart w:id="5" w:name="_2et92p0" w:colFirst="0" w:colLast="0"/>
      <w:bookmarkEnd w:id="5"/>
      <w:r>
        <w:t>Články 8.20 – 8.24 popisují informace o typu média a propojení služeb pro DAB (</w:t>
      </w:r>
      <w:proofErr w:type="spellStart"/>
      <w:r>
        <w:rPr>
          <w:rFonts w:ascii="Courier New" w:eastAsia="Courier New" w:hAnsi="Courier New" w:cs="Courier New"/>
        </w:rPr>
        <w:t>BearerLinkageInfoDAB</w:t>
      </w:r>
      <w:proofErr w:type="spellEnd"/>
      <w:r>
        <w:t>), DARC (</w:t>
      </w:r>
      <w:proofErr w:type="spellStart"/>
      <w:r>
        <w:rPr>
          <w:rFonts w:ascii="Courier New" w:eastAsia="Courier New" w:hAnsi="Courier New" w:cs="Courier New"/>
        </w:rPr>
        <w:t>BearerLinkageInfoDARC</w:t>
      </w:r>
      <w:proofErr w:type="spellEnd"/>
      <w:r>
        <w:t>), DVB (</w:t>
      </w:r>
      <w:proofErr w:type="spellStart"/>
      <w:r>
        <w:rPr>
          <w:rFonts w:ascii="Courier New" w:eastAsia="Courier New" w:hAnsi="Courier New" w:cs="Courier New"/>
        </w:rPr>
        <w:t>BearerLinkageInfoDVB</w:t>
      </w:r>
      <w:proofErr w:type="spellEnd"/>
      <w:r>
        <w:t>), Internet (</w:t>
      </w:r>
      <w:proofErr w:type="spellStart"/>
      <w:r>
        <w:rPr>
          <w:rFonts w:ascii="Courier New" w:eastAsia="Courier New" w:hAnsi="Courier New" w:cs="Courier New"/>
        </w:rPr>
        <w:t>BearerLinkageInfoURL</w:t>
      </w:r>
      <w:proofErr w:type="spellEnd"/>
      <w:r>
        <w:t xml:space="preserve">) (viz tabulka 2) a  HD </w:t>
      </w:r>
      <w:proofErr w:type="spellStart"/>
      <w:r>
        <w:t>Radio</w:t>
      </w:r>
      <w:proofErr w:type="spellEnd"/>
      <w:r>
        <w:t xml:space="preserve"> (</w:t>
      </w:r>
      <w:proofErr w:type="spellStart"/>
      <w:r>
        <w:rPr>
          <w:rFonts w:ascii="Courier New" w:eastAsia="Courier New" w:hAnsi="Courier New" w:cs="Courier New"/>
        </w:rPr>
        <w:t>BearerLinkageInfoHDRadio</w:t>
      </w:r>
      <w:proofErr w:type="spellEnd"/>
      <w:r>
        <w:t>).</w:t>
      </w:r>
    </w:p>
    <w:p w:rsidR="002D1B8A" w:rsidRDefault="002D1B8A" w:rsidP="002D1B8A">
      <w:pPr>
        <w:keepNext/>
        <w:spacing w:before="120" w:after="120"/>
        <w:jc w:val="center"/>
        <w:rPr>
          <w:b/>
        </w:rPr>
      </w:pPr>
      <w:r>
        <w:rPr>
          <w:b/>
        </w:rPr>
        <w:t xml:space="preserve">Tabulka 2  - Definice tabulky </w:t>
      </w:r>
      <w:proofErr w:type="spellStart"/>
      <w:r>
        <w:rPr>
          <w:rFonts w:ascii="Courier New" w:eastAsia="Courier New" w:hAnsi="Courier New" w:cs="Courier New"/>
          <w:b/>
        </w:rPr>
        <w:t>BearerLinkageInfoURL</w:t>
      </w:r>
      <w:proofErr w:type="spellEnd"/>
      <w:r>
        <w:rPr>
          <w:b/>
        </w:rPr>
        <w:t xml:space="preserve"> (tab. 21 dokumentu)</w:t>
      </w:r>
    </w:p>
    <w:tbl>
      <w:tblPr>
        <w:tblW w:w="10065" w:type="dxa"/>
        <w:tblInd w:w="22" w:type="dxa"/>
        <w:tblLayout w:type="fixed"/>
        <w:tblLook w:val="0000" w:firstRow="0" w:lastRow="0" w:firstColumn="0" w:lastColumn="0" w:noHBand="0" w:noVBand="0"/>
      </w:tblPr>
      <w:tblGrid>
        <w:gridCol w:w="2265"/>
        <w:gridCol w:w="1755"/>
        <w:gridCol w:w="1035"/>
        <w:gridCol w:w="5010"/>
      </w:tblGrid>
      <w:tr w:rsidR="002D1B8A" w:rsidTr="00833B2C">
        <w:tc>
          <w:tcPr>
            <w:tcW w:w="2265"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jc w:val="center"/>
              <w:rPr>
                <w:b/>
                <w:sz w:val="18"/>
                <w:szCs w:val="18"/>
              </w:rPr>
            </w:pPr>
            <w:proofErr w:type="spellStart"/>
            <w:r>
              <w:rPr>
                <w:b/>
                <w:sz w:val="18"/>
                <w:szCs w:val="18"/>
              </w:rPr>
              <w:t>Name</w:t>
            </w:r>
            <w:proofErr w:type="spellEnd"/>
          </w:p>
        </w:tc>
        <w:tc>
          <w:tcPr>
            <w:tcW w:w="1755"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jc w:val="center"/>
              <w:rPr>
                <w:b/>
                <w:sz w:val="18"/>
                <w:szCs w:val="18"/>
              </w:rPr>
            </w:pPr>
            <w:r>
              <w:rPr>
                <w:b/>
                <w:sz w:val="18"/>
                <w:szCs w:val="18"/>
              </w:rPr>
              <w:t>Type</w:t>
            </w:r>
          </w:p>
        </w:tc>
        <w:tc>
          <w:tcPr>
            <w:tcW w:w="1035"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b/>
                <w:sz w:val="18"/>
                <w:szCs w:val="18"/>
              </w:rPr>
            </w:pPr>
            <w:r>
              <w:rPr>
                <w:b/>
                <w:sz w:val="18"/>
                <w:szCs w:val="18"/>
              </w:rPr>
              <w:t>Multipl</w:t>
            </w:r>
            <w:r>
              <w:rPr>
                <w:b/>
                <w:sz w:val="18"/>
                <w:szCs w:val="18"/>
              </w:rPr>
              <w:t>i</w:t>
            </w:r>
            <w:r>
              <w:rPr>
                <w:b/>
                <w:sz w:val="18"/>
                <w:szCs w:val="18"/>
              </w:rPr>
              <w:t>city</w:t>
            </w:r>
          </w:p>
        </w:tc>
        <w:tc>
          <w:tcPr>
            <w:tcW w:w="501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b/>
                <w:sz w:val="18"/>
                <w:szCs w:val="18"/>
              </w:rPr>
            </w:pPr>
            <w:proofErr w:type="spellStart"/>
            <w:r>
              <w:rPr>
                <w:b/>
                <w:sz w:val="18"/>
                <w:szCs w:val="18"/>
              </w:rPr>
              <w:t>Description</w:t>
            </w:r>
            <w:proofErr w:type="spellEnd"/>
          </w:p>
        </w:tc>
      </w:tr>
      <w:tr w:rsidR="002D1B8A" w:rsidTr="00833B2C">
        <w:tc>
          <w:tcPr>
            <w:tcW w:w="2265" w:type="dxa"/>
            <w:tcBorders>
              <w:top w:val="single" w:sz="8" w:space="0" w:color="000000"/>
              <w:left w:val="single" w:sz="8" w:space="0" w:color="000000"/>
              <w:bottom w:val="single" w:sz="8" w:space="0" w:color="000000"/>
              <w:right w:val="single" w:sz="8" w:space="0" w:color="000000"/>
            </w:tcBorders>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uniformResourceLocator</w:t>
            </w:r>
            <w:proofErr w:type="spellEnd"/>
          </w:p>
        </w:tc>
        <w:tc>
          <w:tcPr>
            <w:tcW w:w="1755"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LongString</w:t>
            </w:r>
            <w:proofErr w:type="spellEnd"/>
          </w:p>
        </w:tc>
        <w:tc>
          <w:tcPr>
            <w:tcW w:w="1035"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sz w:val="18"/>
                <w:szCs w:val="18"/>
              </w:rPr>
            </w:pPr>
            <w:r>
              <w:rPr>
                <w:sz w:val="18"/>
                <w:szCs w:val="18"/>
              </w:rPr>
              <w:t>1</w:t>
            </w:r>
          </w:p>
        </w:tc>
        <w:tc>
          <w:tcPr>
            <w:tcW w:w="501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rPr>
                <w:sz w:val="18"/>
                <w:szCs w:val="18"/>
              </w:rPr>
            </w:pPr>
            <w:r>
              <w:rPr>
                <w:sz w:val="18"/>
                <w:szCs w:val="18"/>
              </w:rPr>
              <w:t>URL (</w:t>
            </w:r>
            <w:proofErr w:type="spellStart"/>
            <w:r>
              <w:rPr>
                <w:sz w:val="18"/>
                <w:szCs w:val="18"/>
              </w:rPr>
              <w:t>Uniform</w:t>
            </w:r>
            <w:proofErr w:type="spellEnd"/>
            <w:r>
              <w:rPr>
                <w:sz w:val="18"/>
                <w:szCs w:val="18"/>
              </w:rPr>
              <w:t xml:space="preserve"> </w:t>
            </w:r>
            <w:proofErr w:type="spellStart"/>
            <w:r>
              <w:rPr>
                <w:sz w:val="18"/>
                <w:szCs w:val="18"/>
              </w:rPr>
              <w:t>Ressource</w:t>
            </w:r>
            <w:proofErr w:type="spellEnd"/>
            <w:r>
              <w:rPr>
                <w:sz w:val="18"/>
                <w:szCs w:val="18"/>
              </w:rPr>
              <w:t xml:space="preserve"> </w:t>
            </w:r>
            <w:proofErr w:type="spellStart"/>
            <w:r>
              <w:rPr>
                <w:sz w:val="18"/>
                <w:szCs w:val="18"/>
              </w:rPr>
              <w:t>Locator</w:t>
            </w:r>
            <w:proofErr w:type="spellEnd"/>
            <w:r>
              <w:rPr>
                <w:sz w:val="18"/>
                <w:szCs w:val="18"/>
              </w:rPr>
              <w:t xml:space="preserve">) as </w:t>
            </w:r>
            <w:proofErr w:type="spellStart"/>
            <w:r>
              <w:rPr>
                <w:sz w:val="18"/>
                <w:szCs w:val="18"/>
              </w:rPr>
              <w:t>defined</w:t>
            </w:r>
            <w:proofErr w:type="spellEnd"/>
            <w:r>
              <w:rPr>
                <w:sz w:val="18"/>
                <w:szCs w:val="18"/>
              </w:rPr>
              <w:t xml:space="preserve"> in RFC 1738.</w:t>
            </w:r>
          </w:p>
        </w:tc>
      </w:tr>
    </w:tbl>
    <w:p w:rsidR="002D1B8A" w:rsidRDefault="002D1B8A" w:rsidP="002D1B8A">
      <w:pPr>
        <w:spacing w:after="120"/>
        <w:jc w:val="both"/>
      </w:pPr>
    </w:p>
    <w:p w:rsidR="002D1B8A" w:rsidRDefault="002D1B8A" w:rsidP="002D1B8A">
      <w:pPr>
        <w:spacing w:after="120"/>
        <w:jc w:val="both"/>
      </w:pPr>
      <w:bookmarkStart w:id="6" w:name="_tyjcwt" w:colFirst="0" w:colLast="0"/>
      <w:bookmarkEnd w:id="6"/>
      <w:r>
        <w:t xml:space="preserve">Článek 8.25 stanovuje </w:t>
      </w:r>
      <w:proofErr w:type="spellStart"/>
      <w:r>
        <w:rPr>
          <w:rFonts w:ascii="Courier New" w:eastAsia="Courier New" w:hAnsi="Courier New" w:cs="Courier New"/>
        </w:rPr>
        <w:t>SIT_ServiceInformationTables</w:t>
      </w:r>
      <w:proofErr w:type="spellEnd"/>
      <w:r>
        <w:t>, tabulky SIT mají stejnou strukturu jako GST ale liší se v definici a použití čísla verze (jsou dynamické a neplatí pro ně stejná pravidla jako pro verze tabulek GST).</w:t>
      </w:r>
    </w:p>
    <w:p w:rsidR="002D1B8A" w:rsidRDefault="002D1B8A" w:rsidP="002D1B8A">
      <w:pPr>
        <w:pStyle w:val="Nadpis1"/>
      </w:pPr>
      <w:r>
        <w:t>9 </w:t>
      </w:r>
      <w:proofErr w:type="spellStart"/>
      <w:r>
        <w:t>Datové</w:t>
      </w:r>
      <w:proofErr w:type="spellEnd"/>
      <w:r>
        <w:t xml:space="preserve"> </w:t>
      </w:r>
      <w:proofErr w:type="spellStart"/>
      <w:r>
        <w:t>typy</w:t>
      </w:r>
      <w:proofErr w:type="spellEnd"/>
      <w:r>
        <w:t xml:space="preserve"> SNI</w:t>
      </w:r>
    </w:p>
    <w:p w:rsidR="002D1B8A" w:rsidRDefault="002D1B8A" w:rsidP="002D1B8A">
      <w:pPr>
        <w:spacing w:after="120"/>
        <w:jc w:val="both"/>
      </w:pPr>
      <w:r>
        <w:t xml:space="preserve">Tato kapitola (rozsah 13 stran) stanovuje obsah typů definovaných v předchozí kapitole. </w:t>
      </w:r>
    </w:p>
    <w:p w:rsidR="002D1B8A" w:rsidRDefault="002D1B8A" w:rsidP="002D1B8A">
      <w:pPr>
        <w:spacing w:after="120"/>
        <w:jc w:val="both"/>
      </w:pPr>
      <w:bookmarkStart w:id="7" w:name="_3dy6vkm" w:colFirst="0" w:colLast="0"/>
      <w:bookmarkEnd w:id="7"/>
      <w:r>
        <w:t xml:space="preserve">Jsou to základní typy: </w:t>
      </w:r>
      <w:proofErr w:type="spellStart"/>
      <w:r>
        <w:rPr>
          <w:rFonts w:ascii="Courier New" w:eastAsia="Courier New" w:hAnsi="Courier New" w:cs="Courier New"/>
        </w:rPr>
        <w:t>MaskedTime</w:t>
      </w:r>
      <w:proofErr w:type="spellEnd"/>
      <w:r>
        <w:t xml:space="preserve">, </w:t>
      </w:r>
      <w:proofErr w:type="spellStart"/>
      <w:r>
        <w:rPr>
          <w:rFonts w:ascii="Courier New" w:eastAsia="Courier New" w:hAnsi="Courier New" w:cs="Courier New"/>
        </w:rPr>
        <w:t>DayMask</w:t>
      </w:r>
      <w:proofErr w:type="spellEnd"/>
      <w:r>
        <w:t xml:space="preserve">, </w:t>
      </w:r>
      <w:proofErr w:type="spellStart"/>
      <w:r>
        <w:rPr>
          <w:rFonts w:ascii="Courier New" w:eastAsia="Courier New" w:hAnsi="Courier New" w:cs="Courier New"/>
        </w:rPr>
        <w:t>AppStartTime</w:t>
      </w:r>
      <w:proofErr w:type="spellEnd"/>
      <w:r>
        <w:t xml:space="preserve">, </w:t>
      </w:r>
      <w:proofErr w:type="spellStart"/>
      <w:r>
        <w:rPr>
          <w:rFonts w:ascii="Courier New" w:eastAsia="Courier New" w:hAnsi="Courier New" w:cs="Courier New"/>
        </w:rPr>
        <w:t>TimeSlot</w:t>
      </w:r>
      <w:proofErr w:type="spellEnd"/>
      <w:r>
        <w:t xml:space="preserve">, </w:t>
      </w:r>
      <w:proofErr w:type="spellStart"/>
      <w:r>
        <w:rPr>
          <w:rFonts w:ascii="Courier New" w:eastAsia="Courier New" w:hAnsi="Courier New" w:cs="Courier New"/>
        </w:rPr>
        <w:t>OpTime</w:t>
      </w:r>
      <w:proofErr w:type="spellEnd"/>
      <w:r>
        <w:t xml:space="preserve">, </w:t>
      </w:r>
      <w:proofErr w:type="spellStart"/>
      <w:r>
        <w:rPr>
          <w:rFonts w:ascii="Courier New" w:eastAsia="Courier New" w:hAnsi="Courier New" w:cs="Courier New"/>
        </w:rPr>
        <w:t>GeographicCoverage</w:t>
      </w:r>
      <w:proofErr w:type="spellEnd"/>
      <w:r>
        <w:t xml:space="preserve">, </w:t>
      </w:r>
      <w:proofErr w:type="spellStart"/>
      <w:r>
        <w:rPr>
          <w:rFonts w:ascii="Courier New" w:eastAsia="Courier New" w:hAnsi="Courier New" w:cs="Courier New"/>
        </w:rPr>
        <w:t>CoordinatePair</w:t>
      </w:r>
      <w:proofErr w:type="spellEnd"/>
      <w:r>
        <w:t xml:space="preserve"> a </w:t>
      </w:r>
      <w:proofErr w:type="spellStart"/>
      <w:r>
        <w:rPr>
          <w:rFonts w:ascii="Courier New" w:eastAsia="Courier New" w:hAnsi="Courier New" w:cs="Courier New"/>
        </w:rPr>
        <w:t>ByteField</w:t>
      </w:r>
      <w:proofErr w:type="spellEnd"/>
    </w:p>
    <w:p w:rsidR="002D1B8A" w:rsidRDefault="002D1B8A" w:rsidP="002D1B8A">
      <w:pPr>
        <w:spacing w:after="120"/>
        <w:jc w:val="both"/>
      </w:pPr>
      <w:bookmarkStart w:id="8" w:name="_1t3h5sf" w:colFirst="0" w:colLast="0"/>
      <w:bookmarkEnd w:id="8"/>
      <w:r>
        <w:t xml:space="preserve">a odvozené typy (struktury): </w:t>
      </w:r>
      <w:r>
        <w:rPr>
          <w:rFonts w:ascii="Courier New" w:eastAsia="Courier New" w:hAnsi="Courier New" w:cs="Courier New"/>
        </w:rPr>
        <w:t>GST1_Entry</w:t>
      </w:r>
      <w:r>
        <w:t xml:space="preserve">, </w:t>
      </w:r>
      <w:r>
        <w:rPr>
          <w:rFonts w:ascii="Courier New" w:eastAsia="Courier New" w:hAnsi="Courier New" w:cs="Courier New"/>
        </w:rPr>
        <w:t>GST2_Entry</w:t>
      </w:r>
      <w:r>
        <w:t xml:space="preserve">, </w:t>
      </w:r>
      <w:r>
        <w:rPr>
          <w:rFonts w:ascii="Courier New" w:eastAsia="Courier New" w:hAnsi="Courier New" w:cs="Courier New"/>
        </w:rPr>
        <w:t>GST3_Entry (viz tabulka 3)</w:t>
      </w:r>
      <w:r>
        <w:t xml:space="preserve">, </w:t>
      </w:r>
      <w:r>
        <w:rPr>
          <w:rFonts w:ascii="Courier New" w:eastAsia="Courier New" w:hAnsi="Courier New" w:cs="Courier New"/>
        </w:rPr>
        <w:t>GST4_Entry</w:t>
      </w:r>
      <w:r>
        <w:t xml:space="preserve">, </w:t>
      </w:r>
      <w:r>
        <w:rPr>
          <w:rFonts w:ascii="Courier New" w:eastAsia="Courier New" w:hAnsi="Courier New" w:cs="Courier New"/>
        </w:rPr>
        <w:t>GST5_Entry</w:t>
      </w:r>
      <w:r>
        <w:t xml:space="preserve">, </w:t>
      </w:r>
      <w:r>
        <w:rPr>
          <w:rFonts w:ascii="Courier New" w:eastAsia="Courier New" w:hAnsi="Courier New" w:cs="Courier New"/>
        </w:rPr>
        <w:t>GST6_Entry</w:t>
      </w:r>
      <w:r>
        <w:t xml:space="preserve">, </w:t>
      </w:r>
      <w:r>
        <w:rPr>
          <w:rFonts w:ascii="Courier New" w:eastAsia="Courier New" w:hAnsi="Courier New" w:cs="Courier New"/>
        </w:rPr>
        <w:t>GST7_Entry</w:t>
      </w:r>
      <w:r>
        <w:t xml:space="preserve">, </w:t>
      </w:r>
      <w:proofErr w:type="spellStart"/>
      <w:r>
        <w:rPr>
          <w:rFonts w:ascii="Courier New" w:eastAsia="Courier New" w:hAnsi="Courier New" w:cs="Courier New"/>
        </w:rPr>
        <w:t>RelatedServiceEntry</w:t>
      </w:r>
      <w:proofErr w:type="spellEnd"/>
      <w:r>
        <w:t xml:space="preserve">, </w:t>
      </w:r>
      <w:proofErr w:type="spellStart"/>
      <w:r>
        <w:rPr>
          <w:rFonts w:ascii="Courier New" w:eastAsia="Courier New" w:hAnsi="Courier New" w:cs="Courier New"/>
        </w:rPr>
        <w:t>DABFrequency</w:t>
      </w:r>
      <w:proofErr w:type="spellEnd"/>
      <w:r>
        <w:t xml:space="preserve">, </w:t>
      </w:r>
      <w:proofErr w:type="spellStart"/>
      <w:r>
        <w:rPr>
          <w:rFonts w:ascii="Courier New" w:eastAsia="Courier New" w:hAnsi="Courier New" w:cs="Courier New"/>
        </w:rPr>
        <w:t>DVBFrequency</w:t>
      </w:r>
      <w:proofErr w:type="spellEnd"/>
      <w:r>
        <w:t xml:space="preserve">, </w:t>
      </w:r>
      <w:proofErr w:type="spellStart"/>
      <w:r>
        <w:rPr>
          <w:rFonts w:ascii="Courier New" w:eastAsia="Courier New" w:hAnsi="Courier New" w:cs="Courier New"/>
        </w:rPr>
        <w:t>FMFrequency</w:t>
      </w:r>
      <w:proofErr w:type="spellEnd"/>
      <w:r>
        <w:t xml:space="preserve">, </w:t>
      </w:r>
      <w:proofErr w:type="spellStart"/>
      <w:r>
        <w:rPr>
          <w:rFonts w:ascii="Courier New" w:eastAsia="Courier New" w:hAnsi="Courier New" w:cs="Courier New"/>
        </w:rPr>
        <w:t>AMFrequency</w:t>
      </w:r>
      <w:proofErr w:type="spellEnd"/>
      <w:r>
        <w:t xml:space="preserve">, </w:t>
      </w:r>
      <w:proofErr w:type="spellStart"/>
      <w:r>
        <w:rPr>
          <w:rFonts w:ascii="Courier New" w:eastAsia="Courier New" w:hAnsi="Courier New" w:cs="Courier New"/>
        </w:rPr>
        <w:t>SameServiceEntry</w:t>
      </w:r>
      <w:proofErr w:type="spellEnd"/>
      <w:r>
        <w:t xml:space="preserve">, </w:t>
      </w:r>
      <w:r>
        <w:rPr>
          <w:rFonts w:ascii="Courier New" w:eastAsia="Courier New" w:hAnsi="Courier New" w:cs="Courier New"/>
        </w:rPr>
        <w:t>SIT1_Entry</w:t>
      </w:r>
      <w:r>
        <w:t xml:space="preserve">, </w:t>
      </w:r>
      <w:proofErr w:type="spellStart"/>
      <w:r>
        <w:rPr>
          <w:rFonts w:ascii="Courier New" w:eastAsia="Courier New" w:hAnsi="Courier New" w:cs="Courier New"/>
        </w:rPr>
        <w:t>HDRadioStationID</w:t>
      </w:r>
      <w:proofErr w:type="spellEnd"/>
      <w:r>
        <w:t xml:space="preserve"> a podřízené </w:t>
      </w:r>
      <w:proofErr w:type="spellStart"/>
      <w:r>
        <w:rPr>
          <w:rFonts w:ascii="Courier New" w:eastAsia="Courier New" w:hAnsi="Courier New" w:cs="Courier New"/>
        </w:rPr>
        <w:t>HD</w:t>
      </w:r>
      <w:r>
        <w:rPr>
          <w:rFonts w:ascii="Courier New" w:eastAsia="Courier New" w:hAnsi="Courier New" w:cs="Courier New"/>
        </w:rPr>
        <w:t>F</w:t>
      </w:r>
      <w:r>
        <w:rPr>
          <w:rFonts w:ascii="Courier New" w:eastAsia="Courier New" w:hAnsi="Courier New" w:cs="Courier New"/>
        </w:rPr>
        <w:t>MBearerInfo</w:t>
      </w:r>
      <w:proofErr w:type="spellEnd"/>
      <w:r>
        <w:t xml:space="preserve"> a </w:t>
      </w:r>
      <w:proofErr w:type="spellStart"/>
      <w:r>
        <w:rPr>
          <w:rFonts w:ascii="Courier New" w:eastAsia="Courier New" w:hAnsi="Courier New" w:cs="Courier New"/>
        </w:rPr>
        <w:t>HDAMBearerInfo</w:t>
      </w:r>
      <w:proofErr w:type="spellEnd"/>
      <w:r>
        <w:t>.</w:t>
      </w:r>
    </w:p>
    <w:p w:rsidR="002D1B8A" w:rsidRDefault="002D1B8A" w:rsidP="002D1B8A">
      <w:pPr>
        <w:keepNext/>
        <w:spacing w:before="120" w:after="120"/>
        <w:jc w:val="center"/>
        <w:rPr>
          <w:b/>
        </w:rPr>
      </w:pPr>
      <w:r>
        <w:rPr>
          <w:b/>
        </w:rPr>
        <w:t xml:space="preserve">Tabulka 3 - Definice tabulky </w:t>
      </w:r>
      <w:r>
        <w:rPr>
          <w:rFonts w:ascii="Courier New" w:eastAsia="Courier New" w:hAnsi="Courier New" w:cs="Courier New"/>
          <w:b/>
        </w:rPr>
        <w:t>GST3_Entry</w:t>
      </w:r>
      <w:r>
        <w:rPr>
          <w:b/>
        </w:rPr>
        <w:t xml:space="preserve"> (tab. 35 dokumentu)</w:t>
      </w:r>
    </w:p>
    <w:tbl>
      <w:tblPr>
        <w:tblW w:w="9921" w:type="dxa"/>
        <w:tblInd w:w="172" w:type="dxa"/>
        <w:tblLayout w:type="fixed"/>
        <w:tblLook w:val="0000" w:firstRow="0" w:lastRow="0" w:firstColumn="0" w:lastColumn="0" w:noHBand="0" w:noVBand="0"/>
      </w:tblPr>
      <w:tblGrid>
        <w:gridCol w:w="2055"/>
        <w:gridCol w:w="1782"/>
        <w:gridCol w:w="1060"/>
        <w:gridCol w:w="5024"/>
      </w:tblGrid>
      <w:tr w:rsidR="002D1B8A" w:rsidTr="00833B2C">
        <w:tc>
          <w:tcPr>
            <w:tcW w:w="2055"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jc w:val="center"/>
              <w:rPr>
                <w:b/>
                <w:sz w:val="18"/>
                <w:szCs w:val="18"/>
              </w:rPr>
            </w:pPr>
            <w:proofErr w:type="spellStart"/>
            <w:r>
              <w:rPr>
                <w:b/>
                <w:sz w:val="18"/>
                <w:szCs w:val="18"/>
              </w:rPr>
              <w:t>Name</w:t>
            </w:r>
            <w:proofErr w:type="spellEnd"/>
          </w:p>
        </w:tc>
        <w:tc>
          <w:tcPr>
            <w:tcW w:w="1782"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jc w:val="center"/>
              <w:rPr>
                <w:b/>
                <w:sz w:val="18"/>
                <w:szCs w:val="18"/>
              </w:rPr>
            </w:pPr>
            <w:r>
              <w:rPr>
                <w:b/>
                <w:sz w:val="18"/>
                <w:szCs w:val="18"/>
              </w:rPr>
              <w:t>Type</w:t>
            </w:r>
          </w:p>
        </w:tc>
        <w:tc>
          <w:tcPr>
            <w:tcW w:w="106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b/>
                <w:sz w:val="18"/>
                <w:szCs w:val="18"/>
              </w:rPr>
            </w:pPr>
            <w:r>
              <w:rPr>
                <w:b/>
                <w:sz w:val="18"/>
                <w:szCs w:val="18"/>
              </w:rPr>
              <w:t>Multiplic</w:t>
            </w:r>
            <w:r>
              <w:rPr>
                <w:b/>
                <w:sz w:val="18"/>
                <w:szCs w:val="18"/>
              </w:rPr>
              <w:t>i</w:t>
            </w:r>
            <w:r>
              <w:rPr>
                <w:b/>
                <w:sz w:val="18"/>
                <w:szCs w:val="18"/>
              </w:rPr>
              <w:t>ty</w:t>
            </w:r>
          </w:p>
        </w:tc>
        <w:tc>
          <w:tcPr>
            <w:tcW w:w="5024"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b/>
                <w:sz w:val="18"/>
                <w:szCs w:val="18"/>
              </w:rPr>
            </w:pPr>
            <w:proofErr w:type="spellStart"/>
            <w:r>
              <w:rPr>
                <w:b/>
                <w:sz w:val="18"/>
                <w:szCs w:val="18"/>
              </w:rPr>
              <w:t>Description</w:t>
            </w:r>
            <w:proofErr w:type="spellEnd"/>
          </w:p>
        </w:tc>
      </w:tr>
      <w:tr w:rsidR="002D1B8A" w:rsidTr="00833B2C">
        <w:tc>
          <w:tcPr>
            <w:tcW w:w="2055" w:type="dxa"/>
            <w:tcBorders>
              <w:top w:val="single" w:sz="8" w:space="0" w:color="000000"/>
              <w:left w:val="single" w:sz="8" w:space="0" w:color="000000"/>
              <w:bottom w:val="single" w:sz="8" w:space="0" w:color="000000"/>
              <w:right w:val="single" w:sz="8" w:space="0" w:color="000000"/>
            </w:tcBorders>
            <w:tcMar>
              <w:top w:w="72" w:type="dxa"/>
              <w:left w:w="72" w:type="dxa"/>
              <w:bottom w:w="72" w:type="dxa"/>
              <w:right w:w="72" w:type="dxa"/>
            </w:tcMar>
          </w:tcPr>
          <w:p w:rsidR="002D1B8A" w:rsidRDefault="002D1B8A" w:rsidP="00833B2C">
            <w:pPr>
              <w:keepNext/>
              <w:keepLines/>
              <w:rPr>
                <w:sz w:val="18"/>
                <w:szCs w:val="18"/>
              </w:rPr>
            </w:pPr>
            <w:r>
              <w:rPr>
                <w:sz w:val="18"/>
                <w:szCs w:val="18"/>
              </w:rPr>
              <w:t>SCID</w:t>
            </w:r>
          </w:p>
        </w:tc>
        <w:tc>
          <w:tcPr>
            <w:tcW w:w="1782"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IntUnTi</w:t>
            </w:r>
            <w:proofErr w:type="spellEnd"/>
          </w:p>
        </w:tc>
        <w:tc>
          <w:tcPr>
            <w:tcW w:w="106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sz w:val="18"/>
                <w:szCs w:val="18"/>
              </w:rPr>
            </w:pPr>
            <w:r>
              <w:rPr>
                <w:sz w:val="18"/>
                <w:szCs w:val="18"/>
              </w:rPr>
              <w:t>1</w:t>
            </w:r>
          </w:p>
        </w:tc>
        <w:tc>
          <w:tcPr>
            <w:tcW w:w="5024"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rPr>
                <w:sz w:val="18"/>
                <w:szCs w:val="18"/>
              </w:rPr>
            </w:pPr>
            <w:proofErr w:type="spellStart"/>
            <w:r>
              <w:rPr>
                <w:sz w:val="18"/>
                <w:szCs w:val="18"/>
              </w:rPr>
              <w:t>Service</w:t>
            </w:r>
            <w:proofErr w:type="spellEnd"/>
            <w:r>
              <w:rPr>
                <w:sz w:val="18"/>
                <w:szCs w:val="18"/>
              </w:rPr>
              <w:t xml:space="preserve"> </w:t>
            </w:r>
            <w:proofErr w:type="spellStart"/>
            <w:r>
              <w:rPr>
                <w:sz w:val="18"/>
                <w:szCs w:val="18"/>
              </w:rPr>
              <w:t>Component</w:t>
            </w:r>
            <w:proofErr w:type="spellEnd"/>
            <w:r>
              <w:rPr>
                <w:sz w:val="18"/>
                <w:szCs w:val="18"/>
              </w:rPr>
              <w:t xml:space="preserve"> </w:t>
            </w:r>
            <w:proofErr w:type="spellStart"/>
            <w:r>
              <w:rPr>
                <w:sz w:val="18"/>
                <w:szCs w:val="18"/>
              </w:rPr>
              <w:t>Identification</w:t>
            </w:r>
            <w:proofErr w:type="spellEnd"/>
            <w:r>
              <w:rPr>
                <w:sz w:val="18"/>
                <w:szCs w:val="18"/>
              </w:rPr>
              <w:t xml:space="preserve"> (SCID).</w:t>
            </w:r>
          </w:p>
        </w:tc>
      </w:tr>
      <w:tr w:rsidR="002D1B8A" w:rsidTr="00833B2C">
        <w:tc>
          <w:tcPr>
            <w:tcW w:w="2055" w:type="dxa"/>
            <w:tcBorders>
              <w:top w:val="single" w:sz="8" w:space="0" w:color="000000"/>
              <w:left w:val="single" w:sz="8" w:space="0" w:color="000000"/>
              <w:bottom w:val="single" w:sz="8" w:space="0" w:color="000000"/>
              <w:right w:val="single" w:sz="8" w:space="0" w:color="000000"/>
            </w:tcBorders>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contentDescription</w:t>
            </w:r>
            <w:proofErr w:type="spellEnd"/>
          </w:p>
        </w:tc>
        <w:tc>
          <w:tcPr>
            <w:tcW w:w="1782" w:type="dxa"/>
            <w:tcBorders>
              <w:top w:val="single" w:sz="8" w:space="0" w:color="000000"/>
              <w:left w:val="single" w:sz="8" w:space="0" w:color="000000"/>
              <w:bottom w:val="single" w:sz="8" w:space="0" w:color="000000"/>
              <w:right w:val="single" w:sz="8" w:space="0" w:color="000000"/>
            </w:tcBorders>
            <w:shd w:val="clear" w:color="auto" w:fill="auto"/>
            <w:tcMar>
              <w:top w:w="72" w:type="dxa"/>
              <w:left w:w="72" w:type="dxa"/>
              <w:bottom w:w="72" w:type="dxa"/>
              <w:right w:w="72" w:type="dxa"/>
            </w:tcMar>
          </w:tcPr>
          <w:p w:rsidR="002D1B8A" w:rsidRDefault="002D1B8A" w:rsidP="00833B2C">
            <w:pPr>
              <w:keepNext/>
              <w:keepLines/>
              <w:rPr>
                <w:sz w:val="18"/>
                <w:szCs w:val="18"/>
              </w:rPr>
            </w:pPr>
            <w:proofErr w:type="spellStart"/>
            <w:r>
              <w:rPr>
                <w:sz w:val="18"/>
                <w:szCs w:val="18"/>
              </w:rPr>
              <w:t>ShortString</w:t>
            </w:r>
            <w:proofErr w:type="spellEnd"/>
          </w:p>
        </w:tc>
        <w:tc>
          <w:tcPr>
            <w:tcW w:w="1060"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jc w:val="center"/>
              <w:rPr>
                <w:sz w:val="18"/>
                <w:szCs w:val="18"/>
              </w:rPr>
            </w:pPr>
            <w:r>
              <w:rPr>
                <w:sz w:val="18"/>
                <w:szCs w:val="18"/>
              </w:rPr>
              <w:t>1</w:t>
            </w:r>
          </w:p>
        </w:tc>
        <w:tc>
          <w:tcPr>
            <w:tcW w:w="5024" w:type="dxa"/>
            <w:tcBorders>
              <w:top w:val="single" w:sz="8" w:space="0" w:color="000000"/>
              <w:left w:val="single" w:sz="8" w:space="0" w:color="000000"/>
              <w:bottom w:val="single" w:sz="8" w:space="0" w:color="000000"/>
              <w:right w:val="single" w:sz="8" w:space="0" w:color="000000"/>
            </w:tcBorders>
            <w:shd w:val="clear" w:color="auto" w:fill="auto"/>
          </w:tcPr>
          <w:p w:rsidR="002D1B8A" w:rsidRDefault="002D1B8A" w:rsidP="00833B2C">
            <w:pPr>
              <w:keepNext/>
              <w:keepLines/>
              <w:rPr>
                <w:sz w:val="18"/>
                <w:szCs w:val="18"/>
              </w:rPr>
            </w:pPr>
            <w:proofErr w:type="spellStart"/>
            <w:r>
              <w:rPr>
                <w:sz w:val="18"/>
                <w:szCs w:val="18"/>
              </w:rPr>
              <w:t>Content</w:t>
            </w:r>
            <w:proofErr w:type="spellEnd"/>
            <w:r>
              <w:rPr>
                <w:sz w:val="18"/>
                <w:szCs w:val="18"/>
              </w:rPr>
              <w:t xml:space="preserve"> </w:t>
            </w:r>
            <w:proofErr w:type="spellStart"/>
            <w:r>
              <w:rPr>
                <w:sz w:val="18"/>
                <w:szCs w:val="18"/>
              </w:rPr>
              <w:t>Description</w:t>
            </w:r>
            <w:proofErr w:type="spellEnd"/>
            <w:r>
              <w:rPr>
                <w:sz w:val="18"/>
                <w:szCs w:val="18"/>
              </w:rPr>
              <w:t>:</w:t>
            </w:r>
          </w:p>
          <w:p w:rsidR="002D1B8A" w:rsidRDefault="002D1B8A" w:rsidP="00833B2C">
            <w:pPr>
              <w:keepNext/>
              <w:keepLines/>
              <w:rPr>
                <w:sz w:val="18"/>
                <w:szCs w:val="18"/>
              </w:rPr>
            </w:pPr>
            <w:proofErr w:type="spellStart"/>
            <w:r>
              <w:rPr>
                <w:sz w:val="18"/>
                <w:szCs w:val="18"/>
              </w:rPr>
              <w:t>Gives</w:t>
            </w:r>
            <w:proofErr w:type="spellEnd"/>
            <w:r>
              <w:rPr>
                <w:sz w:val="18"/>
                <w:szCs w:val="18"/>
              </w:rPr>
              <w:t xml:space="preserve"> </w:t>
            </w:r>
            <w:proofErr w:type="spellStart"/>
            <w:r>
              <w:rPr>
                <w:sz w:val="18"/>
                <w:szCs w:val="18"/>
              </w:rPr>
              <w:t>further</w:t>
            </w:r>
            <w:proofErr w:type="spellEnd"/>
            <w:r>
              <w:rPr>
                <w:sz w:val="18"/>
                <w:szCs w:val="18"/>
              </w:rPr>
              <w:t xml:space="preserve"> </w:t>
            </w:r>
            <w:proofErr w:type="spellStart"/>
            <w:r>
              <w:rPr>
                <w:sz w:val="18"/>
                <w:szCs w:val="18"/>
              </w:rPr>
              <w:t>information</w:t>
            </w:r>
            <w:proofErr w:type="spellEnd"/>
            <w:r>
              <w:rPr>
                <w:sz w:val="18"/>
                <w:szCs w:val="18"/>
              </w:rPr>
              <w:t xml:space="preserve"> </w:t>
            </w:r>
            <w:proofErr w:type="spellStart"/>
            <w:r>
              <w:rPr>
                <w:sz w:val="18"/>
                <w:szCs w:val="18"/>
              </w:rPr>
              <w:t>related</w:t>
            </w:r>
            <w:proofErr w:type="spellEnd"/>
            <w:r>
              <w:rPr>
                <w:sz w:val="18"/>
                <w:szCs w:val="18"/>
              </w:rPr>
              <w:t xml:space="preserve"> to a </w:t>
            </w:r>
            <w:proofErr w:type="spellStart"/>
            <w:r>
              <w:rPr>
                <w:sz w:val="18"/>
                <w:szCs w:val="18"/>
              </w:rPr>
              <w:t>service</w:t>
            </w:r>
            <w:proofErr w:type="spellEnd"/>
            <w:r>
              <w:rPr>
                <w:sz w:val="18"/>
                <w:szCs w:val="18"/>
              </w:rPr>
              <w:t xml:space="preserve"> </w:t>
            </w:r>
            <w:proofErr w:type="spellStart"/>
            <w:r>
              <w:rPr>
                <w:sz w:val="18"/>
                <w:szCs w:val="18"/>
              </w:rPr>
              <w:t>component</w:t>
            </w:r>
            <w:proofErr w:type="spellEnd"/>
            <w:r>
              <w:rPr>
                <w:sz w:val="18"/>
                <w:szCs w:val="18"/>
              </w:rPr>
              <w:t xml:space="preserve">. </w:t>
            </w:r>
            <w:proofErr w:type="spellStart"/>
            <w:r>
              <w:rPr>
                <w:sz w:val="18"/>
                <w:szCs w:val="18"/>
              </w:rPr>
              <w:t>The</w:t>
            </w:r>
            <w:proofErr w:type="spellEnd"/>
            <w:r>
              <w:rPr>
                <w:sz w:val="18"/>
                <w:szCs w:val="18"/>
              </w:rPr>
              <w:t xml:space="preserve"> </w:t>
            </w:r>
            <w:proofErr w:type="spellStart"/>
            <w:r>
              <w:rPr>
                <w:sz w:val="18"/>
                <w:szCs w:val="18"/>
              </w:rPr>
              <w:t>general</w:t>
            </w:r>
            <w:proofErr w:type="spellEnd"/>
            <w:r>
              <w:rPr>
                <w:sz w:val="18"/>
                <w:szCs w:val="18"/>
              </w:rPr>
              <w:t xml:space="preserve"> </w:t>
            </w:r>
            <w:proofErr w:type="spellStart"/>
            <w:r>
              <w:rPr>
                <w:sz w:val="18"/>
                <w:szCs w:val="18"/>
              </w:rPr>
              <w:t>description</w:t>
            </w:r>
            <w:proofErr w:type="spellEnd"/>
            <w:r>
              <w:rPr>
                <w:sz w:val="18"/>
                <w:szCs w:val="18"/>
              </w:rPr>
              <w:t xml:space="preserve"> </w:t>
            </w:r>
            <w:proofErr w:type="spellStart"/>
            <w:r>
              <w:rPr>
                <w:sz w:val="18"/>
                <w:szCs w:val="18"/>
              </w:rPr>
              <w:t>of</w:t>
            </w:r>
            <w:proofErr w:type="spellEnd"/>
            <w:r>
              <w:rPr>
                <w:sz w:val="18"/>
                <w:szCs w:val="18"/>
              </w:rPr>
              <w:t xml:space="preserve"> a </w:t>
            </w:r>
            <w:proofErr w:type="spellStart"/>
            <w:r>
              <w:rPr>
                <w:sz w:val="18"/>
                <w:szCs w:val="18"/>
              </w:rPr>
              <w:t>service</w:t>
            </w:r>
            <w:proofErr w:type="spellEnd"/>
            <w:r>
              <w:rPr>
                <w:sz w:val="18"/>
                <w:szCs w:val="18"/>
              </w:rPr>
              <w:t xml:space="preserve"> </w:t>
            </w:r>
            <w:proofErr w:type="spellStart"/>
            <w:r>
              <w:rPr>
                <w:sz w:val="18"/>
                <w:szCs w:val="18"/>
              </w:rPr>
              <w:t>is</w:t>
            </w:r>
            <w:proofErr w:type="spellEnd"/>
            <w:r>
              <w:rPr>
                <w:sz w:val="18"/>
                <w:szCs w:val="18"/>
              </w:rPr>
              <w:t xml:space="preserve"> </w:t>
            </w:r>
            <w:proofErr w:type="spellStart"/>
            <w:r>
              <w:rPr>
                <w:sz w:val="18"/>
                <w:szCs w:val="18"/>
              </w:rPr>
              <w:t>signalled</w:t>
            </w:r>
            <w:proofErr w:type="spellEnd"/>
            <w:r>
              <w:rPr>
                <w:sz w:val="18"/>
                <w:szCs w:val="18"/>
              </w:rPr>
              <w:t xml:space="preserve"> by </w:t>
            </w:r>
            <w:proofErr w:type="spellStart"/>
            <w:r>
              <w:rPr>
                <w:sz w:val="18"/>
                <w:szCs w:val="18"/>
              </w:rPr>
              <w:t>the</w:t>
            </w:r>
            <w:proofErr w:type="spellEnd"/>
            <w:r>
              <w:rPr>
                <w:sz w:val="18"/>
                <w:szCs w:val="18"/>
              </w:rPr>
              <w:t xml:space="preserve"> </w:t>
            </w:r>
            <w:proofErr w:type="spellStart"/>
            <w:r>
              <w:rPr>
                <w:sz w:val="18"/>
                <w:szCs w:val="18"/>
              </w:rPr>
              <w:t>CurrentServiceInformation</w:t>
            </w:r>
            <w:proofErr w:type="spellEnd"/>
            <w:r>
              <w:rPr>
                <w:sz w:val="18"/>
                <w:szCs w:val="18"/>
              </w:rPr>
              <w:t xml:space="preserve"> </w:t>
            </w:r>
            <w:proofErr w:type="spellStart"/>
            <w:r>
              <w:rPr>
                <w:sz w:val="18"/>
                <w:szCs w:val="18"/>
              </w:rPr>
              <w:t>component</w:t>
            </w:r>
            <w:proofErr w:type="spellEnd"/>
            <w:r>
              <w:rPr>
                <w:sz w:val="18"/>
                <w:szCs w:val="18"/>
              </w:rPr>
              <w:t>.</w:t>
            </w:r>
          </w:p>
        </w:tc>
      </w:tr>
    </w:tbl>
    <w:p w:rsidR="002D1B8A" w:rsidRDefault="002D1B8A" w:rsidP="002D1B8A">
      <w:pPr>
        <w:spacing w:after="120"/>
        <w:jc w:val="both"/>
      </w:pPr>
    </w:p>
    <w:p w:rsidR="002D1B8A" w:rsidRDefault="002D1B8A" w:rsidP="002D1B8A">
      <w:pPr>
        <w:spacing w:after="120"/>
        <w:jc w:val="both"/>
      </w:pPr>
      <w:r>
        <w:t xml:space="preserve">Definice </w:t>
      </w:r>
      <w:proofErr w:type="spellStart"/>
      <w:r>
        <w:rPr>
          <w:rFonts w:ascii="Courier New" w:eastAsia="Courier New" w:hAnsi="Courier New" w:cs="Courier New"/>
        </w:rPr>
        <w:t>SameServiceEntry</w:t>
      </w:r>
      <w:proofErr w:type="spellEnd"/>
      <w:r>
        <w:t xml:space="preserve"> na rozdíl od ostatních definic obsahuje textově definovaná pravidla použití.</w:t>
      </w:r>
    </w:p>
    <w:p w:rsidR="002D1B8A" w:rsidRDefault="002D1B8A" w:rsidP="002D1B8A">
      <w:pPr>
        <w:pStyle w:val="Nadpis1"/>
      </w:pPr>
      <w:r>
        <w:t>10 </w:t>
      </w:r>
      <w:proofErr w:type="spellStart"/>
      <w:r>
        <w:t>Tabulky</w:t>
      </w:r>
      <w:proofErr w:type="spellEnd"/>
      <w:r>
        <w:t xml:space="preserve"> SNI</w:t>
      </w:r>
    </w:p>
    <w:p w:rsidR="002D1B8A" w:rsidRDefault="002D1B8A" w:rsidP="002D1B8A">
      <w:pPr>
        <w:spacing w:after="120"/>
        <w:jc w:val="both"/>
      </w:pPr>
      <w:bookmarkStart w:id="9" w:name="_4d34og8" w:colFirst="0" w:colLast="0"/>
      <w:bookmarkEnd w:id="9"/>
      <w:r>
        <w:t>Tato kapitola (rozsah 2 strany) uvádí 2 tabulky výčtových typů, formát obrázku loga (sni001:GraphicType) a kódování znaků (sni002:CharacterEncoding).</w:t>
      </w:r>
    </w:p>
    <w:p w:rsidR="002D1B8A" w:rsidRDefault="002D1B8A" w:rsidP="002D1B8A">
      <w:pPr>
        <w:pStyle w:val="Nadpis1"/>
      </w:pPr>
      <w:r>
        <w:t>11 </w:t>
      </w:r>
      <w:proofErr w:type="spellStart"/>
      <w:r>
        <w:t>Bibliografie</w:t>
      </w:r>
      <w:proofErr w:type="spellEnd"/>
    </w:p>
    <w:p w:rsidR="002D1B8A" w:rsidRDefault="002D1B8A" w:rsidP="002D1B8A">
      <w:pPr>
        <w:spacing w:after="120"/>
        <w:jc w:val="both"/>
      </w:pPr>
      <w:r>
        <w:t>Tato kapitola (rozsah 1 odstavec) uvádí 2 odkazy, první na předchozí verzi SNI v TPEG1 a druhý na definici XML schématu.</w:t>
      </w:r>
    </w:p>
    <w:p w:rsidR="002D1B8A" w:rsidRDefault="002D1B8A" w:rsidP="002D1B8A">
      <w:pPr>
        <w:pStyle w:val="Nadpis1"/>
      </w:pPr>
      <w:proofErr w:type="spellStart"/>
      <w:r>
        <w:t>Příloha</w:t>
      </w:r>
      <w:proofErr w:type="spellEnd"/>
      <w:r>
        <w:t xml:space="preserve"> A </w:t>
      </w:r>
      <w:r>
        <w:rPr>
          <w:b w:val="0"/>
        </w:rPr>
        <w:t>(</w:t>
      </w:r>
      <w:proofErr w:type="spellStart"/>
      <w:r>
        <w:rPr>
          <w:b w:val="0"/>
        </w:rPr>
        <w:t>normativní</w:t>
      </w:r>
      <w:proofErr w:type="spellEnd"/>
      <w:r>
        <w:rPr>
          <w:b w:val="0"/>
        </w:rPr>
        <w:t xml:space="preserve">) </w:t>
      </w:r>
      <w:r>
        <w:t xml:space="preserve">TPEG-bin </w:t>
      </w:r>
      <w:proofErr w:type="spellStart"/>
      <w:r>
        <w:t>reprezentace</w:t>
      </w:r>
      <w:proofErr w:type="spellEnd"/>
      <w:r>
        <w:t xml:space="preserve"> SNI</w:t>
      </w:r>
    </w:p>
    <w:p w:rsidR="002D1B8A" w:rsidRDefault="002D1B8A" w:rsidP="002D1B8A">
      <w:pPr>
        <w:spacing w:after="120"/>
        <w:jc w:val="both"/>
      </w:pPr>
      <w:r>
        <w:t>Tato příloha o rozsahu 20 stran je současně s Přílohou B klíčovou částí normy.</w:t>
      </w:r>
    </w:p>
    <w:p w:rsidR="002D1B8A" w:rsidRDefault="002D1B8A" w:rsidP="002D1B8A">
      <w:pPr>
        <w:spacing w:after="120"/>
        <w:jc w:val="both"/>
      </w:pPr>
      <w:r>
        <w:t>Příloha stanovuje binární reprezentaci aplikace informace o službách a síti (SNI) TPEG pro použití v DAB. P</w:t>
      </w:r>
      <w:r>
        <w:t>o</w:t>
      </w:r>
      <w:r>
        <w:t xml:space="preserve">pis binární reprezentace je uveden v pseudokódu, kde pro každé klíčové slovo zapsané struktury je znám jeho binární tvar. </w:t>
      </w:r>
    </w:p>
    <w:p w:rsidR="002D1B8A" w:rsidRDefault="002D1B8A" w:rsidP="002D1B8A">
      <w:pPr>
        <w:spacing w:after="120"/>
        <w:jc w:val="both"/>
      </w:pPr>
      <w:r>
        <w:lastRenderedPageBreak/>
        <w:t xml:space="preserve">V části A.1 se uvádí rozdíly konverze z UML do binární reprezentace od konverze stanovené v dokumentu TPEG2-UBCR. Například změna typu proměnné </w:t>
      </w:r>
      <w:proofErr w:type="spellStart"/>
      <w:r>
        <w:t>LengthIndicator</w:t>
      </w:r>
      <w:proofErr w:type="spellEnd"/>
      <w:r>
        <w:t xml:space="preserve"> na </w:t>
      </w:r>
      <w:proofErr w:type="spellStart"/>
      <w:r>
        <w:t>IntUnLi</w:t>
      </w:r>
      <w:proofErr w:type="spellEnd"/>
      <w:r>
        <w:t>, atp.</w:t>
      </w:r>
    </w:p>
    <w:p w:rsidR="002D1B8A" w:rsidRDefault="002D1B8A" w:rsidP="002D1B8A">
      <w:pPr>
        <w:spacing w:after="120"/>
        <w:jc w:val="both"/>
      </w:pPr>
      <w:r>
        <w:t xml:space="preserve">V části A.2 je uvedena tabulka (viz dole) identifikátorů komponent TPEG2 a TPEG1. </w:t>
      </w:r>
    </w:p>
    <w:p w:rsidR="002D1B8A" w:rsidRDefault="002D1B8A" w:rsidP="002D1B8A">
      <w:pPr>
        <w:keepNext/>
        <w:keepLines/>
        <w:spacing w:before="120" w:after="120"/>
        <w:jc w:val="center"/>
        <w:rPr>
          <w:b/>
        </w:rPr>
      </w:pPr>
      <w:bookmarkStart w:id="10" w:name="_2s8eyo1" w:colFirst="0" w:colLast="0"/>
      <w:bookmarkEnd w:id="10"/>
      <w:r>
        <w:rPr>
          <w:b/>
        </w:rPr>
        <w:t>Tabulka 4 – Seznam identifikátorů obecných komponent (tab. 53 normy)</w:t>
      </w:r>
    </w:p>
    <w:tbl>
      <w:tblPr>
        <w:tblW w:w="970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435"/>
        <w:gridCol w:w="480"/>
        <w:gridCol w:w="5175"/>
        <w:gridCol w:w="615"/>
      </w:tblGrid>
      <w:tr w:rsidR="002D1B8A" w:rsidTr="00833B2C">
        <w:trPr>
          <w:jc w:val="center"/>
        </w:trPr>
        <w:tc>
          <w:tcPr>
            <w:tcW w:w="3435" w:type="dxa"/>
          </w:tcPr>
          <w:p w:rsidR="002D1B8A" w:rsidRDefault="002D1B8A" w:rsidP="00833B2C">
            <w:pPr>
              <w:rPr>
                <w:sz w:val="18"/>
                <w:szCs w:val="18"/>
              </w:rPr>
            </w:pPr>
            <w:proofErr w:type="spellStart"/>
            <w:r>
              <w:rPr>
                <w:sz w:val="18"/>
                <w:szCs w:val="18"/>
              </w:rPr>
              <w:t>Name</w:t>
            </w:r>
            <w:proofErr w:type="spellEnd"/>
          </w:p>
        </w:tc>
        <w:tc>
          <w:tcPr>
            <w:tcW w:w="480" w:type="dxa"/>
          </w:tcPr>
          <w:p w:rsidR="002D1B8A" w:rsidRDefault="002D1B8A" w:rsidP="00833B2C">
            <w:pPr>
              <w:rPr>
                <w:sz w:val="18"/>
                <w:szCs w:val="18"/>
              </w:rPr>
            </w:pPr>
            <w:r>
              <w:rPr>
                <w:sz w:val="18"/>
                <w:szCs w:val="18"/>
              </w:rPr>
              <w:t>Id</w:t>
            </w:r>
          </w:p>
        </w:tc>
        <w:tc>
          <w:tcPr>
            <w:tcW w:w="5175" w:type="dxa"/>
          </w:tcPr>
          <w:p w:rsidR="002D1B8A" w:rsidRDefault="002D1B8A" w:rsidP="00833B2C">
            <w:pPr>
              <w:rPr>
                <w:sz w:val="18"/>
                <w:szCs w:val="18"/>
              </w:rPr>
            </w:pPr>
            <w:proofErr w:type="spellStart"/>
            <w:r>
              <w:rPr>
                <w:sz w:val="18"/>
                <w:szCs w:val="18"/>
              </w:rPr>
              <w:t>Name</w:t>
            </w:r>
            <w:proofErr w:type="spellEnd"/>
          </w:p>
        </w:tc>
        <w:tc>
          <w:tcPr>
            <w:tcW w:w="615" w:type="dxa"/>
          </w:tcPr>
          <w:p w:rsidR="002D1B8A" w:rsidRDefault="002D1B8A" w:rsidP="00833B2C">
            <w:pPr>
              <w:rPr>
                <w:sz w:val="18"/>
                <w:szCs w:val="18"/>
              </w:rPr>
            </w:pPr>
            <w:r>
              <w:rPr>
                <w:sz w:val="18"/>
                <w:szCs w:val="18"/>
              </w:rPr>
              <w:t>Id</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CurrentServiceInformation</w:t>
            </w:r>
            <w:proofErr w:type="spellEnd"/>
          </w:p>
        </w:tc>
        <w:tc>
          <w:tcPr>
            <w:tcW w:w="480" w:type="dxa"/>
          </w:tcPr>
          <w:p w:rsidR="002D1B8A" w:rsidRDefault="002D1B8A" w:rsidP="00833B2C">
            <w:pPr>
              <w:rPr>
                <w:sz w:val="18"/>
                <w:szCs w:val="18"/>
              </w:rPr>
            </w:pPr>
            <w:r>
              <w:rPr>
                <w:sz w:val="18"/>
                <w:szCs w:val="18"/>
              </w:rPr>
              <w:t>0</w:t>
            </w:r>
          </w:p>
        </w:tc>
        <w:tc>
          <w:tcPr>
            <w:tcW w:w="517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LinkageToRelatedService</w:t>
            </w:r>
            <w:proofErr w:type="spellEnd"/>
          </w:p>
        </w:tc>
        <w:tc>
          <w:tcPr>
            <w:tcW w:w="615" w:type="dxa"/>
          </w:tcPr>
          <w:p w:rsidR="002D1B8A" w:rsidRDefault="002D1B8A" w:rsidP="00833B2C">
            <w:pPr>
              <w:rPr>
                <w:sz w:val="18"/>
                <w:szCs w:val="18"/>
              </w:rPr>
            </w:pPr>
            <w:r>
              <w:rPr>
                <w:sz w:val="18"/>
                <w:szCs w:val="18"/>
              </w:rPr>
              <w:t>9</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GST1_FastTuningTable</w:t>
            </w:r>
          </w:p>
        </w:tc>
        <w:tc>
          <w:tcPr>
            <w:tcW w:w="480" w:type="dxa"/>
          </w:tcPr>
          <w:p w:rsidR="002D1B8A" w:rsidRDefault="002D1B8A" w:rsidP="00833B2C">
            <w:pPr>
              <w:rPr>
                <w:sz w:val="18"/>
                <w:szCs w:val="18"/>
              </w:rPr>
            </w:pPr>
            <w:r>
              <w:rPr>
                <w:sz w:val="18"/>
                <w:szCs w:val="18"/>
              </w:rPr>
              <w:t>1</w:t>
            </w:r>
          </w:p>
        </w:tc>
        <w:tc>
          <w:tcPr>
            <w:tcW w:w="517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SubscriberInformation</w:t>
            </w:r>
            <w:proofErr w:type="spellEnd"/>
          </w:p>
        </w:tc>
        <w:tc>
          <w:tcPr>
            <w:tcW w:w="615" w:type="dxa"/>
          </w:tcPr>
          <w:p w:rsidR="002D1B8A" w:rsidRDefault="002D1B8A" w:rsidP="00833B2C">
            <w:pPr>
              <w:rPr>
                <w:sz w:val="18"/>
                <w:szCs w:val="18"/>
              </w:rPr>
            </w:pPr>
            <w:r>
              <w:rPr>
                <w:sz w:val="18"/>
                <w:szCs w:val="18"/>
              </w:rPr>
              <w:t>10</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GST2_TimeScheduleTable</w:t>
            </w:r>
          </w:p>
        </w:tc>
        <w:tc>
          <w:tcPr>
            <w:tcW w:w="480" w:type="dxa"/>
          </w:tcPr>
          <w:p w:rsidR="002D1B8A" w:rsidRDefault="002D1B8A" w:rsidP="00833B2C">
            <w:pPr>
              <w:rPr>
                <w:sz w:val="18"/>
                <w:szCs w:val="18"/>
              </w:rPr>
            </w:pPr>
            <w:r>
              <w:rPr>
                <w:sz w:val="18"/>
                <w:szCs w:val="18"/>
              </w:rPr>
              <w:t>2</w:t>
            </w:r>
          </w:p>
        </w:tc>
        <w:tc>
          <w:tcPr>
            <w:tcW w:w="517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FreeTextInformation</w:t>
            </w:r>
            <w:proofErr w:type="spellEnd"/>
          </w:p>
        </w:tc>
        <w:tc>
          <w:tcPr>
            <w:tcW w:w="615" w:type="dxa"/>
          </w:tcPr>
          <w:p w:rsidR="002D1B8A" w:rsidRDefault="002D1B8A" w:rsidP="00833B2C">
            <w:pPr>
              <w:rPr>
                <w:sz w:val="18"/>
                <w:szCs w:val="18"/>
              </w:rPr>
            </w:pPr>
            <w:r>
              <w:rPr>
                <w:sz w:val="18"/>
                <w:szCs w:val="18"/>
              </w:rPr>
              <w:t>11</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GST3_ContentDescription</w:t>
            </w:r>
          </w:p>
        </w:tc>
        <w:tc>
          <w:tcPr>
            <w:tcW w:w="480" w:type="dxa"/>
          </w:tcPr>
          <w:p w:rsidR="002D1B8A" w:rsidRDefault="002D1B8A" w:rsidP="00833B2C">
            <w:pPr>
              <w:rPr>
                <w:sz w:val="18"/>
                <w:szCs w:val="18"/>
              </w:rPr>
            </w:pPr>
            <w:r>
              <w:rPr>
                <w:sz w:val="18"/>
                <w:szCs w:val="18"/>
              </w:rPr>
              <w:t>3</w:t>
            </w:r>
          </w:p>
        </w:tc>
        <w:tc>
          <w:tcPr>
            <w:tcW w:w="517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HelpInformation</w:t>
            </w:r>
            <w:proofErr w:type="spellEnd"/>
          </w:p>
        </w:tc>
        <w:tc>
          <w:tcPr>
            <w:tcW w:w="615" w:type="dxa"/>
          </w:tcPr>
          <w:p w:rsidR="002D1B8A" w:rsidRDefault="002D1B8A" w:rsidP="00833B2C">
            <w:pPr>
              <w:rPr>
                <w:sz w:val="18"/>
                <w:szCs w:val="18"/>
              </w:rPr>
            </w:pPr>
            <w:r>
              <w:rPr>
                <w:sz w:val="18"/>
                <w:szCs w:val="18"/>
              </w:rPr>
              <w:t>12</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GST4_GeographicalCoverage</w:t>
            </w:r>
          </w:p>
        </w:tc>
        <w:tc>
          <w:tcPr>
            <w:tcW w:w="480" w:type="dxa"/>
          </w:tcPr>
          <w:p w:rsidR="002D1B8A" w:rsidRDefault="002D1B8A" w:rsidP="00833B2C">
            <w:pPr>
              <w:rPr>
                <w:sz w:val="18"/>
                <w:szCs w:val="18"/>
              </w:rPr>
            </w:pPr>
            <w:r>
              <w:rPr>
                <w:sz w:val="18"/>
                <w:szCs w:val="18"/>
              </w:rPr>
              <w:t>4</w:t>
            </w:r>
          </w:p>
        </w:tc>
        <w:tc>
          <w:tcPr>
            <w:tcW w:w="517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GST6_ConditionalAccessInformationReference</w:t>
            </w:r>
          </w:p>
        </w:tc>
        <w:tc>
          <w:tcPr>
            <w:tcW w:w="615" w:type="dxa"/>
          </w:tcPr>
          <w:p w:rsidR="002D1B8A" w:rsidRDefault="002D1B8A" w:rsidP="00833B2C">
            <w:pPr>
              <w:rPr>
                <w:sz w:val="18"/>
                <w:szCs w:val="18"/>
              </w:rPr>
            </w:pPr>
            <w:r>
              <w:rPr>
                <w:sz w:val="18"/>
                <w:szCs w:val="18"/>
              </w:rPr>
              <w:t>13</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GST5_ServiceComponentReset</w:t>
            </w:r>
          </w:p>
        </w:tc>
        <w:tc>
          <w:tcPr>
            <w:tcW w:w="480" w:type="dxa"/>
          </w:tcPr>
          <w:p w:rsidR="002D1B8A" w:rsidRDefault="002D1B8A" w:rsidP="00833B2C">
            <w:pPr>
              <w:rPr>
                <w:sz w:val="18"/>
                <w:szCs w:val="18"/>
              </w:rPr>
            </w:pPr>
            <w:r>
              <w:rPr>
                <w:sz w:val="18"/>
                <w:szCs w:val="18"/>
              </w:rPr>
              <w:t>5</w:t>
            </w:r>
          </w:p>
        </w:tc>
        <w:tc>
          <w:tcPr>
            <w:tcW w:w="517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GST7_Versioning</w:t>
            </w:r>
          </w:p>
        </w:tc>
        <w:tc>
          <w:tcPr>
            <w:tcW w:w="615" w:type="dxa"/>
          </w:tcPr>
          <w:p w:rsidR="002D1B8A" w:rsidRDefault="002D1B8A" w:rsidP="00833B2C">
            <w:pPr>
              <w:rPr>
                <w:sz w:val="18"/>
                <w:szCs w:val="18"/>
              </w:rPr>
            </w:pPr>
            <w:r>
              <w:rPr>
                <w:sz w:val="18"/>
                <w:szCs w:val="18"/>
              </w:rPr>
              <w:t>14</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GST_ServiceTableAccelerator</w:t>
            </w:r>
            <w:proofErr w:type="spellEnd"/>
          </w:p>
        </w:tc>
        <w:tc>
          <w:tcPr>
            <w:tcW w:w="480" w:type="dxa"/>
          </w:tcPr>
          <w:p w:rsidR="002D1B8A" w:rsidRDefault="002D1B8A" w:rsidP="00833B2C">
            <w:pPr>
              <w:rPr>
                <w:sz w:val="18"/>
                <w:szCs w:val="18"/>
              </w:rPr>
            </w:pPr>
            <w:r>
              <w:rPr>
                <w:sz w:val="18"/>
                <w:szCs w:val="18"/>
              </w:rPr>
              <w:t>6</w:t>
            </w:r>
          </w:p>
        </w:tc>
        <w:tc>
          <w:tcPr>
            <w:tcW w:w="517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BearerLinkageInfoHDRadio</w:t>
            </w:r>
            <w:proofErr w:type="spellEnd"/>
          </w:p>
        </w:tc>
        <w:tc>
          <w:tcPr>
            <w:tcW w:w="615" w:type="dxa"/>
          </w:tcPr>
          <w:p w:rsidR="002D1B8A" w:rsidRDefault="002D1B8A" w:rsidP="00833B2C">
            <w:pPr>
              <w:rPr>
                <w:sz w:val="18"/>
                <w:szCs w:val="18"/>
              </w:rPr>
            </w:pPr>
            <w:r>
              <w:rPr>
                <w:sz w:val="18"/>
                <w:szCs w:val="18"/>
              </w:rPr>
              <w:t>15</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ServiceLogo</w:t>
            </w:r>
            <w:proofErr w:type="spellEnd"/>
          </w:p>
        </w:tc>
        <w:tc>
          <w:tcPr>
            <w:tcW w:w="480" w:type="dxa"/>
          </w:tcPr>
          <w:p w:rsidR="002D1B8A" w:rsidRDefault="002D1B8A" w:rsidP="00833B2C">
            <w:pPr>
              <w:rPr>
                <w:sz w:val="18"/>
                <w:szCs w:val="18"/>
              </w:rPr>
            </w:pPr>
            <w:r>
              <w:rPr>
                <w:sz w:val="18"/>
                <w:szCs w:val="18"/>
              </w:rPr>
              <w:t>7</w:t>
            </w:r>
          </w:p>
        </w:tc>
        <w:tc>
          <w:tcPr>
            <w:tcW w:w="5175" w:type="dxa"/>
          </w:tcPr>
          <w:p w:rsidR="002D1B8A" w:rsidRDefault="002D1B8A" w:rsidP="00833B2C">
            <w:pPr>
              <w:rPr>
                <w:rFonts w:ascii="Courier New" w:eastAsia="Courier New" w:hAnsi="Courier New" w:cs="Courier New"/>
                <w:sz w:val="18"/>
                <w:szCs w:val="18"/>
              </w:rPr>
            </w:pPr>
            <w:r>
              <w:rPr>
                <w:rFonts w:ascii="Courier New" w:eastAsia="Courier New" w:hAnsi="Courier New" w:cs="Courier New"/>
                <w:sz w:val="18"/>
                <w:szCs w:val="18"/>
              </w:rPr>
              <w:t>SIT1_NumberOfMessages</w:t>
            </w:r>
          </w:p>
        </w:tc>
        <w:tc>
          <w:tcPr>
            <w:tcW w:w="615" w:type="dxa"/>
          </w:tcPr>
          <w:p w:rsidR="002D1B8A" w:rsidRDefault="002D1B8A" w:rsidP="00833B2C">
            <w:pPr>
              <w:rPr>
                <w:sz w:val="18"/>
                <w:szCs w:val="18"/>
              </w:rPr>
            </w:pPr>
            <w:r>
              <w:rPr>
                <w:sz w:val="18"/>
                <w:szCs w:val="18"/>
              </w:rPr>
              <w:t>33</w:t>
            </w:r>
          </w:p>
        </w:tc>
      </w:tr>
      <w:tr w:rsidR="002D1B8A" w:rsidTr="00833B2C">
        <w:trPr>
          <w:jc w:val="center"/>
        </w:trPr>
        <w:tc>
          <w:tcPr>
            <w:tcW w:w="3435" w:type="dxa"/>
          </w:tcPr>
          <w:p w:rsidR="002D1B8A" w:rsidRDefault="002D1B8A" w:rsidP="00833B2C">
            <w:pPr>
              <w:rPr>
                <w:rFonts w:ascii="Courier New" w:eastAsia="Courier New" w:hAnsi="Courier New" w:cs="Courier New"/>
                <w:sz w:val="18"/>
                <w:szCs w:val="18"/>
              </w:rPr>
            </w:pPr>
            <w:proofErr w:type="spellStart"/>
            <w:r>
              <w:rPr>
                <w:rFonts w:ascii="Courier New" w:eastAsia="Courier New" w:hAnsi="Courier New" w:cs="Courier New"/>
                <w:sz w:val="18"/>
                <w:szCs w:val="18"/>
              </w:rPr>
              <w:t>LinkageToSameService</w:t>
            </w:r>
            <w:proofErr w:type="spellEnd"/>
          </w:p>
        </w:tc>
        <w:tc>
          <w:tcPr>
            <w:tcW w:w="480" w:type="dxa"/>
          </w:tcPr>
          <w:p w:rsidR="002D1B8A" w:rsidRDefault="002D1B8A" w:rsidP="00833B2C">
            <w:pPr>
              <w:rPr>
                <w:sz w:val="18"/>
                <w:szCs w:val="18"/>
              </w:rPr>
            </w:pPr>
            <w:r>
              <w:rPr>
                <w:sz w:val="18"/>
                <w:szCs w:val="18"/>
              </w:rPr>
              <w:t>8</w:t>
            </w:r>
          </w:p>
        </w:tc>
        <w:tc>
          <w:tcPr>
            <w:tcW w:w="5175" w:type="dxa"/>
          </w:tcPr>
          <w:p w:rsidR="002D1B8A" w:rsidRDefault="002D1B8A" w:rsidP="00833B2C">
            <w:pPr>
              <w:rPr>
                <w:sz w:val="18"/>
                <w:szCs w:val="18"/>
              </w:rPr>
            </w:pPr>
          </w:p>
        </w:tc>
        <w:tc>
          <w:tcPr>
            <w:tcW w:w="615" w:type="dxa"/>
          </w:tcPr>
          <w:p w:rsidR="002D1B8A" w:rsidRDefault="002D1B8A" w:rsidP="00833B2C">
            <w:pPr>
              <w:rPr>
                <w:sz w:val="18"/>
                <w:szCs w:val="18"/>
              </w:rPr>
            </w:pPr>
          </w:p>
        </w:tc>
      </w:tr>
    </w:tbl>
    <w:p w:rsidR="002D1B8A" w:rsidRDefault="002D1B8A" w:rsidP="002D1B8A">
      <w:pPr>
        <w:spacing w:after="120"/>
        <w:jc w:val="both"/>
      </w:pPr>
    </w:p>
    <w:p w:rsidR="002D1B8A" w:rsidRDefault="002D1B8A" w:rsidP="002D1B8A">
      <w:pPr>
        <w:spacing w:after="120"/>
        <w:jc w:val="both"/>
      </w:pPr>
      <w:r>
        <w:t>Kapitola pokračuje „binárními“ definicemi dříve uvedených komponent. Například:</w:t>
      </w:r>
    </w:p>
    <w:p w:rsidR="002D1B8A" w:rsidRDefault="002D1B8A" w:rsidP="002D1B8A">
      <w:pPr>
        <w:keepNext/>
        <w:keepLines/>
        <w:spacing w:before="120" w:after="120"/>
        <w:jc w:val="center"/>
        <w:rPr>
          <w:b/>
        </w:rPr>
      </w:pPr>
      <w:bookmarkStart w:id="11" w:name="_17dp8vu" w:colFirst="0" w:colLast="0"/>
      <w:bookmarkEnd w:id="11"/>
      <w:r>
        <w:rPr>
          <w:b/>
        </w:rPr>
        <w:t xml:space="preserve">Tabulka 5 – Popis obsahu </w:t>
      </w:r>
      <w:r>
        <w:rPr>
          <w:rFonts w:ascii="Courier New" w:eastAsia="Courier New" w:hAnsi="Courier New" w:cs="Courier New"/>
          <w:b/>
        </w:rPr>
        <w:t>GST3_ContentDescription</w:t>
      </w:r>
      <w:r>
        <w:rPr>
          <w:b/>
        </w:rPr>
        <w:t xml:space="preserve"> (tab. a 64 normy) </w:t>
      </w:r>
    </w:p>
    <w:tbl>
      <w:tblPr>
        <w:tblW w:w="1004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371"/>
        <w:gridCol w:w="4678"/>
      </w:tblGrid>
      <w:tr w:rsidR="002D1B8A" w:rsidTr="00833B2C">
        <w:tc>
          <w:tcPr>
            <w:tcW w:w="5371" w:type="dxa"/>
          </w:tcPr>
          <w:p w:rsidR="002D1B8A" w:rsidRDefault="002D1B8A" w:rsidP="00833B2C">
            <w:r>
              <w:t>&lt;GST3_ContentDescription(3)&lt;SNI1Template(3)&gt;&gt;:=</w:t>
            </w:r>
          </w:p>
        </w:tc>
        <w:tc>
          <w:tcPr>
            <w:tcW w:w="4678" w:type="dxa"/>
          </w:tcPr>
          <w:p w:rsidR="002D1B8A" w:rsidRDefault="002D1B8A" w:rsidP="00833B2C"/>
        </w:tc>
      </w:tr>
      <w:tr w:rsidR="002D1B8A" w:rsidTr="00833B2C">
        <w:tc>
          <w:tcPr>
            <w:tcW w:w="5371" w:type="dxa"/>
          </w:tcPr>
          <w:p w:rsidR="002D1B8A" w:rsidRDefault="002D1B8A" w:rsidP="00833B2C">
            <w:r>
              <w:t>&lt;</w:t>
            </w:r>
            <w:proofErr w:type="spellStart"/>
            <w:r>
              <w:t>IntUnTi</w:t>
            </w:r>
            <w:proofErr w:type="spellEnd"/>
            <w:r>
              <w:t>&gt;(3),</w:t>
            </w:r>
          </w:p>
        </w:tc>
        <w:tc>
          <w:tcPr>
            <w:tcW w:w="4678" w:type="dxa"/>
          </w:tcPr>
          <w:p w:rsidR="002D1B8A" w:rsidRDefault="002D1B8A" w:rsidP="00833B2C">
            <w:r>
              <w:t xml:space="preserve">: id </w:t>
            </w:r>
            <w:proofErr w:type="spellStart"/>
            <w:r>
              <w:t>of</w:t>
            </w:r>
            <w:proofErr w:type="spellEnd"/>
            <w:r>
              <w:t xml:space="preserve"> </w:t>
            </w:r>
            <w:proofErr w:type="spellStart"/>
            <w:r>
              <w:t>this</w:t>
            </w:r>
            <w:proofErr w:type="spellEnd"/>
            <w:r>
              <w:t xml:space="preserve"> </w:t>
            </w:r>
            <w:proofErr w:type="spellStart"/>
            <w:r>
              <w:t>component</w:t>
            </w:r>
            <w:proofErr w:type="spellEnd"/>
          </w:p>
        </w:tc>
      </w:tr>
      <w:tr w:rsidR="002D1B8A" w:rsidTr="00833B2C">
        <w:tc>
          <w:tcPr>
            <w:tcW w:w="5371" w:type="dxa"/>
          </w:tcPr>
          <w:p w:rsidR="002D1B8A" w:rsidRDefault="002D1B8A" w:rsidP="00833B2C">
            <w:r>
              <w:t>&lt;</w:t>
            </w:r>
            <w:proofErr w:type="spellStart"/>
            <w:r>
              <w:t>IntUnLi</w:t>
            </w:r>
            <w:proofErr w:type="spellEnd"/>
            <w:r>
              <w:t>&gt;(</w:t>
            </w:r>
            <w:proofErr w:type="spellStart"/>
            <w:r>
              <w:t>lengthComp</w:t>
            </w:r>
            <w:proofErr w:type="spellEnd"/>
            <w:r>
              <w:t>),</w:t>
            </w:r>
          </w:p>
        </w:tc>
        <w:tc>
          <w:tcPr>
            <w:tcW w:w="4678" w:type="dxa"/>
          </w:tcPr>
          <w:p w:rsidR="002D1B8A" w:rsidRDefault="002D1B8A" w:rsidP="00833B2C">
            <w:r>
              <w:t xml:space="preserve">: </w:t>
            </w:r>
            <w:proofErr w:type="spellStart"/>
            <w:r>
              <w:t>number</w:t>
            </w:r>
            <w:proofErr w:type="spellEnd"/>
            <w:r>
              <w:t xml:space="preserve"> </w:t>
            </w:r>
            <w:proofErr w:type="spellStart"/>
            <w:r>
              <w:t>of</w:t>
            </w:r>
            <w:proofErr w:type="spellEnd"/>
            <w:r>
              <w:t xml:space="preserve"> </w:t>
            </w:r>
            <w:proofErr w:type="spellStart"/>
            <w:r>
              <w:t>bytes</w:t>
            </w:r>
            <w:proofErr w:type="spellEnd"/>
            <w:r>
              <w:t xml:space="preserve"> in </w:t>
            </w:r>
            <w:proofErr w:type="spellStart"/>
            <w:r>
              <w:t>component</w:t>
            </w:r>
            <w:proofErr w:type="spellEnd"/>
          </w:p>
        </w:tc>
      </w:tr>
      <w:tr w:rsidR="002D1B8A" w:rsidTr="00833B2C">
        <w:tc>
          <w:tcPr>
            <w:tcW w:w="5371" w:type="dxa"/>
          </w:tcPr>
          <w:p w:rsidR="002D1B8A" w:rsidRDefault="002D1B8A" w:rsidP="00833B2C">
            <w:r>
              <w:t>&lt;</w:t>
            </w:r>
            <w:proofErr w:type="spellStart"/>
            <w:r>
              <w:t>IntUnTi</w:t>
            </w:r>
            <w:proofErr w:type="spellEnd"/>
            <w:r>
              <w:t>&gt;(</w:t>
            </w:r>
            <w:proofErr w:type="spellStart"/>
            <w:r>
              <w:t>tableVersion</w:t>
            </w:r>
            <w:proofErr w:type="spellEnd"/>
            <w:r>
              <w:t>),</w:t>
            </w:r>
          </w:p>
        </w:tc>
        <w:tc>
          <w:tcPr>
            <w:tcW w:w="4678" w:type="dxa"/>
          </w:tcPr>
          <w:p w:rsidR="002D1B8A" w:rsidRDefault="002D1B8A" w:rsidP="00833B2C">
            <w:r>
              <w:t xml:space="preserve">: </w:t>
            </w:r>
            <w:proofErr w:type="spellStart"/>
            <w:r>
              <w:t>Incremented</w:t>
            </w:r>
            <w:proofErr w:type="spellEnd"/>
            <w:r>
              <w:t xml:space="preserve">, </w:t>
            </w:r>
            <w:proofErr w:type="spellStart"/>
            <w:r>
              <w:t>if</w:t>
            </w:r>
            <w:proofErr w:type="spellEnd"/>
            <w:r>
              <w:t xml:space="preserve"> </w:t>
            </w:r>
            <w:proofErr w:type="spellStart"/>
            <w:r>
              <w:t>any</w:t>
            </w:r>
            <w:proofErr w:type="spellEnd"/>
            <w:r>
              <w:t xml:space="preserve"> </w:t>
            </w:r>
            <w:proofErr w:type="spellStart"/>
            <w:r>
              <w:t>of</w:t>
            </w:r>
            <w:proofErr w:type="spellEnd"/>
            <w:r>
              <w:t xml:space="preserve"> </w:t>
            </w:r>
            <w:proofErr w:type="spellStart"/>
            <w:r>
              <w:t>the</w:t>
            </w:r>
            <w:proofErr w:type="spellEnd"/>
            <w:r>
              <w:t xml:space="preserve"> </w:t>
            </w:r>
            <w:proofErr w:type="spellStart"/>
            <w:r>
              <w:t>entries</w:t>
            </w:r>
            <w:proofErr w:type="spellEnd"/>
            <w:r>
              <w:t xml:space="preserve"> </w:t>
            </w:r>
            <w:proofErr w:type="spellStart"/>
            <w:r>
              <w:t>is</w:t>
            </w:r>
            <w:proofErr w:type="spellEnd"/>
            <w:r>
              <w:t xml:space="preserve"> </w:t>
            </w:r>
            <w:proofErr w:type="spellStart"/>
            <w:r>
              <w:t>changed</w:t>
            </w:r>
            <w:proofErr w:type="spellEnd"/>
            <w:r>
              <w:t>.</w:t>
            </w:r>
          </w:p>
        </w:tc>
      </w:tr>
      <w:tr w:rsidR="002D1B8A" w:rsidTr="00833B2C">
        <w:tc>
          <w:tcPr>
            <w:tcW w:w="5371" w:type="dxa"/>
          </w:tcPr>
          <w:p w:rsidR="002D1B8A" w:rsidRDefault="002D1B8A" w:rsidP="00833B2C">
            <w:r>
              <w:t>n * &lt;GST3_Entry&gt;(</w:t>
            </w:r>
            <w:proofErr w:type="spellStart"/>
            <w:r>
              <w:t>tableEntry</w:t>
            </w:r>
            <w:proofErr w:type="spellEnd"/>
            <w:r>
              <w:t>);</w:t>
            </w:r>
          </w:p>
        </w:tc>
        <w:tc>
          <w:tcPr>
            <w:tcW w:w="4678" w:type="dxa"/>
          </w:tcPr>
          <w:p w:rsidR="002D1B8A" w:rsidRDefault="002D1B8A" w:rsidP="00833B2C">
            <w:r>
              <w:t xml:space="preserve">: Lines </w:t>
            </w:r>
            <w:proofErr w:type="spellStart"/>
            <w:r>
              <w:t>of</w:t>
            </w:r>
            <w:proofErr w:type="spellEnd"/>
            <w:r>
              <w:t xml:space="preserve"> table GST3.</w:t>
            </w:r>
          </w:p>
        </w:tc>
      </w:tr>
    </w:tbl>
    <w:p w:rsidR="002D1B8A" w:rsidRDefault="002D1B8A" w:rsidP="002D1B8A">
      <w:pPr>
        <w:spacing w:after="120"/>
        <w:jc w:val="both"/>
      </w:pPr>
    </w:p>
    <w:p w:rsidR="002D1B8A" w:rsidRDefault="002D1B8A" w:rsidP="002D1B8A">
      <w:pPr>
        <w:spacing w:after="120"/>
        <w:jc w:val="both"/>
      </w:pPr>
      <w:r>
        <w:t>Článek A.3 stejným způsobem zavádí „binární“ definice datových typů. Například:</w:t>
      </w:r>
    </w:p>
    <w:p w:rsidR="002D1B8A" w:rsidRDefault="002D1B8A" w:rsidP="002D1B8A">
      <w:pPr>
        <w:keepNext/>
        <w:keepLines/>
        <w:spacing w:before="120" w:after="120"/>
        <w:jc w:val="center"/>
        <w:rPr>
          <w:b/>
        </w:rPr>
      </w:pPr>
      <w:bookmarkStart w:id="12" w:name="_3rdcrjn" w:colFirst="0" w:colLast="0"/>
      <w:bookmarkEnd w:id="12"/>
      <w:r>
        <w:rPr>
          <w:b/>
        </w:rPr>
        <w:t xml:space="preserve">Tabulka 53 – Popis obsahu </w:t>
      </w:r>
      <w:r>
        <w:rPr>
          <w:rFonts w:ascii="Courier New" w:eastAsia="Courier New" w:hAnsi="Courier New" w:cs="Courier New"/>
          <w:b/>
        </w:rPr>
        <w:t>GST3_Entry</w:t>
      </w:r>
      <w:r>
        <w:rPr>
          <w:b/>
        </w:rPr>
        <w:t xml:space="preserve"> (tab. 90 normy) </w:t>
      </w:r>
    </w:p>
    <w:tbl>
      <w:tblPr>
        <w:tblW w:w="1004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96"/>
        <w:gridCol w:w="6753"/>
      </w:tblGrid>
      <w:tr w:rsidR="002D1B8A" w:rsidTr="00833B2C">
        <w:tc>
          <w:tcPr>
            <w:tcW w:w="3296" w:type="dxa"/>
          </w:tcPr>
          <w:p w:rsidR="002D1B8A" w:rsidRDefault="002D1B8A" w:rsidP="00833B2C">
            <w:r>
              <w:t>&lt;GST3_Entry&gt;:=</w:t>
            </w:r>
          </w:p>
        </w:tc>
        <w:tc>
          <w:tcPr>
            <w:tcW w:w="6753" w:type="dxa"/>
          </w:tcPr>
          <w:p w:rsidR="002D1B8A" w:rsidRDefault="002D1B8A" w:rsidP="00833B2C"/>
        </w:tc>
      </w:tr>
      <w:tr w:rsidR="002D1B8A" w:rsidTr="00833B2C">
        <w:tc>
          <w:tcPr>
            <w:tcW w:w="3296" w:type="dxa"/>
          </w:tcPr>
          <w:p w:rsidR="002D1B8A" w:rsidRDefault="002D1B8A" w:rsidP="00833B2C">
            <w:r>
              <w:t>&lt;</w:t>
            </w:r>
            <w:proofErr w:type="spellStart"/>
            <w:r>
              <w:t>IntUnTi</w:t>
            </w:r>
            <w:proofErr w:type="spellEnd"/>
            <w:r>
              <w:t>&gt;(SCID),</w:t>
            </w:r>
          </w:p>
        </w:tc>
        <w:tc>
          <w:tcPr>
            <w:tcW w:w="6753" w:type="dxa"/>
          </w:tcPr>
          <w:p w:rsidR="002D1B8A" w:rsidRDefault="002D1B8A" w:rsidP="00833B2C">
            <w:r>
              <w:t xml:space="preserve">: </w:t>
            </w:r>
            <w:proofErr w:type="spellStart"/>
            <w:r>
              <w:t>Service</w:t>
            </w:r>
            <w:proofErr w:type="spellEnd"/>
            <w:r>
              <w:t xml:space="preserve"> </w:t>
            </w:r>
            <w:proofErr w:type="spellStart"/>
            <w:r>
              <w:t>Component</w:t>
            </w:r>
            <w:proofErr w:type="spellEnd"/>
            <w:r>
              <w:t xml:space="preserve"> </w:t>
            </w:r>
            <w:proofErr w:type="spellStart"/>
            <w:r>
              <w:t>Identification</w:t>
            </w:r>
            <w:proofErr w:type="spellEnd"/>
            <w:r>
              <w:t xml:space="preserve"> (SCID).</w:t>
            </w:r>
          </w:p>
        </w:tc>
      </w:tr>
      <w:tr w:rsidR="002D1B8A" w:rsidTr="00833B2C">
        <w:tc>
          <w:tcPr>
            <w:tcW w:w="3296" w:type="dxa"/>
          </w:tcPr>
          <w:p w:rsidR="002D1B8A" w:rsidRDefault="002D1B8A" w:rsidP="00833B2C">
            <w:r>
              <w:t>&lt;</w:t>
            </w:r>
            <w:proofErr w:type="spellStart"/>
            <w:r>
              <w:t>ShortString</w:t>
            </w:r>
            <w:proofErr w:type="spellEnd"/>
            <w:r>
              <w:t>&gt;(</w:t>
            </w:r>
            <w:proofErr w:type="spellStart"/>
            <w:r>
              <w:t>contentDescription</w:t>
            </w:r>
            <w:proofErr w:type="spellEnd"/>
            <w:r>
              <w:t>);</w:t>
            </w:r>
          </w:p>
        </w:tc>
        <w:tc>
          <w:tcPr>
            <w:tcW w:w="6753" w:type="dxa"/>
          </w:tcPr>
          <w:p w:rsidR="002D1B8A" w:rsidRDefault="002D1B8A" w:rsidP="00833B2C">
            <w:r>
              <w:t xml:space="preserve">: </w:t>
            </w:r>
            <w:proofErr w:type="spellStart"/>
            <w:r>
              <w:t>Content</w:t>
            </w:r>
            <w:proofErr w:type="spellEnd"/>
            <w:r>
              <w:t xml:space="preserve"> </w:t>
            </w:r>
            <w:proofErr w:type="spellStart"/>
            <w:r>
              <w:t>Description</w:t>
            </w:r>
            <w:proofErr w:type="spellEnd"/>
            <w:r>
              <w:t>:</w:t>
            </w:r>
          </w:p>
          <w:p w:rsidR="002D1B8A" w:rsidRDefault="002D1B8A" w:rsidP="00833B2C">
            <w:proofErr w:type="spellStart"/>
            <w:r>
              <w:t>Gives</w:t>
            </w:r>
            <w:proofErr w:type="spellEnd"/>
            <w:r>
              <w:t xml:space="preserve"> </w:t>
            </w:r>
            <w:proofErr w:type="spellStart"/>
            <w:r>
              <w:t>further</w:t>
            </w:r>
            <w:proofErr w:type="spellEnd"/>
            <w:r>
              <w:t xml:space="preserve"> </w:t>
            </w:r>
            <w:proofErr w:type="spellStart"/>
            <w:r>
              <w:t>information</w:t>
            </w:r>
            <w:proofErr w:type="spellEnd"/>
            <w:r>
              <w:t xml:space="preserve"> </w:t>
            </w:r>
            <w:proofErr w:type="spellStart"/>
            <w:r>
              <w:t>related</w:t>
            </w:r>
            <w:proofErr w:type="spellEnd"/>
            <w:r>
              <w:t xml:space="preserve"> to a </w:t>
            </w:r>
            <w:proofErr w:type="spellStart"/>
            <w:r>
              <w:t>service</w:t>
            </w:r>
            <w:proofErr w:type="spellEnd"/>
            <w:r>
              <w:t xml:space="preserve"> </w:t>
            </w:r>
            <w:proofErr w:type="spellStart"/>
            <w:r>
              <w:t>component</w:t>
            </w:r>
            <w:proofErr w:type="spellEnd"/>
            <w:r>
              <w:t xml:space="preserve">. </w:t>
            </w:r>
            <w:proofErr w:type="spellStart"/>
            <w:r>
              <w:t>The</w:t>
            </w:r>
            <w:proofErr w:type="spellEnd"/>
            <w:r>
              <w:t xml:space="preserve"> </w:t>
            </w:r>
            <w:proofErr w:type="spellStart"/>
            <w:r>
              <w:t>general</w:t>
            </w:r>
            <w:proofErr w:type="spellEnd"/>
            <w:r>
              <w:t xml:space="preserve"> </w:t>
            </w:r>
            <w:proofErr w:type="spellStart"/>
            <w:r>
              <w:t>description</w:t>
            </w:r>
            <w:proofErr w:type="spellEnd"/>
            <w:r>
              <w:t xml:space="preserve"> </w:t>
            </w:r>
            <w:proofErr w:type="spellStart"/>
            <w:r>
              <w:t>of</w:t>
            </w:r>
            <w:proofErr w:type="spellEnd"/>
            <w:r>
              <w:t xml:space="preserve"> a </w:t>
            </w:r>
            <w:proofErr w:type="spellStart"/>
            <w:r>
              <w:t>service</w:t>
            </w:r>
            <w:proofErr w:type="spellEnd"/>
            <w:r>
              <w:t xml:space="preserve"> </w:t>
            </w:r>
            <w:proofErr w:type="spellStart"/>
            <w:r>
              <w:t>is</w:t>
            </w:r>
            <w:proofErr w:type="spellEnd"/>
            <w:r>
              <w:t xml:space="preserve"> </w:t>
            </w:r>
            <w:proofErr w:type="spellStart"/>
            <w:r>
              <w:t>signalled</w:t>
            </w:r>
            <w:proofErr w:type="spellEnd"/>
            <w:r>
              <w:t xml:space="preserve"> by </w:t>
            </w:r>
            <w:proofErr w:type="spellStart"/>
            <w:r>
              <w:t>the</w:t>
            </w:r>
            <w:proofErr w:type="spellEnd"/>
            <w:r>
              <w:t xml:space="preserve"> </w:t>
            </w:r>
            <w:proofErr w:type="spellStart"/>
            <w:r>
              <w:t>CurrentServiceInformation</w:t>
            </w:r>
            <w:proofErr w:type="spellEnd"/>
            <w:r>
              <w:t xml:space="preserve"> </w:t>
            </w:r>
            <w:proofErr w:type="spellStart"/>
            <w:r>
              <w:t>component</w:t>
            </w:r>
            <w:proofErr w:type="spellEnd"/>
            <w:r>
              <w:t>.</w:t>
            </w:r>
          </w:p>
        </w:tc>
      </w:tr>
    </w:tbl>
    <w:p w:rsidR="002D1B8A" w:rsidRDefault="002D1B8A" w:rsidP="002D1B8A">
      <w:pPr>
        <w:pStyle w:val="Nadpis1"/>
      </w:pPr>
      <w:proofErr w:type="spellStart"/>
      <w:r>
        <w:t>Příloha</w:t>
      </w:r>
      <w:proofErr w:type="spellEnd"/>
      <w:r>
        <w:t xml:space="preserve"> B </w:t>
      </w:r>
      <w:r>
        <w:rPr>
          <w:b w:val="0"/>
        </w:rPr>
        <w:t>(</w:t>
      </w:r>
      <w:proofErr w:type="spellStart"/>
      <w:r>
        <w:rPr>
          <w:b w:val="0"/>
        </w:rPr>
        <w:t>normativní</w:t>
      </w:r>
      <w:proofErr w:type="spellEnd"/>
      <w:r>
        <w:rPr>
          <w:b w:val="0"/>
        </w:rPr>
        <w:t xml:space="preserve">) </w:t>
      </w:r>
      <w:r>
        <w:t xml:space="preserve">TPEG-ML </w:t>
      </w:r>
      <w:proofErr w:type="spellStart"/>
      <w:r>
        <w:t>reprezentace</w:t>
      </w:r>
      <w:proofErr w:type="spellEnd"/>
      <w:r>
        <w:t xml:space="preserve"> SNI</w:t>
      </w:r>
    </w:p>
    <w:p w:rsidR="002D1B8A" w:rsidRDefault="002D1B8A" w:rsidP="002D1B8A">
      <w:pPr>
        <w:spacing w:after="120"/>
        <w:jc w:val="both"/>
      </w:pPr>
      <w:r>
        <w:t>Tato příloha o rozsahu 30 stran je současně s Přílohou A klíčovou částí normy.</w:t>
      </w:r>
    </w:p>
    <w:p w:rsidR="002D1B8A" w:rsidRDefault="002D1B8A" w:rsidP="002D1B8A">
      <w:pPr>
        <w:spacing w:after="120"/>
        <w:jc w:val="both"/>
      </w:pPr>
      <w:r>
        <w:t>Příloha obsahuje popis XML reprezentace a XML schéma rámce TPEG.</w:t>
      </w:r>
    </w:p>
    <w:p w:rsidR="002D1B8A" w:rsidRDefault="002D1B8A" w:rsidP="002D1B8A">
      <w:pPr>
        <w:spacing w:after="120"/>
        <w:jc w:val="both"/>
      </w:pPr>
      <w:bookmarkStart w:id="13" w:name="_26in1rg" w:colFirst="0" w:colLast="0"/>
      <w:bookmarkEnd w:id="13"/>
      <w:r>
        <w:t>Část B.2 obsahuje reprezentaci XML struktury (komponent), tak jak byly stanoveny v kapitole 8. Například čl</w:t>
      </w:r>
      <w:r>
        <w:t>á</w:t>
      </w:r>
      <w:r>
        <w:t xml:space="preserve">nek B2.10 uvádí definici </w:t>
      </w:r>
      <w:r>
        <w:rPr>
          <w:rFonts w:ascii="Courier New" w:eastAsia="Courier New" w:hAnsi="Courier New" w:cs="Courier New"/>
        </w:rPr>
        <w:t>GST3_ContentDescription</w:t>
      </w:r>
    </w:p>
    <w:p w:rsidR="002D1B8A" w:rsidRDefault="002D1B8A" w:rsidP="002D1B8A">
      <w:pPr>
        <w:pBdr>
          <w:top w:val="single" w:sz="4" w:space="1" w:color="000000"/>
          <w:left w:val="single" w:sz="4" w:space="4" w:color="000000"/>
          <w:bottom w:val="single" w:sz="4" w:space="1" w:color="000000"/>
          <w:right w:val="single" w:sz="4" w:space="4" w:color="000000"/>
        </w:pBdr>
        <w:tabs>
          <w:tab w:val="left" w:pos="1360"/>
        </w:tabs>
        <w:jc w:val="both"/>
        <w:rPr>
          <w:sz w:val="18"/>
          <w:szCs w:val="18"/>
        </w:rPr>
      </w:pPr>
      <w:r>
        <w:rPr>
          <w:sz w:val="18"/>
          <w:szCs w:val="18"/>
        </w:rPr>
        <w:t>&lt;</w:t>
      </w:r>
      <w:proofErr w:type="spellStart"/>
      <w:r>
        <w:rPr>
          <w:sz w:val="18"/>
          <w:szCs w:val="18"/>
        </w:rPr>
        <w:t>xs:complexType</w:t>
      </w:r>
      <w:proofErr w:type="spellEnd"/>
      <w:r>
        <w:rPr>
          <w:sz w:val="18"/>
          <w:szCs w:val="18"/>
        </w:rPr>
        <w:t> </w:t>
      </w:r>
      <w:proofErr w:type="spellStart"/>
      <w:r>
        <w:rPr>
          <w:color w:val="FF0000"/>
          <w:sz w:val="18"/>
          <w:szCs w:val="18"/>
        </w:rPr>
        <w:t>name</w:t>
      </w:r>
      <w:proofErr w:type="spellEnd"/>
      <w:r>
        <w:rPr>
          <w:sz w:val="18"/>
          <w:szCs w:val="18"/>
        </w:rPr>
        <w:t>=</w:t>
      </w:r>
      <w:r>
        <w:rPr>
          <w:color w:val="0000FF"/>
          <w:sz w:val="18"/>
          <w:szCs w:val="18"/>
        </w:rPr>
        <w:t>"GST3_ContentDescription"</w:t>
      </w:r>
      <w:r>
        <w:rPr>
          <w:sz w:val="18"/>
          <w:szCs w:val="18"/>
        </w:rPr>
        <w:t>&gt; </w:t>
      </w:r>
    </w:p>
    <w:p w:rsidR="002D1B8A" w:rsidRDefault="002D1B8A" w:rsidP="002D1B8A">
      <w:pPr>
        <w:pBdr>
          <w:top w:val="single" w:sz="4" w:space="1" w:color="000000"/>
          <w:left w:val="single" w:sz="4" w:space="4" w:color="000000"/>
          <w:bottom w:val="single" w:sz="4" w:space="1" w:color="000000"/>
          <w:right w:val="single" w:sz="4" w:space="4" w:color="000000"/>
        </w:pBdr>
        <w:tabs>
          <w:tab w:val="left" w:pos="1360"/>
        </w:tabs>
        <w:jc w:val="both"/>
        <w:rPr>
          <w:sz w:val="18"/>
          <w:szCs w:val="18"/>
        </w:rPr>
      </w:pPr>
      <w:r>
        <w:rPr>
          <w:color w:val="0000FF"/>
          <w:sz w:val="18"/>
          <w:szCs w:val="18"/>
        </w:rPr>
        <w:t> </w:t>
      </w:r>
      <w:r>
        <w:rPr>
          <w:sz w:val="18"/>
          <w:szCs w:val="18"/>
        </w:rPr>
        <w:t>&lt;</w:t>
      </w:r>
      <w:proofErr w:type="spellStart"/>
      <w:r>
        <w:rPr>
          <w:sz w:val="18"/>
          <w:szCs w:val="18"/>
        </w:rPr>
        <w:t>xs:sequence</w:t>
      </w:r>
      <w:proofErr w:type="spellEnd"/>
      <w:r>
        <w:rPr>
          <w:sz w:val="18"/>
          <w:szCs w:val="18"/>
        </w:rPr>
        <w:t>&gt; </w:t>
      </w:r>
    </w:p>
    <w:p w:rsidR="002D1B8A" w:rsidRDefault="002D1B8A" w:rsidP="002D1B8A">
      <w:pPr>
        <w:pBdr>
          <w:top w:val="single" w:sz="4" w:space="1" w:color="000000"/>
          <w:left w:val="single" w:sz="4" w:space="4" w:color="000000"/>
          <w:bottom w:val="single" w:sz="4" w:space="1" w:color="000000"/>
          <w:right w:val="single" w:sz="4" w:space="4" w:color="000000"/>
        </w:pBdr>
        <w:tabs>
          <w:tab w:val="left" w:pos="1360"/>
        </w:tabs>
        <w:jc w:val="both"/>
        <w:rPr>
          <w:sz w:val="18"/>
          <w:szCs w:val="18"/>
        </w:rPr>
      </w:pPr>
      <w:r>
        <w:rPr>
          <w:color w:val="0000FF"/>
          <w:sz w:val="18"/>
          <w:szCs w:val="18"/>
        </w:rPr>
        <w:t> </w:t>
      </w:r>
      <w:r>
        <w:rPr>
          <w:sz w:val="18"/>
          <w:szCs w:val="18"/>
        </w:rPr>
        <w:t>&lt;</w:t>
      </w:r>
      <w:proofErr w:type="spellStart"/>
      <w:r>
        <w:rPr>
          <w:sz w:val="18"/>
          <w:szCs w:val="18"/>
        </w:rPr>
        <w:t>xs:element</w:t>
      </w:r>
      <w:proofErr w:type="spellEnd"/>
      <w:r>
        <w:rPr>
          <w:sz w:val="18"/>
          <w:szCs w:val="18"/>
        </w:rPr>
        <w:t> </w:t>
      </w:r>
      <w:proofErr w:type="spellStart"/>
      <w:r>
        <w:rPr>
          <w:color w:val="FF0000"/>
          <w:sz w:val="18"/>
          <w:szCs w:val="18"/>
        </w:rPr>
        <w:t>name</w:t>
      </w:r>
      <w:proofErr w:type="spellEnd"/>
      <w:r>
        <w:rPr>
          <w:sz w:val="18"/>
          <w:szCs w:val="18"/>
        </w:rPr>
        <w:t>=</w:t>
      </w:r>
      <w:r>
        <w:rPr>
          <w:color w:val="0000FF"/>
          <w:sz w:val="18"/>
          <w:szCs w:val="18"/>
        </w:rPr>
        <w:t>"</w:t>
      </w:r>
      <w:proofErr w:type="spellStart"/>
      <w:r>
        <w:rPr>
          <w:color w:val="0000FF"/>
          <w:sz w:val="18"/>
          <w:szCs w:val="18"/>
        </w:rPr>
        <w:t>tableVersion</w:t>
      </w:r>
      <w:proofErr w:type="spellEnd"/>
      <w:r>
        <w:rPr>
          <w:color w:val="0000FF"/>
          <w:sz w:val="18"/>
          <w:szCs w:val="18"/>
        </w:rPr>
        <w:t>"</w:t>
      </w:r>
      <w:r>
        <w:rPr>
          <w:sz w:val="18"/>
          <w:szCs w:val="18"/>
        </w:rPr>
        <w:t> </w:t>
      </w:r>
      <w:r>
        <w:rPr>
          <w:color w:val="FF0000"/>
          <w:sz w:val="18"/>
          <w:szCs w:val="18"/>
        </w:rPr>
        <w:t>type</w:t>
      </w:r>
      <w:r>
        <w:rPr>
          <w:sz w:val="18"/>
          <w:szCs w:val="18"/>
        </w:rPr>
        <w:t>=</w:t>
      </w:r>
      <w:r>
        <w:rPr>
          <w:color w:val="0000FF"/>
          <w:sz w:val="18"/>
          <w:szCs w:val="18"/>
        </w:rPr>
        <w:t>"</w:t>
      </w:r>
      <w:proofErr w:type="spellStart"/>
      <w:r>
        <w:rPr>
          <w:color w:val="0000FF"/>
          <w:sz w:val="18"/>
          <w:szCs w:val="18"/>
        </w:rPr>
        <w:t>tdt:IntUnTi</w:t>
      </w:r>
      <w:proofErr w:type="spellEnd"/>
      <w:r>
        <w:rPr>
          <w:color w:val="0000FF"/>
          <w:sz w:val="18"/>
          <w:szCs w:val="18"/>
        </w:rPr>
        <w:t>"</w:t>
      </w:r>
      <w:r>
        <w:rPr>
          <w:sz w:val="18"/>
          <w:szCs w:val="18"/>
        </w:rPr>
        <w:t>/&gt; </w:t>
      </w:r>
    </w:p>
    <w:p w:rsidR="002D1B8A" w:rsidRDefault="002D1B8A" w:rsidP="002D1B8A">
      <w:pPr>
        <w:pBdr>
          <w:top w:val="single" w:sz="4" w:space="1" w:color="000000"/>
          <w:left w:val="single" w:sz="4" w:space="4" w:color="000000"/>
          <w:bottom w:val="single" w:sz="4" w:space="1" w:color="000000"/>
          <w:right w:val="single" w:sz="4" w:space="4" w:color="000000"/>
        </w:pBdr>
        <w:tabs>
          <w:tab w:val="left" w:pos="1360"/>
        </w:tabs>
        <w:jc w:val="both"/>
        <w:rPr>
          <w:sz w:val="18"/>
          <w:szCs w:val="18"/>
        </w:rPr>
      </w:pPr>
      <w:r>
        <w:rPr>
          <w:color w:val="0000FF"/>
          <w:sz w:val="18"/>
          <w:szCs w:val="18"/>
        </w:rPr>
        <w:t> </w:t>
      </w:r>
      <w:r>
        <w:rPr>
          <w:sz w:val="18"/>
          <w:szCs w:val="18"/>
        </w:rPr>
        <w:t>&lt;xs:element </w:t>
      </w:r>
      <w:r>
        <w:rPr>
          <w:color w:val="FF0000"/>
          <w:sz w:val="18"/>
          <w:szCs w:val="18"/>
        </w:rPr>
        <w:t>name</w:t>
      </w:r>
      <w:r>
        <w:rPr>
          <w:sz w:val="18"/>
          <w:szCs w:val="18"/>
        </w:rPr>
        <w:t>=</w:t>
      </w:r>
      <w:r>
        <w:rPr>
          <w:color w:val="0000FF"/>
          <w:sz w:val="18"/>
          <w:szCs w:val="18"/>
        </w:rPr>
        <w:t>"tableEntry"</w:t>
      </w:r>
      <w:r>
        <w:rPr>
          <w:sz w:val="18"/>
          <w:szCs w:val="18"/>
        </w:rPr>
        <w:t> </w:t>
      </w:r>
      <w:r>
        <w:rPr>
          <w:color w:val="FF0000"/>
          <w:sz w:val="18"/>
          <w:szCs w:val="18"/>
        </w:rPr>
        <w:t>type</w:t>
      </w:r>
      <w:r>
        <w:rPr>
          <w:sz w:val="18"/>
          <w:szCs w:val="18"/>
        </w:rPr>
        <w:t>=</w:t>
      </w:r>
      <w:r>
        <w:rPr>
          <w:color w:val="0000FF"/>
          <w:sz w:val="18"/>
          <w:szCs w:val="18"/>
        </w:rPr>
        <w:t>"GST3_Entry"</w:t>
      </w:r>
      <w:r>
        <w:rPr>
          <w:sz w:val="18"/>
          <w:szCs w:val="18"/>
        </w:rPr>
        <w:t> </w:t>
      </w:r>
      <w:r>
        <w:rPr>
          <w:color w:val="FF0000"/>
          <w:sz w:val="18"/>
          <w:szCs w:val="18"/>
        </w:rPr>
        <w:t>maxOccurs</w:t>
      </w:r>
      <w:r>
        <w:rPr>
          <w:sz w:val="18"/>
          <w:szCs w:val="18"/>
        </w:rPr>
        <w:t>=</w:t>
      </w:r>
      <w:r>
        <w:rPr>
          <w:color w:val="0000FF"/>
          <w:sz w:val="18"/>
          <w:szCs w:val="18"/>
        </w:rPr>
        <w:t>"255"</w:t>
      </w:r>
      <w:r>
        <w:rPr>
          <w:sz w:val="18"/>
          <w:szCs w:val="18"/>
        </w:rPr>
        <w:t>/&gt; </w:t>
      </w:r>
    </w:p>
    <w:p w:rsidR="002D1B8A" w:rsidRDefault="002D1B8A" w:rsidP="002D1B8A">
      <w:pPr>
        <w:pBdr>
          <w:top w:val="single" w:sz="4" w:space="1" w:color="000000"/>
          <w:left w:val="single" w:sz="4" w:space="4" w:color="000000"/>
          <w:bottom w:val="single" w:sz="4" w:space="1" w:color="000000"/>
          <w:right w:val="single" w:sz="4" w:space="4" w:color="000000"/>
        </w:pBdr>
        <w:tabs>
          <w:tab w:val="left" w:pos="1360"/>
        </w:tabs>
        <w:jc w:val="both"/>
        <w:rPr>
          <w:sz w:val="18"/>
          <w:szCs w:val="18"/>
        </w:rPr>
      </w:pPr>
      <w:r>
        <w:rPr>
          <w:color w:val="0000FF"/>
          <w:sz w:val="18"/>
          <w:szCs w:val="18"/>
        </w:rPr>
        <w:t> </w:t>
      </w:r>
      <w:r>
        <w:rPr>
          <w:sz w:val="18"/>
          <w:szCs w:val="18"/>
        </w:rPr>
        <w:t>&lt;/</w:t>
      </w:r>
      <w:proofErr w:type="spellStart"/>
      <w:r>
        <w:rPr>
          <w:sz w:val="18"/>
          <w:szCs w:val="18"/>
        </w:rPr>
        <w:t>xs:sequence</w:t>
      </w:r>
      <w:proofErr w:type="spellEnd"/>
      <w:r>
        <w:rPr>
          <w:sz w:val="18"/>
          <w:szCs w:val="18"/>
        </w:rPr>
        <w:t>&gt; </w:t>
      </w:r>
    </w:p>
    <w:p w:rsidR="002D1B8A" w:rsidRDefault="002D1B8A" w:rsidP="002D1B8A">
      <w:pPr>
        <w:pBdr>
          <w:top w:val="single" w:sz="4" w:space="1" w:color="000000"/>
          <w:left w:val="single" w:sz="4" w:space="4" w:color="000000"/>
          <w:bottom w:val="single" w:sz="4" w:space="1" w:color="000000"/>
          <w:right w:val="single" w:sz="4" w:space="4" w:color="000000"/>
        </w:pBdr>
        <w:tabs>
          <w:tab w:val="left" w:pos="1360"/>
        </w:tabs>
        <w:jc w:val="both"/>
        <w:rPr>
          <w:sz w:val="18"/>
          <w:szCs w:val="18"/>
        </w:rPr>
      </w:pPr>
      <w:r>
        <w:rPr>
          <w:sz w:val="18"/>
          <w:szCs w:val="18"/>
        </w:rPr>
        <w:t>&lt;/</w:t>
      </w:r>
      <w:proofErr w:type="spellStart"/>
      <w:r>
        <w:rPr>
          <w:sz w:val="18"/>
          <w:szCs w:val="18"/>
        </w:rPr>
        <w:t>xs:complexType</w:t>
      </w:r>
      <w:proofErr w:type="spellEnd"/>
      <w:r>
        <w:rPr>
          <w:sz w:val="18"/>
          <w:szCs w:val="18"/>
        </w:rPr>
        <w:t>&gt; </w:t>
      </w:r>
    </w:p>
    <w:p w:rsidR="002D1B8A" w:rsidRDefault="002D1B8A" w:rsidP="002D1B8A">
      <w:pPr>
        <w:spacing w:after="120"/>
        <w:ind w:left="284" w:hanging="284"/>
        <w:jc w:val="both"/>
      </w:pPr>
    </w:p>
    <w:p w:rsidR="002D1B8A" w:rsidRDefault="002D1B8A" w:rsidP="002D1B8A">
      <w:pPr>
        <w:spacing w:after="120"/>
        <w:jc w:val="both"/>
      </w:pPr>
      <w:r>
        <w:t xml:space="preserve">Část B.3 obsahuje reprezentaci datových typů v XML, tak jak byly stanoveny v kapitole 9. Například článek B3.11 uvádí definici </w:t>
      </w:r>
      <w:r>
        <w:rPr>
          <w:rFonts w:ascii="Courier New" w:eastAsia="Courier New" w:hAnsi="Courier New" w:cs="Courier New"/>
        </w:rPr>
        <w:t>GST3_Entry</w:t>
      </w:r>
    </w:p>
    <w:p w:rsidR="002D1B8A" w:rsidRDefault="002D1B8A" w:rsidP="002D1B8A">
      <w:pPr>
        <w:pBdr>
          <w:top w:val="single" w:sz="4" w:space="1" w:color="000000"/>
          <w:left w:val="single" w:sz="4" w:space="4" w:color="000000"/>
          <w:bottom w:val="single" w:sz="4" w:space="0" w:color="000000"/>
          <w:right w:val="single" w:sz="4" w:space="4" w:color="000000"/>
        </w:pBdr>
        <w:tabs>
          <w:tab w:val="left" w:pos="1360"/>
        </w:tabs>
        <w:jc w:val="both"/>
        <w:rPr>
          <w:sz w:val="18"/>
          <w:szCs w:val="18"/>
        </w:rPr>
      </w:pPr>
      <w:r>
        <w:rPr>
          <w:sz w:val="18"/>
          <w:szCs w:val="18"/>
        </w:rPr>
        <w:t>&lt;</w:t>
      </w:r>
      <w:proofErr w:type="spellStart"/>
      <w:r>
        <w:rPr>
          <w:sz w:val="18"/>
          <w:szCs w:val="18"/>
        </w:rPr>
        <w:t>xs:complexType</w:t>
      </w:r>
      <w:proofErr w:type="spellEnd"/>
      <w:r>
        <w:rPr>
          <w:sz w:val="18"/>
          <w:szCs w:val="18"/>
        </w:rPr>
        <w:t> </w:t>
      </w:r>
      <w:proofErr w:type="spellStart"/>
      <w:r>
        <w:rPr>
          <w:color w:val="FF0000"/>
          <w:sz w:val="18"/>
          <w:szCs w:val="18"/>
        </w:rPr>
        <w:t>name</w:t>
      </w:r>
      <w:proofErr w:type="spellEnd"/>
      <w:r>
        <w:rPr>
          <w:sz w:val="18"/>
          <w:szCs w:val="18"/>
        </w:rPr>
        <w:t>=</w:t>
      </w:r>
      <w:r>
        <w:rPr>
          <w:color w:val="0000FF"/>
          <w:sz w:val="18"/>
          <w:szCs w:val="18"/>
        </w:rPr>
        <w:t>"GST3_Entry"</w:t>
      </w:r>
      <w:r>
        <w:rPr>
          <w:sz w:val="18"/>
          <w:szCs w:val="18"/>
        </w:rPr>
        <w:t>&gt; </w:t>
      </w:r>
    </w:p>
    <w:p w:rsidR="002D1B8A" w:rsidRDefault="002D1B8A" w:rsidP="002D1B8A">
      <w:pPr>
        <w:pBdr>
          <w:top w:val="single" w:sz="4" w:space="1" w:color="000000"/>
          <w:left w:val="single" w:sz="4" w:space="4" w:color="000000"/>
          <w:bottom w:val="single" w:sz="4" w:space="0" w:color="000000"/>
          <w:right w:val="single" w:sz="4" w:space="4" w:color="000000"/>
        </w:pBdr>
        <w:tabs>
          <w:tab w:val="left" w:pos="1360"/>
        </w:tabs>
        <w:jc w:val="both"/>
        <w:rPr>
          <w:sz w:val="18"/>
          <w:szCs w:val="18"/>
        </w:rPr>
      </w:pPr>
      <w:r>
        <w:rPr>
          <w:color w:val="0000FF"/>
          <w:sz w:val="18"/>
          <w:szCs w:val="18"/>
        </w:rPr>
        <w:t> </w:t>
      </w:r>
      <w:r>
        <w:rPr>
          <w:sz w:val="18"/>
          <w:szCs w:val="18"/>
        </w:rPr>
        <w:t>&lt;</w:t>
      </w:r>
      <w:proofErr w:type="spellStart"/>
      <w:r>
        <w:rPr>
          <w:sz w:val="18"/>
          <w:szCs w:val="18"/>
        </w:rPr>
        <w:t>xs:sequence</w:t>
      </w:r>
      <w:proofErr w:type="spellEnd"/>
      <w:r>
        <w:rPr>
          <w:sz w:val="18"/>
          <w:szCs w:val="18"/>
        </w:rPr>
        <w:t>&gt; </w:t>
      </w:r>
    </w:p>
    <w:p w:rsidR="002D1B8A" w:rsidRDefault="002D1B8A" w:rsidP="002D1B8A">
      <w:pPr>
        <w:pBdr>
          <w:top w:val="single" w:sz="4" w:space="1" w:color="000000"/>
          <w:left w:val="single" w:sz="4" w:space="4" w:color="000000"/>
          <w:bottom w:val="single" w:sz="4" w:space="0" w:color="000000"/>
          <w:right w:val="single" w:sz="4" w:space="4" w:color="000000"/>
        </w:pBdr>
        <w:tabs>
          <w:tab w:val="left" w:pos="1360"/>
        </w:tabs>
        <w:jc w:val="both"/>
        <w:rPr>
          <w:sz w:val="18"/>
          <w:szCs w:val="18"/>
        </w:rPr>
      </w:pPr>
      <w:r>
        <w:rPr>
          <w:color w:val="0000FF"/>
          <w:sz w:val="18"/>
          <w:szCs w:val="18"/>
        </w:rPr>
        <w:t> </w:t>
      </w:r>
      <w:r>
        <w:rPr>
          <w:sz w:val="18"/>
          <w:szCs w:val="18"/>
        </w:rPr>
        <w:t>&lt;</w:t>
      </w:r>
      <w:proofErr w:type="spellStart"/>
      <w:r>
        <w:rPr>
          <w:sz w:val="18"/>
          <w:szCs w:val="18"/>
        </w:rPr>
        <w:t>xs:element</w:t>
      </w:r>
      <w:proofErr w:type="spellEnd"/>
      <w:r>
        <w:rPr>
          <w:sz w:val="18"/>
          <w:szCs w:val="18"/>
        </w:rPr>
        <w:t> </w:t>
      </w:r>
      <w:proofErr w:type="spellStart"/>
      <w:r>
        <w:rPr>
          <w:color w:val="FF0000"/>
          <w:sz w:val="18"/>
          <w:szCs w:val="18"/>
        </w:rPr>
        <w:t>name</w:t>
      </w:r>
      <w:proofErr w:type="spellEnd"/>
      <w:r>
        <w:rPr>
          <w:sz w:val="18"/>
          <w:szCs w:val="18"/>
        </w:rPr>
        <w:t>=</w:t>
      </w:r>
      <w:r>
        <w:rPr>
          <w:color w:val="0000FF"/>
          <w:sz w:val="18"/>
          <w:szCs w:val="18"/>
        </w:rPr>
        <w:t>"SCID"</w:t>
      </w:r>
      <w:r>
        <w:rPr>
          <w:sz w:val="18"/>
          <w:szCs w:val="18"/>
        </w:rPr>
        <w:t> </w:t>
      </w:r>
      <w:r>
        <w:rPr>
          <w:color w:val="FF0000"/>
          <w:sz w:val="18"/>
          <w:szCs w:val="18"/>
        </w:rPr>
        <w:t>type</w:t>
      </w:r>
      <w:r>
        <w:rPr>
          <w:sz w:val="18"/>
          <w:szCs w:val="18"/>
        </w:rPr>
        <w:t>=</w:t>
      </w:r>
      <w:r>
        <w:rPr>
          <w:color w:val="0000FF"/>
          <w:sz w:val="18"/>
          <w:szCs w:val="18"/>
        </w:rPr>
        <w:t>"</w:t>
      </w:r>
      <w:proofErr w:type="spellStart"/>
      <w:r>
        <w:rPr>
          <w:color w:val="0000FF"/>
          <w:sz w:val="18"/>
          <w:szCs w:val="18"/>
        </w:rPr>
        <w:t>tdt:IntUnTi</w:t>
      </w:r>
      <w:proofErr w:type="spellEnd"/>
      <w:r>
        <w:rPr>
          <w:color w:val="0000FF"/>
          <w:sz w:val="18"/>
          <w:szCs w:val="18"/>
        </w:rPr>
        <w:t>"</w:t>
      </w:r>
      <w:r>
        <w:rPr>
          <w:sz w:val="18"/>
          <w:szCs w:val="18"/>
        </w:rPr>
        <w:t>/&gt; </w:t>
      </w:r>
    </w:p>
    <w:p w:rsidR="002D1B8A" w:rsidRDefault="002D1B8A" w:rsidP="002D1B8A">
      <w:pPr>
        <w:pBdr>
          <w:top w:val="single" w:sz="4" w:space="1" w:color="000000"/>
          <w:left w:val="single" w:sz="4" w:space="4" w:color="000000"/>
          <w:bottom w:val="single" w:sz="4" w:space="0" w:color="000000"/>
          <w:right w:val="single" w:sz="4" w:space="4" w:color="000000"/>
        </w:pBdr>
        <w:tabs>
          <w:tab w:val="left" w:pos="1360"/>
        </w:tabs>
        <w:jc w:val="both"/>
        <w:rPr>
          <w:sz w:val="18"/>
          <w:szCs w:val="18"/>
        </w:rPr>
      </w:pPr>
      <w:r>
        <w:rPr>
          <w:color w:val="0000FF"/>
          <w:sz w:val="18"/>
          <w:szCs w:val="18"/>
        </w:rPr>
        <w:t> </w:t>
      </w:r>
      <w:r>
        <w:rPr>
          <w:sz w:val="18"/>
          <w:szCs w:val="18"/>
        </w:rPr>
        <w:t>&lt;</w:t>
      </w:r>
      <w:proofErr w:type="spellStart"/>
      <w:r>
        <w:rPr>
          <w:sz w:val="18"/>
          <w:szCs w:val="18"/>
        </w:rPr>
        <w:t>xs:element</w:t>
      </w:r>
      <w:proofErr w:type="spellEnd"/>
      <w:r>
        <w:rPr>
          <w:sz w:val="18"/>
          <w:szCs w:val="18"/>
        </w:rPr>
        <w:t> </w:t>
      </w:r>
      <w:proofErr w:type="spellStart"/>
      <w:r>
        <w:rPr>
          <w:color w:val="FF0000"/>
          <w:sz w:val="18"/>
          <w:szCs w:val="18"/>
        </w:rPr>
        <w:t>name</w:t>
      </w:r>
      <w:proofErr w:type="spellEnd"/>
      <w:r>
        <w:rPr>
          <w:sz w:val="18"/>
          <w:szCs w:val="18"/>
        </w:rPr>
        <w:t>=</w:t>
      </w:r>
      <w:r>
        <w:rPr>
          <w:color w:val="0000FF"/>
          <w:sz w:val="18"/>
          <w:szCs w:val="18"/>
        </w:rPr>
        <w:t>"</w:t>
      </w:r>
      <w:proofErr w:type="spellStart"/>
      <w:r>
        <w:rPr>
          <w:color w:val="0000FF"/>
          <w:sz w:val="18"/>
          <w:szCs w:val="18"/>
        </w:rPr>
        <w:t>contentDescription</w:t>
      </w:r>
      <w:proofErr w:type="spellEnd"/>
      <w:r>
        <w:rPr>
          <w:color w:val="0000FF"/>
          <w:sz w:val="18"/>
          <w:szCs w:val="18"/>
        </w:rPr>
        <w:t>"</w:t>
      </w:r>
      <w:r>
        <w:rPr>
          <w:sz w:val="18"/>
          <w:szCs w:val="18"/>
        </w:rPr>
        <w:t> </w:t>
      </w:r>
      <w:r>
        <w:rPr>
          <w:color w:val="FF0000"/>
          <w:sz w:val="18"/>
          <w:szCs w:val="18"/>
        </w:rPr>
        <w:t>type</w:t>
      </w:r>
      <w:r>
        <w:rPr>
          <w:sz w:val="18"/>
          <w:szCs w:val="18"/>
        </w:rPr>
        <w:t>=</w:t>
      </w:r>
      <w:r>
        <w:rPr>
          <w:color w:val="0000FF"/>
          <w:sz w:val="18"/>
          <w:szCs w:val="18"/>
        </w:rPr>
        <w:t>"</w:t>
      </w:r>
      <w:proofErr w:type="spellStart"/>
      <w:r>
        <w:rPr>
          <w:color w:val="0000FF"/>
          <w:sz w:val="18"/>
          <w:szCs w:val="18"/>
        </w:rPr>
        <w:t>tdt:ShortString</w:t>
      </w:r>
      <w:proofErr w:type="spellEnd"/>
      <w:r>
        <w:rPr>
          <w:color w:val="0000FF"/>
          <w:sz w:val="18"/>
          <w:szCs w:val="18"/>
        </w:rPr>
        <w:t>"</w:t>
      </w:r>
      <w:r>
        <w:rPr>
          <w:sz w:val="18"/>
          <w:szCs w:val="18"/>
        </w:rPr>
        <w:t>/&gt; </w:t>
      </w:r>
    </w:p>
    <w:p w:rsidR="002D1B8A" w:rsidRDefault="002D1B8A" w:rsidP="002D1B8A">
      <w:pPr>
        <w:pBdr>
          <w:top w:val="single" w:sz="4" w:space="1" w:color="000000"/>
          <w:left w:val="single" w:sz="4" w:space="4" w:color="000000"/>
          <w:bottom w:val="single" w:sz="4" w:space="0" w:color="000000"/>
          <w:right w:val="single" w:sz="4" w:space="4" w:color="000000"/>
        </w:pBdr>
        <w:tabs>
          <w:tab w:val="left" w:pos="1360"/>
        </w:tabs>
        <w:jc w:val="both"/>
        <w:rPr>
          <w:sz w:val="18"/>
          <w:szCs w:val="18"/>
        </w:rPr>
      </w:pPr>
      <w:r>
        <w:rPr>
          <w:color w:val="0000FF"/>
          <w:sz w:val="18"/>
          <w:szCs w:val="18"/>
        </w:rPr>
        <w:t> </w:t>
      </w:r>
      <w:r>
        <w:rPr>
          <w:sz w:val="18"/>
          <w:szCs w:val="18"/>
        </w:rPr>
        <w:t>&lt;/</w:t>
      </w:r>
      <w:proofErr w:type="spellStart"/>
      <w:r>
        <w:rPr>
          <w:sz w:val="18"/>
          <w:szCs w:val="18"/>
        </w:rPr>
        <w:t>xs:sequence</w:t>
      </w:r>
      <w:proofErr w:type="spellEnd"/>
      <w:r>
        <w:rPr>
          <w:sz w:val="18"/>
          <w:szCs w:val="18"/>
        </w:rPr>
        <w:t>&gt; </w:t>
      </w:r>
    </w:p>
    <w:p w:rsidR="002D1B8A" w:rsidRDefault="002D1B8A" w:rsidP="002D1B8A">
      <w:pPr>
        <w:pBdr>
          <w:top w:val="single" w:sz="4" w:space="1" w:color="000000"/>
          <w:left w:val="single" w:sz="4" w:space="4" w:color="000000"/>
          <w:bottom w:val="single" w:sz="4" w:space="0" w:color="000000"/>
          <w:right w:val="single" w:sz="4" w:space="4" w:color="000000"/>
        </w:pBdr>
        <w:tabs>
          <w:tab w:val="left" w:pos="1360"/>
        </w:tabs>
        <w:jc w:val="both"/>
        <w:rPr>
          <w:sz w:val="18"/>
          <w:szCs w:val="18"/>
        </w:rPr>
      </w:pPr>
      <w:r>
        <w:rPr>
          <w:sz w:val="18"/>
          <w:szCs w:val="18"/>
        </w:rPr>
        <w:t>&lt;/</w:t>
      </w:r>
      <w:proofErr w:type="spellStart"/>
      <w:r>
        <w:rPr>
          <w:sz w:val="18"/>
          <w:szCs w:val="18"/>
        </w:rPr>
        <w:t>xs:complexType</w:t>
      </w:r>
      <w:proofErr w:type="spellEnd"/>
      <w:r>
        <w:rPr>
          <w:sz w:val="18"/>
          <w:szCs w:val="18"/>
        </w:rPr>
        <w:t>&gt; </w:t>
      </w:r>
    </w:p>
    <w:p w:rsidR="006D4C50" w:rsidRPr="00B90A20" w:rsidRDefault="006D4C50" w:rsidP="002D1B8A">
      <w:pPr>
        <w:pStyle w:val="Shodnost"/>
        <w:tabs>
          <w:tab w:val="clear" w:pos="9923"/>
          <w:tab w:val="left" w:pos="7088"/>
          <w:tab w:val="right" w:pos="9072"/>
          <w:tab w:val="left" w:pos="10490"/>
        </w:tabs>
      </w:pPr>
    </w:p>
    <w:sectPr w:rsidR="006D4C50" w:rsidRPr="00B90A20" w:rsidSect="00BB78B4">
      <w:footerReference w:type="even" r:id="rId15"/>
      <w:footerReference w:type="default" r:id="rId16"/>
      <w:footerReference w:type="first" r:id="rId17"/>
      <w:pgSz w:w="11907" w:h="16840" w:code="9"/>
      <w:pgMar w:top="1134" w:right="964" w:bottom="1134" w:left="1021" w:header="567" w:footer="340" w:gutter="0"/>
      <w:cols w:space="70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B7A3A" w:rsidRDefault="006B7A3A">
      <w:r>
        <w:separator/>
      </w:r>
    </w:p>
  </w:endnote>
  <w:endnote w:type="continuationSeparator" w:id="0">
    <w:p w:rsidR="006B7A3A" w:rsidRDefault="006B7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EE"/>
    <w:family w:val="swiss"/>
    <w:pitch w:val="variable"/>
    <w:sig w:usb0="E00002FF" w:usb1="4000ACFF" w:usb2="00000001" w:usb3="00000000" w:csb0="0000019F" w:csb1="00000000"/>
  </w:font>
  <w:font w:name="OpenSymbol">
    <w:altName w:val="Times New Roman"/>
    <w:charset w:val="00"/>
    <w:family w:val="auto"/>
    <w:pitch w:val="default"/>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font293">
    <w:altName w:val="Times New Roman"/>
    <w:charset w:val="EE"/>
    <w:family w:val="auto"/>
    <w:pitch w:val="variable"/>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FD4FFA">
      <w:rPr>
        <w:rStyle w:val="slostrnky"/>
        <w:noProof/>
      </w:rPr>
      <w:t>6</w:t>
    </w:r>
    <w:r>
      <w:rPr>
        <w:rStyle w:val="slostrnky"/>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FD4FFA">
      <w:rPr>
        <w:rStyle w:val="slostrnky"/>
        <w:noProof/>
      </w:rPr>
      <w:t>1</w:t>
    </w:r>
    <w:r>
      <w:rPr>
        <w:rStyle w:val="slostrnky"/>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B7A3A" w:rsidRDefault="006B7A3A">
      <w:r>
        <w:separator/>
      </w:r>
    </w:p>
  </w:footnote>
  <w:footnote w:type="continuationSeparator" w:id="0">
    <w:p w:rsidR="006B7A3A" w:rsidRDefault="006B7A3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nsid w:val="0D1F0DF3"/>
    <w:multiLevelType w:val="hybridMultilevel"/>
    <w:tmpl w:val="AB3A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nsid w:val="0E3F2CF0"/>
    <w:multiLevelType w:val="singleLevel"/>
    <w:tmpl w:val="6802948C"/>
    <w:lvl w:ilvl="0">
      <w:start w:val="1"/>
      <w:numFmt w:val="decimal"/>
      <w:lvlText w:val="%1"/>
      <w:legacy w:legacy="1" w:legacySpace="0" w:legacyIndent="283"/>
      <w:lvlJc w:val="left"/>
    </w:lvl>
  </w:abstractNum>
  <w:abstractNum w:abstractNumId="14">
    <w:nsid w:val="10553040"/>
    <w:multiLevelType w:val="hybridMultilevel"/>
    <w:tmpl w:val="9B36D012"/>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1145398E"/>
    <w:multiLevelType w:val="multilevel"/>
    <w:tmpl w:val="8402BD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nsid w:val="11FC3722"/>
    <w:multiLevelType w:val="multilevel"/>
    <w:tmpl w:val="AF526C2A"/>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17">
    <w:nsid w:val="171A7A36"/>
    <w:multiLevelType w:val="multilevel"/>
    <w:tmpl w:val="5E5A34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nsid w:val="25E45748"/>
    <w:multiLevelType w:val="multilevel"/>
    <w:tmpl w:val="96CEE48C"/>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27C62129"/>
    <w:multiLevelType w:val="hybridMultilevel"/>
    <w:tmpl w:val="9BA0EB32"/>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1">
    <w:nsid w:val="2B336F29"/>
    <w:multiLevelType w:val="hybridMultilevel"/>
    <w:tmpl w:val="63BC7C2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nsid w:val="330D30D0"/>
    <w:multiLevelType w:val="hybridMultilevel"/>
    <w:tmpl w:val="A730680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nsid w:val="3A05102E"/>
    <w:multiLevelType w:val="singleLevel"/>
    <w:tmpl w:val="6802948C"/>
    <w:lvl w:ilvl="0">
      <w:start w:val="1"/>
      <w:numFmt w:val="decimal"/>
      <w:lvlText w:val="%1"/>
      <w:legacy w:legacy="1" w:legacySpace="0" w:legacyIndent="283"/>
      <w:lvlJc w:val="left"/>
    </w:lvl>
  </w:abstractNum>
  <w:abstractNum w:abstractNumId="24">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5">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27">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8">
    <w:nsid w:val="494362B6"/>
    <w:multiLevelType w:val="multilevel"/>
    <w:tmpl w:val="4D424D26"/>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nsid w:val="4A81733E"/>
    <w:multiLevelType w:val="hybridMultilevel"/>
    <w:tmpl w:val="A5483A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31">
    <w:nsid w:val="51CD6654"/>
    <w:multiLevelType w:val="multilevel"/>
    <w:tmpl w:val="D2443B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33">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nsid w:val="5A0C51FB"/>
    <w:multiLevelType w:val="hybridMultilevel"/>
    <w:tmpl w:val="B9104EE4"/>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nsid w:val="67E34088"/>
    <w:multiLevelType w:val="hybridMultilevel"/>
    <w:tmpl w:val="EE2CB93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7">
    <w:nsid w:val="769166A8"/>
    <w:multiLevelType w:val="singleLevel"/>
    <w:tmpl w:val="6802948C"/>
    <w:lvl w:ilvl="0">
      <w:start w:val="1"/>
      <w:numFmt w:val="decimal"/>
      <w:lvlText w:val="%1"/>
      <w:legacy w:legacy="1" w:legacySpace="0" w:legacyIndent="283"/>
      <w:lvlJc w:val="left"/>
    </w:lvl>
  </w:abstractNum>
  <w:abstractNum w:abstractNumId="38">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39">
    <w:nsid w:val="78FD5753"/>
    <w:multiLevelType w:val="hybridMultilevel"/>
    <w:tmpl w:val="C0808A0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nsid w:val="7AD20FAE"/>
    <w:multiLevelType w:val="multilevel"/>
    <w:tmpl w:val="79EE133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1">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27"/>
  </w:num>
  <w:num w:numId="3">
    <w:abstractNumId w:val="32"/>
  </w:num>
  <w:num w:numId="4">
    <w:abstractNumId w:val="26"/>
  </w:num>
  <w:num w:numId="5">
    <w:abstractNumId w:val="10"/>
  </w:num>
  <w:num w:numId="6">
    <w:abstractNumId w:val="30"/>
  </w:num>
  <w:num w:numId="7">
    <w:abstractNumId w:val="25"/>
  </w:num>
  <w:num w:numId="8">
    <w:abstractNumId w:val="3"/>
  </w:num>
  <w:num w:numId="9">
    <w:abstractNumId w:val="2"/>
  </w:num>
  <w:num w:numId="10">
    <w:abstractNumId w:val="1"/>
  </w:num>
  <w:num w:numId="11">
    <w:abstractNumId w:val="0"/>
  </w:num>
  <w:num w:numId="12">
    <w:abstractNumId w:val="24"/>
  </w:num>
  <w:num w:numId="13">
    <w:abstractNumId w:val="8"/>
  </w:num>
  <w:num w:numId="14">
    <w:abstractNumId w:val="7"/>
  </w:num>
  <w:num w:numId="15">
    <w:abstractNumId w:val="6"/>
  </w:num>
  <w:num w:numId="16">
    <w:abstractNumId w:val="5"/>
  </w:num>
  <w:num w:numId="17">
    <w:abstractNumId w:val="4"/>
  </w:num>
  <w:num w:numId="18">
    <w:abstractNumId w:val="41"/>
    <w:lvlOverride w:ilvl="0">
      <w:startOverride w:val="1"/>
    </w:lvlOverride>
  </w:num>
  <w:num w:numId="19">
    <w:abstractNumId w:val="11"/>
  </w:num>
  <w:num w:numId="20">
    <w:abstractNumId w:val="18"/>
  </w:num>
  <w:num w:numId="21">
    <w:abstractNumId w:val="32"/>
    <w:lvlOverride w:ilvl="0">
      <w:startOverride w:val="1"/>
    </w:lvlOverride>
  </w:num>
  <w:num w:numId="22">
    <w:abstractNumId w:val="32"/>
    <w:lvlOverride w:ilvl="0">
      <w:startOverride w:val="1"/>
    </w:lvlOverride>
  </w:num>
  <w:num w:numId="23">
    <w:abstractNumId w:val="32"/>
    <w:lvlOverride w:ilvl="0">
      <w:startOverride w:val="1"/>
    </w:lvlOverride>
  </w:num>
  <w:num w:numId="24">
    <w:abstractNumId w:val="33"/>
  </w:num>
  <w:num w:numId="25">
    <w:abstractNumId w:val="13"/>
  </w:num>
  <w:num w:numId="26">
    <w:abstractNumId w:val="38"/>
  </w:num>
  <w:num w:numId="27">
    <w:abstractNumId w:val="36"/>
  </w:num>
  <w:num w:numId="28">
    <w:abstractNumId w:val="37"/>
  </w:num>
  <w:num w:numId="29">
    <w:abstractNumId w:val="23"/>
  </w:num>
  <w:num w:numId="30">
    <w:abstractNumId w:val="16"/>
  </w:num>
  <w:num w:numId="31">
    <w:abstractNumId w:val="34"/>
  </w:num>
  <w:num w:numId="32">
    <w:abstractNumId w:val="35"/>
  </w:num>
  <w:num w:numId="33">
    <w:abstractNumId w:val="39"/>
  </w:num>
  <w:num w:numId="34">
    <w:abstractNumId w:val="29"/>
  </w:num>
  <w:num w:numId="35">
    <w:abstractNumId w:val="20"/>
  </w:num>
  <w:num w:numId="36">
    <w:abstractNumId w:val="19"/>
  </w:num>
  <w:num w:numId="37">
    <w:abstractNumId w:val="40"/>
  </w:num>
  <w:num w:numId="38">
    <w:abstractNumId w:val="21"/>
  </w:num>
  <w:num w:numId="39">
    <w:abstractNumId w:val="22"/>
  </w:num>
  <w:num w:numId="40">
    <w:abstractNumId w:val="14"/>
  </w:num>
  <w:num w:numId="41">
    <w:abstractNumId w:val="12"/>
  </w:num>
  <w:num w:numId="42">
    <w:abstractNumId w:val="28"/>
  </w:num>
  <w:num w:numId="43">
    <w:abstractNumId w:val="17"/>
  </w:num>
  <w:num w:numId="44">
    <w:abstractNumId w:val="31"/>
  </w:num>
  <w:num w:numId="45">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mirrorMargins/>
  <w:proofState w:spelling="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716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0910"/>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B8A"/>
    <w:rsid w:val="002D1F5C"/>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00BC"/>
    <w:rsid w:val="00452D0B"/>
    <w:rsid w:val="00462A2A"/>
    <w:rsid w:val="00472F48"/>
    <w:rsid w:val="00475928"/>
    <w:rsid w:val="00490BE9"/>
    <w:rsid w:val="00494DEB"/>
    <w:rsid w:val="004B3EED"/>
    <w:rsid w:val="004B60DF"/>
    <w:rsid w:val="004C13F5"/>
    <w:rsid w:val="004C6E9D"/>
    <w:rsid w:val="004D20EB"/>
    <w:rsid w:val="004E06E3"/>
    <w:rsid w:val="004F751B"/>
    <w:rsid w:val="00500E11"/>
    <w:rsid w:val="00520EA3"/>
    <w:rsid w:val="0052204A"/>
    <w:rsid w:val="00525A3F"/>
    <w:rsid w:val="00526D02"/>
    <w:rsid w:val="005345CD"/>
    <w:rsid w:val="00541439"/>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70B8"/>
    <w:rsid w:val="00642BB3"/>
    <w:rsid w:val="00645A39"/>
    <w:rsid w:val="00651892"/>
    <w:rsid w:val="006612F7"/>
    <w:rsid w:val="00666440"/>
    <w:rsid w:val="00672A12"/>
    <w:rsid w:val="00673F02"/>
    <w:rsid w:val="0068053A"/>
    <w:rsid w:val="006A5B02"/>
    <w:rsid w:val="006B14B6"/>
    <w:rsid w:val="006B7A3A"/>
    <w:rsid w:val="006C7CDD"/>
    <w:rsid w:val="006D32D6"/>
    <w:rsid w:val="006D4C50"/>
    <w:rsid w:val="006E4CAD"/>
    <w:rsid w:val="006E73AB"/>
    <w:rsid w:val="006F4CFE"/>
    <w:rsid w:val="006F59B3"/>
    <w:rsid w:val="006F7468"/>
    <w:rsid w:val="007057F9"/>
    <w:rsid w:val="007108E8"/>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F4"/>
    <w:rsid w:val="0095582B"/>
    <w:rsid w:val="00976023"/>
    <w:rsid w:val="009872A0"/>
    <w:rsid w:val="00992272"/>
    <w:rsid w:val="009954C3"/>
    <w:rsid w:val="009A1895"/>
    <w:rsid w:val="009A3695"/>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296F"/>
    <w:rsid w:val="00B876A8"/>
    <w:rsid w:val="00B90A20"/>
    <w:rsid w:val="00B94E4C"/>
    <w:rsid w:val="00B969D7"/>
    <w:rsid w:val="00BB24EF"/>
    <w:rsid w:val="00BB402A"/>
    <w:rsid w:val="00BB78B4"/>
    <w:rsid w:val="00BC28E4"/>
    <w:rsid w:val="00BC31FE"/>
    <w:rsid w:val="00BC3B4E"/>
    <w:rsid w:val="00BD0487"/>
    <w:rsid w:val="00BD09A5"/>
    <w:rsid w:val="00BE1A85"/>
    <w:rsid w:val="00BF0470"/>
    <w:rsid w:val="00BF2CCA"/>
    <w:rsid w:val="00C020C0"/>
    <w:rsid w:val="00C47B1A"/>
    <w:rsid w:val="00C62440"/>
    <w:rsid w:val="00C648E3"/>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34B6"/>
    <w:rsid w:val="00DE45DE"/>
    <w:rsid w:val="00E01005"/>
    <w:rsid w:val="00E048DB"/>
    <w:rsid w:val="00E1690A"/>
    <w:rsid w:val="00E25702"/>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B2801"/>
    <w:rsid w:val="00EC07EA"/>
    <w:rsid w:val="00EC525E"/>
    <w:rsid w:val="00ED608A"/>
    <w:rsid w:val="00EE0C7F"/>
    <w:rsid w:val="00F034F5"/>
    <w:rsid w:val="00F13173"/>
    <w:rsid w:val="00F17325"/>
    <w:rsid w:val="00F213B0"/>
    <w:rsid w:val="00F22D99"/>
    <w:rsid w:val="00F420B7"/>
    <w:rsid w:val="00F47497"/>
    <w:rsid w:val="00F47A6E"/>
    <w:rsid w:val="00F53573"/>
    <w:rsid w:val="00F6280C"/>
    <w:rsid w:val="00F66147"/>
    <w:rsid w:val="00F66D81"/>
    <w:rsid w:val="00F72239"/>
    <w:rsid w:val="00F73230"/>
    <w:rsid w:val="00F7428B"/>
    <w:rsid w:val="00F90C19"/>
    <w:rsid w:val="00F96DBF"/>
    <w:rsid w:val="00FB1A5C"/>
    <w:rsid w:val="00FB2D43"/>
    <w:rsid w:val="00FB7150"/>
    <w:rsid w:val="00FC0B2C"/>
    <w:rsid w:val="00FC2B52"/>
    <w:rsid w:val="00FD3DA9"/>
    <w:rsid w:val="00FD4FFA"/>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16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Odstavecseseznamem1">
    <w:name w:val="Odstavec se seznamem1"/>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Odstavecseseznamem1">
    <w:name w:val="Odstavec se seznamem1"/>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yperlink" Target="http://www.itsterminology.org" TargetMode="Externa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outska.UNMZ\Data%20aplikac&#237;\Microsoft\&#352;ablony\Normy15f.dot"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6DA255-716C-4283-BB16-F14DD605B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Normy15f.dot</Template>
  <TotalTime>58</TotalTime>
  <Pages>6</Pages>
  <Words>2513</Words>
  <Characters>14325</Characters>
  <Application>Microsoft Office Word</Application>
  <DocSecurity>0</DocSecurity>
  <Lines>119</Lines>
  <Paragraphs>33</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16805</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Koutska Mila</dc:creator>
  <cp:lastModifiedBy>LenS</cp:lastModifiedBy>
  <cp:revision>5</cp:revision>
  <cp:lastPrinted>2017-02-17T13:02:00Z</cp:lastPrinted>
  <dcterms:created xsi:type="dcterms:W3CDTF">2018-04-04T11:27:00Z</dcterms:created>
  <dcterms:modified xsi:type="dcterms:W3CDTF">2018-04-04T13:46:00Z</dcterms:modified>
</cp:coreProperties>
</file>