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B8F01" w14:textId="77777777" w:rsidR="00BB7CFC" w:rsidRDefault="00BB7CFC" w:rsidP="005E70F7">
      <w:pPr>
        <w:pStyle w:val="Nzev"/>
      </w:pPr>
      <w:r w:rsidRPr="005E70F7">
        <w:t>EXTRAKT</w:t>
      </w:r>
      <w:r>
        <w:t xml:space="preserve"> z české technické normy</w:t>
      </w:r>
    </w:p>
    <w:p w14:paraId="0549F993" w14:textId="77777777" w:rsidR="00BB7CFC" w:rsidRDefault="00BB7CFC" w:rsidP="00BB7CFC">
      <w:pPr>
        <w:widowControl/>
        <w:pBdr>
          <w:top w:val="nil"/>
          <w:left w:val="nil"/>
          <w:bottom w:val="nil"/>
          <w:right w:val="nil"/>
          <w:between w:val="nil"/>
        </w:pBdr>
        <w:spacing w:before="0" w:after="120" w:line="240" w:lineRule="auto"/>
        <w:ind w:left="0" w:hanging="2"/>
        <w:rPr>
          <w:rFonts w:ascii="Arial" w:eastAsia="Arial" w:hAnsi="Arial" w:cs="Arial"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Extrakt nenahrazuje samotnou technickou normu, je pouze informativním materiálem o normě.</w:t>
      </w:r>
    </w:p>
    <w:tbl>
      <w:tblPr>
        <w:tblW w:w="9923" w:type="dxa"/>
        <w:tblInd w:w="-115" w:type="dxa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7371"/>
        <w:gridCol w:w="2552"/>
      </w:tblGrid>
      <w:tr w:rsidR="00BB7CFC" w14:paraId="46756185" w14:textId="77777777" w:rsidTr="000501E5">
        <w:trPr>
          <w:cantSplit/>
          <w:trHeight w:val="1701"/>
        </w:trPr>
        <w:tc>
          <w:tcPr>
            <w:tcW w:w="7371" w:type="dxa"/>
          </w:tcPr>
          <w:p w14:paraId="01F83893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 w:line="240" w:lineRule="auto"/>
              <w:ind w:left="1" w:hanging="3"/>
              <w:jc w:val="left"/>
              <w:rPr>
                <w:rFonts w:ascii="Arial" w:eastAsia="Arial" w:hAnsi="Arial" w:cs="Arial"/>
                <w:b/>
                <w:color w:val="000000"/>
                <w:sz w:val="32"/>
                <w:szCs w:val="32"/>
              </w:rPr>
            </w:pPr>
            <w:r>
              <w:rPr>
                <w:rFonts w:ascii="Arial" w:eastAsia="Arial" w:hAnsi="Arial" w:cs="Arial"/>
                <w:b/>
                <w:color w:val="000000"/>
                <w:sz w:val="32"/>
                <w:szCs w:val="32"/>
              </w:rPr>
              <w:t>Inteligentní dopravní systémy – Zprávy TTI předávané kódováním dopravních zpráv – Část 2: Kódy událostí a informací pro Rádiový datový systém – Kanál dopravních zpráv (RDS-TMC) s využitím ALERT-C</w:t>
            </w:r>
          </w:p>
        </w:tc>
        <w:tc>
          <w:tcPr>
            <w:tcW w:w="2552" w:type="dxa"/>
          </w:tcPr>
          <w:p w14:paraId="2A9F0D69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 w:line="240" w:lineRule="auto"/>
              <w:ind w:left="1" w:hanging="3"/>
              <w:jc w:val="left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b/>
                <w:color w:val="000000"/>
                <w:sz w:val="32"/>
                <w:szCs w:val="32"/>
              </w:rPr>
              <w:t>ČSN EN ISO 14819-2</w:t>
            </w:r>
            <w:r>
              <w:rPr>
                <w:rFonts w:ascii="Arial" w:eastAsia="Arial" w:hAnsi="Arial" w:cs="Arial"/>
                <w:b/>
                <w:color w:val="000000"/>
                <w:sz w:val="32"/>
                <w:szCs w:val="32"/>
              </w:rPr>
              <w:br/>
            </w:r>
          </w:p>
          <w:p w14:paraId="32D23CDB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80" w:after="80" w:line="240" w:lineRule="auto"/>
              <w:ind w:left="1" w:hanging="3"/>
              <w:jc w:val="left"/>
              <w:rPr>
                <w:rFonts w:ascii="Arial" w:eastAsia="Arial" w:hAnsi="Arial" w:cs="Arial"/>
                <w:color w:val="000000"/>
                <w:sz w:val="28"/>
                <w:szCs w:val="28"/>
              </w:rPr>
            </w:pPr>
            <w:r>
              <w:rPr>
                <w:rFonts w:ascii="Arial" w:eastAsia="Arial" w:hAnsi="Arial" w:cs="Arial"/>
                <w:color w:val="000000"/>
                <w:sz w:val="28"/>
                <w:szCs w:val="28"/>
              </w:rPr>
              <w:t>01 8253</w:t>
            </w:r>
          </w:p>
        </w:tc>
      </w:tr>
    </w:tbl>
    <w:p w14:paraId="202AFB7E" w14:textId="77777777" w:rsidR="00BB7CFC" w:rsidRDefault="00BB7CFC" w:rsidP="00BB7CFC">
      <w:pPr>
        <w:keepNext/>
        <w:keepLines/>
        <w:widowControl/>
        <w:pBdr>
          <w:top w:val="nil"/>
          <w:left w:val="nil"/>
          <w:bottom w:val="nil"/>
          <w:right w:val="nil"/>
          <w:between w:val="nil"/>
        </w:pBdr>
        <w:tabs>
          <w:tab w:val="right" w:pos="9923"/>
          <w:tab w:val="left" w:pos="7920"/>
        </w:tabs>
        <w:spacing w:before="240" w:after="360" w:line="240" w:lineRule="auto"/>
        <w:ind w:left="1" w:hanging="3"/>
        <w:jc w:val="right"/>
        <w:rPr>
          <w:rFonts w:ascii="Arial" w:eastAsia="Arial" w:hAnsi="Arial" w:cs="Arial"/>
          <w:color w:val="000000"/>
          <w:sz w:val="28"/>
          <w:szCs w:val="28"/>
        </w:rPr>
      </w:pPr>
      <w:r>
        <w:rPr>
          <w:rFonts w:ascii="Arial" w:eastAsia="Arial" w:hAnsi="Arial" w:cs="Arial"/>
          <w:color w:val="000000"/>
          <w:sz w:val="28"/>
          <w:szCs w:val="28"/>
        </w:rPr>
        <w:t>Vydána 2021, 209 stran</w:t>
      </w:r>
    </w:p>
    <w:p w14:paraId="2BFED1E3" w14:textId="77777777" w:rsidR="00BB7CFC" w:rsidRDefault="00BB7CFC" w:rsidP="005E70F7">
      <w:pPr>
        <w:pStyle w:val="Nadpis1"/>
        <w:rPr>
          <w:b/>
        </w:rPr>
      </w:pPr>
      <w:r w:rsidRPr="005E70F7">
        <w:t>Úvod</w:t>
      </w:r>
    </w:p>
    <w:p w14:paraId="69C6C562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Soubor norem EN ISO 14819 stanovuje formát a protokol RDS-TMC pro nepřetržité poskytování strukturovaných dopravních informací do navigačních přístrojů a pro jejich interpretaci v jazyce uživatele. Zprávy RDS-TMC nepřenášejí text, ale číselné kódy z předem dohodnutých číselníků – zvlášť pro popis události a zvlášť pro popis polohy – které musí být shodné na obou koncích přenosového řetězce.</w:t>
      </w:r>
    </w:p>
    <w:p w14:paraId="098F2B3A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Soubor norem EN ISO 14819 se skládá ze 3 částí. Část 1 stanovuje strukturu zprávy, způsob přenosu a šifrování obsahu, část 2 stanovuje kódy událostí a doplňkových informací a část 3 stanovuje způsob odkazování na polohu, tedy lokační tabulku. Protokol ALERT-C je podrobněji popsán v extraktu části 1.</w:t>
      </w:r>
    </w:p>
    <w:p w14:paraId="547A15C1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Část 2, dále popisovaný dokument stanovuje první z obou číselníků, katalog událostí. Určuje, které dopravní situace lze službou RDS-TMC vůbec popsat, jakou frází se každá z nich sděluje řidiči a jakým kódem se přenáší.</w:t>
      </w:r>
    </w:p>
    <w:p w14:paraId="6AA1641A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Poznámka: Extrakt uvádí vybrané kapitoly popisovaného dokumentu a přejímá původní číslování kapitol.</w:t>
      </w:r>
    </w:p>
    <w:p w14:paraId="4C8A353A" w14:textId="77777777" w:rsidR="00BB7CFC" w:rsidRDefault="00BB7CFC" w:rsidP="005E70F7">
      <w:pPr>
        <w:pStyle w:val="Nadpis1"/>
        <w:rPr>
          <w:b/>
        </w:rPr>
      </w:pPr>
      <w:r>
        <w:t>Užití</w:t>
      </w:r>
    </w:p>
    <w:p w14:paraId="6D28CE9B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Popisovaný dokument použije zejména systémový analytik a programátor při tvorbě aplikací pro kódování dopravních informací protokolem ALERT-C a pro jejich dekódování v navigačních přístrojích. Dopravní informační centra jej používají jako závazný seznam frází, kterými se dopravní události popisují.</w:t>
      </w:r>
    </w:p>
    <w:p w14:paraId="518AF6A9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Českým specifikem popisovaného dokumentu jsou národní přílohy B, C a D, které ke každé frázi uvádějí český překlad včetně variant podle hodnoty kvantifikátoru. Tvoří téměř dvě třetiny rozsahu dokumentu a jsou hlavním pracovním podkladem pro provoz české služby RDS-TMC.</w:t>
      </w:r>
    </w:p>
    <w:p w14:paraId="5B259007" w14:textId="77777777" w:rsidR="00BB7CFC" w:rsidRDefault="00BB7CFC" w:rsidP="005E70F7">
      <w:pPr>
        <w:pStyle w:val="Nadpis1"/>
        <w:rPr>
          <w:b/>
        </w:rPr>
      </w:pPr>
      <w:r>
        <w:t>Souvisící normy</w:t>
      </w:r>
    </w:p>
    <w:p w14:paraId="4B134631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Popisovaný dokument uvádí 4 souvisící dokumenty: EN ISO 14819-1 (kódovací protokol a struktura zprávy), EN ISO 14819-3 (odkazování na polohu), EN ISO 14819-6 (šifrování a podmíněný přístup) a IEC 62106 (soubor) Specifikace rádiového datového systému (RDS) pro rozhlasové vysílání VKV/FM v kmitočtovém pásmu od 64,0 MHz do 108,0 MHz.</w:t>
      </w:r>
    </w:p>
    <w:p w14:paraId="3D78A3FC" w14:textId="77777777" w:rsidR="00BB7CFC" w:rsidRDefault="00BB7CFC" w:rsidP="005E70F7">
      <w:pPr>
        <w:pStyle w:val="Nadpis1"/>
        <w:rPr>
          <w:b/>
        </w:rPr>
      </w:pPr>
      <w:r>
        <w:t>1 Předmět normy</w:t>
      </w:r>
    </w:p>
    <w:p w14:paraId="5837E0BF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Tato kapitola (rozsah 1 odstavec) stanovuje předmět popisovaného dokumentu, tedy katalog </w:t>
      </w:r>
      <w:r>
        <w:rPr>
          <w:rFonts w:ascii="Arial" w:eastAsia="Arial" w:hAnsi="Arial" w:cs="Arial"/>
          <w:color w:val="000000"/>
          <w:sz w:val="22"/>
          <w:szCs w:val="22"/>
        </w:rPr>
        <w:lastRenderedPageBreak/>
        <w:t>událostí používaný při kódování zpráv protokolem ALERT-C, jehož koncept a struktura zprávy jsou stanoveny v EN ISO 14819-1.</w:t>
      </w:r>
    </w:p>
    <w:p w14:paraId="72B5F64C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Popisovaný dokument stanovuje úplný seznam dopravních situací, které lze službou RDS-TMC předat, přiřazuje každé z nich jedinečný číselný kód a k tomuto kódu vlastnosti, se kterými koncové zařízení dále pracuje: povahu události, přípustný kvantifikátor, typ trvání, směrovost, urgenci a aktualizační třídu.</w:t>
      </w:r>
    </w:p>
    <w:p w14:paraId="49B6A590" w14:textId="77777777" w:rsidR="00BB7CFC" w:rsidRDefault="00BB7CFC" w:rsidP="005E70F7">
      <w:pPr>
        <w:pStyle w:val="Nadpis1"/>
        <w:rPr>
          <w:b/>
        </w:rPr>
      </w:pPr>
      <w:r>
        <w:t>3 Termíny a definice</w:t>
      </w:r>
    </w:p>
    <w:p w14:paraId="7EFA6B23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Popisovaný dokument neobsahuje termíny ani zkratky. Pro čtení extraktu jsou podstatné tyto 4 termíny, které stanovuje EN ISO 14819-1, respektive vysvětlivky popisovaného dokumentu:</w:t>
      </w:r>
    </w:p>
    <w:p w14:paraId="67ED1825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katalog událostí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</w:t>
      </w:r>
      <w:r>
        <w:rPr>
          <w:rFonts w:ascii="Arial" w:eastAsia="Arial" w:hAnsi="Arial" w:cs="Arial"/>
          <w:i/>
          <w:color w:val="000000"/>
          <w:sz w:val="22"/>
          <w:szCs w:val="22"/>
        </w:rPr>
        <w:t>event list</w:t>
      </w:r>
      <w:r>
        <w:rPr>
          <w:rFonts w:ascii="Arial" w:eastAsia="Arial" w:hAnsi="Arial" w:cs="Arial"/>
          <w:color w:val="000000"/>
          <w:sz w:val="22"/>
          <w:szCs w:val="22"/>
        </w:rPr>
        <w:t>) – dohodnutá tabulka popisů a parametrů událostí, kterým je přiřazena hodnota kódu události a které uvádějí podrobnosti o dopravním problému (např. dopravní zácpa způsobená nehodou) a případně jeho závažnost (např. výsledná délka fronty) nebo povětrnostní situaci</w:t>
      </w:r>
    </w:p>
    <w:p w14:paraId="0DC43C27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fráze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</w:t>
      </w:r>
      <w:r>
        <w:rPr>
          <w:rFonts w:ascii="Arial" w:eastAsia="Arial" w:hAnsi="Arial" w:cs="Arial"/>
          <w:i/>
          <w:color w:val="000000"/>
          <w:sz w:val="22"/>
          <w:szCs w:val="22"/>
        </w:rPr>
        <w:t>phrase</w:t>
      </w:r>
      <w:r>
        <w:rPr>
          <w:rFonts w:ascii="Arial" w:eastAsia="Arial" w:hAnsi="Arial" w:cs="Arial"/>
          <w:color w:val="000000"/>
          <w:sz w:val="22"/>
          <w:szCs w:val="22"/>
        </w:rPr>
        <w:t>) – jazykově nezávislý popis jedné dopravní situace, kterému je přiřazen kód fráze složený z písmene A až Z a čísla; zpráva TMC je tvořena jednou frází nebo kombinací dvou a více frází</w:t>
      </w:r>
    </w:p>
    <w:p w14:paraId="3C446F8C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kvantifikátor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</w:t>
      </w:r>
      <w:r>
        <w:rPr>
          <w:rFonts w:ascii="Arial" w:eastAsia="Arial" w:hAnsi="Arial" w:cs="Arial"/>
          <w:i/>
          <w:color w:val="000000"/>
          <w:sz w:val="22"/>
          <w:szCs w:val="22"/>
        </w:rPr>
        <w:t>quantifier</w:t>
      </w:r>
      <w:r>
        <w:rPr>
          <w:rFonts w:ascii="Arial" w:eastAsia="Arial" w:hAnsi="Arial" w:cs="Arial"/>
          <w:color w:val="000000"/>
          <w:sz w:val="22"/>
          <w:szCs w:val="22"/>
        </w:rPr>
        <w:t>) – číselný údaj vkládaný do fráze na místo označené Q, například rychlost, délka úseku, teplota nebo doba zdržení</w:t>
      </w:r>
    </w:p>
    <w:p w14:paraId="28781D5C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aktualizační třída</w:t>
      </w:r>
      <w:r>
        <w:rPr>
          <w:rFonts w:ascii="Arial" w:eastAsia="Arial" w:hAnsi="Arial" w:cs="Arial"/>
          <w:color w:val="000000"/>
          <w:sz w:val="22"/>
          <w:szCs w:val="22"/>
        </w:rPr>
        <w:t xml:space="preserve"> (</w:t>
      </w:r>
      <w:r>
        <w:rPr>
          <w:rFonts w:ascii="Arial" w:eastAsia="Arial" w:hAnsi="Arial" w:cs="Arial"/>
          <w:i/>
          <w:color w:val="000000"/>
          <w:sz w:val="22"/>
          <w:szCs w:val="22"/>
        </w:rPr>
        <w:t>update class</w:t>
      </w:r>
      <w:r>
        <w:rPr>
          <w:rFonts w:ascii="Arial" w:eastAsia="Arial" w:hAnsi="Arial" w:cs="Arial"/>
          <w:color w:val="000000"/>
          <w:sz w:val="22"/>
          <w:szCs w:val="22"/>
        </w:rPr>
        <w:t>) – číslo přiřazené každé události, podle kterého koncové zařízení rozhoduje, kterou uloženou zprávu nově přijatá zpráva nahradí</w:t>
      </w:r>
    </w:p>
    <w:p w14:paraId="230B218C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Další termíny a zkratky z oboru ITS jsou obsaženy ve slovníku ITS (&lt;www.ITSterminology.org&gt;).</w:t>
      </w:r>
    </w:p>
    <w:p w14:paraId="7D12CA80" w14:textId="77777777" w:rsidR="00BB7CFC" w:rsidRDefault="00BB7CFC" w:rsidP="005E70F7">
      <w:pPr>
        <w:pStyle w:val="Nadpis1"/>
        <w:rPr>
          <w:b/>
        </w:rPr>
      </w:pPr>
      <w:r>
        <w:t>4 Kódy událostí a informací pro kanál dopravních zpráv TMC</w:t>
      </w:r>
    </w:p>
    <w:p w14:paraId="54EF9E1D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Tato kapitola (rozsah 76 stran) je jádrem popisovaného dokumentu a obsahuje 3 články: 4.1 Seznam událostí, 4.2 Doplňkové informace a 4.3 Seznam očekávaných událostí. Každý z nich stanovuje nejprve vysvětlivky ke struktuře tabulky a poté vlastní tabulku frází; článek 4.1 obsahuje navíc pod-článek 4.1.2 Seznam kvantifikátorů.</w:t>
      </w:r>
    </w:p>
    <w:p w14:paraId="0791A411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Článek 4.1.1 Vysvětlivky stanovuje ve 12 bodech význam jedenácti sloupců tabulky událostí (viz tabulka 1).</w:t>
      </w:r>
    </w:p>
    <w:p w14:paraId="6744AB8B" w14:textId="54814E72" w:rsidR="005E70F7" w:rsidRDefault="005E70F7" w:rsidP="005E70F7">
      <w:pPr>
        <w:pStyle w:val="Titulek"/>
      </w:pPr>
      <w:r>
        <w:t xml:space="preserve">Tabulka </w:t>
      </w:r>
      <w:fldSimple w:instr=" SEQ Tabulka \* ARABIC ">
        <w:r>
          <w:rPr>
            <w:noProof/>
          </w:rPr>
          <w:t>1</w:t>
        </w:r>
      </w:fldSimple>
      <w:r w:rsidRPr="005E70F7">
        <w:rPr>
          <w:sz w:val="20"/>
          <w:szCs w:val="20"/>
        </w:rPr>
        <w:t xml:space="preserve"> </w:t>
      </w:r>
      <w:r>
        <w:rPr>
          <w:sz w:val="20"/>
          <w:szCs w:val="20"/>
        </w:rPr>
        <w:t>Sloupce tabulky událostí (tab. 2 popisovaného dokumentu)</w:t>
      </w:r>
    </w:p>
    <w:tbl>
      <w:tblPr>
        <w:tblW w:w="9777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86"/>
        <w:gridCol w:w="8791"/>
      </w:tblGrid>
      <w:tr w:rsidR="00BB7CFC" w14:paraId="28867282" w14:textId="77777777" w:rsidTr="000501E5">
        <w:trPr>
          <w:cantSplit/>
          <w:tblHeader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C9732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Sloupec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1152E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Význam</w:t>
            </w:r>
          </w:p>
        </w:tc>
      </w:tr>
      <w:tr w:rsidR="00BB7CFC" w14:paraId="3B1584A8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3B52D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Line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A51EB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číslo řádku pro snadnější orientaci v databázi</w:t>
            </w:r>
          </w:p>
        </w:tc>
      </w:tr>
      <w:tr w:rsidR="00BB7CFC" w14:paraId="7257D417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EE42B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Text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415DE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popis události v technické angličtině (CEN angličtina), odpovídající definicím datového slovníku DATEX</w:t>
            </w:r>
          </w:p>
        </w:tc>
      </w:tr>
      <w:tr w:rsidR="00BB7CFC" w14:paraId="5A81A8AC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06C85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Code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EF07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desítkový ekvivalent binárního kódu, kterým se událost přenáší</w:t>
            </w:r>
          </w:p>
        </w:tc>
      </w:tr>
      <w:tr w:rsidR="00BB7CFC" w14:paraId="77D68D4B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0B31D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543733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povaha události: prázdné – informace, F – předpověď, S – tichá zpráva neurčená koncovému uživateli</w:t>
            </w:r>
          </w:p>
        </w:tc>
      </w:tr>
      <w:tr w:rsidR="00BB7CFC" w14:paraId="19F46073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77A6B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Q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04498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přípustný kvantifikátor, odkazem do seznamu kvantifikátorů</w:t>
            </w:r>
          </w:p>
        </w:tc>
      </w:tr>
      <w:tr w:rsidR="00BB7CFC" w14:paraId="7F133BB6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4DE77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74808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typ trvání: D – dynamická událost krátkého trvání, L – událost delšího trvání; je-li kód v závorce nebo je ve zprávě použit kvantifikátor času, trvání se uživateli nezobrazuje</w:t>
            </w:r>
          </w:p>
        </w:tc>
      </w:tr>
      <w:tr w:rsidR="00BB7CFC" w14:paraId="72EB7E0E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6A909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F71BE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výchozí směrovost: 1 – ovlivněn jeden směr provozu, 2 – oba směry</w:t>
            </w:r>
          </w:p>
        </w:tc>
      </w:tr>
      <w:tr w:rsidR="00BB7CFC" w14:paraId="6483B848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DEFD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U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A6C26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výchozí urgence: U – naléhavá, X – velmi naléhavá, prázdné – normální</w:t>
            </w:r>
          </w:p>
        </w:tc>
      </w:tr>
      <w:tr w:rsidR="00BB7CFC" w14:paraId="659BD041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19120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952D6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aktualizační třída, podle níž koncové zařízení zprávy v paměti nahrazuje</w:t>
            </w:r>
          </w:p>
        </w:tc>
      </w:tr>
      <w:tr w:rsidR="00BB7CFC" w14:paraId="3402B7B2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38C3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B60F0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kód, který se má používat přednostně, jde-li o událost určenou k vyřazení</w:t>
            </w:r>
          </w:p>
        </w:tc>
      </w:tr>
      <w:tr w:rsidR="00BB7CFC" w14:paraId="56D50AC8" w14:textId="77777777" w:rsidTr="000501E5">
        <w:trPr>
          <w:cantSplit/>
          <w:jc w:val="center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FFB4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lastRenderedPageBreak/>
              <w:t>R</w:t>
            </w:r>
          </w:p>
        </w:tc>
        <w:tc>
          <w:tcPr>
            <w:tcW w:w="88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786A4" w14:textId="77777777" w:rsidR="00BB7CFC" w:rsidRDefault="00BB7CFC" w:rsidP="000501E5">
            <w:pPr>
              <w:widowControl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60" w:line="240" w:lineRule="auto"/>
              <w:ind w:left="0" w:hanging="2"/>
              <w:jc w:val="left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kód fráze pro operátory služby TMC; kombinovaná událost má kódy složené (např. B1.A106)</w:t>
            </w:r>
          </w:p>
        </w:tc>
      </w:tr>
    </w:tbl>
    <w:p w14:paraId="460B8641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Článek 4.1.2 Seznam kvantifikátorů stanovuje 13 kvantifikátorů (0 až 12), jejich význam, rozsah hodnot a bitové kódování; kvantifikátory 0 až 5 používají 5bitové datové pole, kvantifikátory 6 až 12 pole 8bitové (umožňují tedy větší rozsah). </w:t>
      </w:r>
    </w:p>
    <w:p w14:paraId="432A3F29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Kvantifikátor 4 například nahrazuje znak Q ve frázi textem „až S km/h“, kde S nabývá hodnot 5 až 160 po pěti a binární kód 00001 odpovídá hodnotě 5. Kvantifikátory vyjadřují počty, vzdálenosti, procenta, rychlosti, časy, teploty, hmotnosti i kmitočty (viz tabulka 2).</w:t>
      </w:r>
    </w:p>
    <w:p w14:paraId="19B293D6" w14:textId="4A021898" w:rsidR="005E70F7" w:rsidRDefault="005E70F7" w:rsidP="005E70F7">
      <w:pPr>
        <w:pStyle w:val="Titulek"/>
      </w:pPr>
      <w:r>
        <w:t xml:space="preserve">Tabulka </w:t>
      </w:r>
      <w:fldSimple w:instr=" SEQ Tabulka \* ARABIC ">
        <w:r>
          <w:rPr>
            <w:noProof/>
          </w:rPr>
          <w:t>2</w:t>
        </w:r>
      </w:fldSimple>
      <w:r w:rsidRPr="005E70F7">
        <w:rPr>
          <w:sz w:val="20"/>
          <w:szCs w:val="20"/>
        </w:rPr>
        <w:t xml:space="preserve"> </w:t>
      </w:r>
      <w:r>
        <w:rPr>
          <w:sz w:val="20"/>
          <w:szCs w:val="20"/>
        </w:rPr>
        <w:t>Ukázka ze seznamu kvantifikátorů (tab. 1 popisovaného dokumentu)</w:t>
      </w:r>
    </w:p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8"/>
        <w:gridCol w:w="2213"/>
        <w:gridCol w:w="2871"/>
        <w:gridCol w:w="2011"/>
        <w:gridCol w:w="1938"/>
      </w:tblGrid>
      <w:tr w:rsidR="00BB7CFC" w:rsidRPr="004D6061" w14:paraId="35D7039A" w14:textId="77777777" w:rsidTr="000501E5">
        <w:trPr>
          <w:jc w:val="center"/>
        </w:trPr>
        <w:tc>
          <w:tcPr>
            <w:tcW w:w="306" w:type="pct"/>
          </w:tcPr>
          <w:p w14:paraId="2DBCFA23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Číslo</w:t>
            </w:r>
          </w:p>
        </w:tc>
        <w:tc>
          <w:tcPr>
            <w:tcW w:w="1150" w:type="pct"/>
          </w:tcPr>
          <w:p w14:paraId="45D4E5D5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Význam označení</w:t>
            </w:r>
          </w:p>
        </w:tc>
        <w:tc>
          <w:tcPr>
            <w:tcW w:w="1492" w:type="pct"/>
          </w:tcPr>
          <w:p w14:paraId="13820369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Rozsah</w:t>
            </w:r>
          </w:p>
        </w:tc>
        <w:tc>
          <w:tcPr>
            <w:tcW w:w="2052" w:type="pct"/>
            <w:gridSpan w:val="2"/>
          </w:tcPr>
          <w:p w14:paraId="7DC97D40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Příklady</w:t>
            </w:r>
          </w:p>
        </w:tc>
      </w:tr>
      <w:tr w:rsidR="00BB7CFC" w:rsidRPr="004D6061" w14:paraId="44421CF8" w14:textId="77777777" w:rsidTr="000501E5">
        <w:trPr>
          <w:jc w:val="center"/>
        </w:trPr>
        <w:tc>
          <w:tcPr>
            <w:tcW w:w="306" w:type="pct"/>
          </w:tcPr>
          <w:p w14:paraId="14B1EE75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</w:p>
        </w:tc>
        <w:tc>
          <w:tcPr>
            <w:tcW w:w="1150" w:type="pct"/>
          </w:tcPr>
          <w:p w14:paraId="0915CB3C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</w:p>
        </w:tc>
        <w:tc>
          <w:tcPr>
            <w:tcW w:w="1492" w:type="pct"/>
          </w:tcPr>
          <w:p w14:paraId="24227046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</w:p>
        </w:tc>
        <w:tc>
          <w:tcPr>
            <w:tcW w:w="1045" w:type="pct"/>
          </w:tcPr>
          <w:p w14:paraId="5839FF1A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Hodnota</w:t>
            </w:r>
          </w:p>
        </w:tc>
        <w:tc>
          <w:tcPr>
            <w:tcW w:w="1007" w:type="pct"/>
            <w:vAlign w:val="center"/>
          </w:tcPr>
          <w:p w14:paraId="43FC61D6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b/>
              </w:rPr>
            </w:pPr>
            <w:r>
              <w:rPr>
                <w:b/>
              </w:rPr>
              <w:t>Binární kód</w:t>
            </w:r>
          </w:p>
        </w:tc>
      </w:tr>
      <w:tr w:rsidR="00BB7CFC" w:rsidRPr="004D6061" w14:paraId="631AB6DB" w14:textId="77777777" w:rsidTr="000501E5">
        <w:trPr>
          <w:jc w:val="center"/>
        </w:trPr>
        <w:tc>
          <w:tcPr>
            <w:tcW w:w="306" w:type="pct"/>
          </w:tcPr>
          <w:p w14:paraId="375E21D9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>
              <w:t>0</w:t>
            </w:r>
          </w:p>
        </w:tc>
        <w:tc>
          <w:tcPr>
            <w:tcW w:w="1150" w:type="pct"/>
          </w:tcPr>
          <w:p w14:paraId="31454DCF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n (malé číslo)</w:t>
            </w:r>
          </w:p>
        </w:tc>
        <w:tc>
          <w:tcPr>
            <w:tcW w:w="1492" w:type="pct"/>
          </w:tcPr>
          <w:p w14:paraId="4AC6DF1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 w:rsidRPr="001A38C8">
              <w:rPr>
                <w:rFonts w:eastAsia="MS Mincho"/>
                <w:szCs w:val="24"/>
              </w:rPr>
              <w:t>(n = 1, 2, ..., 28;</w:t>
            </w:r>
            <w:r w:rsidRPr="001A38C8">
              <w:rPr>
                <w:rFonts w:eastAsia="MS Mincho"/>
                <w:szCs w:val="24"/>
              </w:rPr>
              <w:br/>
              <w:t>30, 32, ...36);</w:t>
            </w:r>
          </w:p>
        </w:tc>
        <w:tc>
          <w:tcPr>
            <w:tcW w:w="1045" w:type="pct"/>
          </w:tcPr>
          <w:p w14:paraId="4A68FD26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1</w:t>
            </w:r>
            <w:r w:rsidRPr="001A38C8">
              <w:rPr>
                <w:rFonts w:eastAsia="MS Mincho"/>
                <w:szCs w:val="24"/>
              </w:rPr>
              <w:br/>
              <w:t>2</w:t>
            </w:r>
            <w:r w:rsidRPr="001A38C8">
              <w:rPr>
                <w:rFonts w:eastAsia="MS Mincho"/>
                <w:szCs w:val="24"/>
              </w:rPr>
              <w:br/>
              <w:t>36</w:t>
            </w:r>
          </w:p>
        </w:tc>
        <w:tc>
          <w:tcPr>
            <w:tcW w:w="1007" w:type="pct"/>
            <w:vAlign w:val="center"/>
          </w:tcPr>
          <w:p w14:paraId="38C47073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00001</w:t>
            </w:r>
            <w:r w:rsidRPr="001A38C8">
              <w:rPr>
                <w:rFonts w:eastAsia="MS Mincho"/>
                <w:szCs w:val="24"/>
              </w:rPr>
              <w:br/>
              <w:t>00010</w:t>
            </w:r>
            <w:r w:rsidRPr="001A38C8">
              <w:rPr>
                <w:rFonts w:eastAsia="MS Mincho"/>
                <w:szCs w:val="24"/>
              </w:rPr>
              <w:br/>
              <w:t>00000</w:t>
            </w:r>
          </w:p>
        </w:tc>
      </w:tr>
      <w:tr w:rsidR="00BB7CFC" w:rsidRPr="004D6061" w14:paraId="762495FC" w14:textId="77777777" w:rsidTr="000501E5">
        <w:trPr>
          <w:jc w:val="center"/>
        </w:trPr>
        <w:tc>
          <w:tcPr>
            <w:tcW w:w="306" w:type="pct"/>
          </w:tcPr>
          <w:p w14:paraId="12E5C98D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>
              <w:t>1</w:t>
            </w:r>
          </w:p>
        </w:tc>
        <w:tc>
          <w:tcPr>
            <w:tcW w:w="1150" w:type="pct"/>
          </w:tcPr>
          <w:p w14:paraId="1471DF7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N (číslo)</w:t>
            </w:r>
          </w:p>
        </w:tc>
        <w:tc>
          <w:tcPr>
            <w:tcW w:w="1492" w:type="pct"/>
          </w:tcPr>
          <w:p w14:paraId="6F96CFBD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 w:rsidRPr="001A38C8">
              <w:rPr>
                <w:rFonts w:eastAsia="MS Mincho"/>
                <w:szCs w:val="24"/>
              </w:rPr>
              <w:t>(N = 1, 2, 3, 4;</w:t>
            </w:r>
          </w:p>
        </w:tc>
        <w:tc>
          <w:tcPr>
            <w:tcW w:w="1045" w:type="pct"/>
          </w:tcPr>
          <w:p w14:paraId="07AC7B00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1</w:t>
            </w:r>
            <w:r w:rsidRPr="001A38C8">
              <w:rPr>
                <w:rFonts w:eastAsia="MS Mincho"/>
                <w:szCs w:val="24"/>
              </w:rPr>
              <w:br/>
              <w:t>2</w:t>
            </w:r>
          </w:p>
        </w:tc>
        <w:tc>
          <w:tcPr>
            <w:tcW w:w="1007" w:type="pct"/>
            <w:vAlign w:val="center"/>
          </w:tcPr>
          <w:p w14:paraId="7EF773DB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00001</w:t>
            </w:r>
            <w:r w:rsidRPr="001A38C8">
              <w:rPr>
                <w:rFonts w:eastAsia="MS Mincho"/>
                <w:szCs w:val="24"/>
              </w:rPr>
              <w:br/>
              <w:t>00010</w:t>
            </w:r>
          </w:p>
        </w:tc>
      </w:tr>
      <w:tr w:rsidR="00BB7CFC" w:rsidRPr="004D6061" w14:paraId="71D3B4D9" w14:textId="77777777" w:rsidTr="000501E5">
        <w:trPr>
          <w:jc w:val="center"/>
        </w:trPr>
        <w:tc>
          <w:tcPr>
            <w:tcW w:w="306" w:type="pct"/>
          </w:tcPr>
          <w:p w14:paraId="749AE772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</w:p>
        </w:tc>
        <w:tc>
          <w:tcPr>
            <w:tcW w:w="1150" w:type="pct"/>
          </w:tcPr>
          <w:p w14:paraId="75ADE6D7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1492" w:type="pct"/>
          </w:tcPr>
          <w:p w14:paraId="2B7DABA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 w:rsidRPr="001A38C8">
              <w:rPr>
                <w:rFonts w:eastAsia="MS Mincho"/>
                <w:szCs w:val="24"/>
              </w:rPr>
              <w:t>10, 20, ... 100;</w:t>
            </w:r>
          </w:p>
        </w:tc>
        <w:tc>
          <w:tcPr>
            <w:tcW w:w="1045" w:type="pct"/>
          </w:tcPr>
          <w:p w14:paraId="0F2E447D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10</w:t>
            </w:r>
            <w:r w:rsidRPr="001A38C8">
              <w:rPr>
                <w:rFonts w:eastAsia="MS Mincho"/>
                <w:szCs w:val="24"/>
              </w:rPr>
              <w:br/>
              <w:t>20</w:t>
            </w:r>
          </w:p>
        </w:tc>
        <w:tc>
          <w:tcPr>
            <w:tcW w:w="1007" w:type="pct"/>
            <w:vAlign w:val="center"/>
          </w:tcPr>
          <w:p w14:paraId="7D0632B1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00101</w:t>
            </w:r>
            <w:r w:rsidRPr="001A38C8">
              <w:rPr>
                <w:rFonts w:eastAsia="MS Mincho"/>
                <w:szCs w:val="24"/>
              </w:rPr>
              <w:br/>
              <w:t>00110</w:t>
            </w:r>
          </w:p>
        </w:tc>
      </w:tr>
      <w:tr w:rsidR="00BB7CFC" w:rsidRPr="004D6061" w14:paraId="79A7B813" w14:textId="77777777" w:rsidTr="000501E5">
        <w:trPr>
          <w:jc w:val="center"/>
        </w:trPr>
        <w:tc>
          <w:tcPr>
            <w:tcW w:w="306" w:type="pct"/>
          </w:tcPr>
          <w:p w14:paraId="61CDCF1B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</w:p>
        </w:tc>
        <w:tc>
          <w:tcPr>
            <w:tcW w:w="1150" w:type="pct"/>
          </w:tcPr>
          <w:p w14:paraId="2F8F3CC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1492" w:type="pct"/>
          </w:tcPr>
          <w:p w14:paraId="251AEBA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 w:rsidRPr="001A38C8">
              <w:rPr>
                <w:rFonts w:eastAsia="MS Mincho"/>
                <w:szCs w:val="24"/>
              </w:rPr>
              <w:t>150, 200, ... 1000)</w:t>
            </w:r>
          </w:p>
        </w:tc>
        <w:tc>
          <w:tcPr>
            <w:tcW w:w="1045" w:type="pct"/>
          </w:tcPr>
          <w:p w14:paraId="14CED483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150</w:t>
            </w:r>
            <w:r w:rsidRPr="001A38C8">
              <w:rPr>
                <w:rFonts w:eastAsia="MS Mincho"/>
                <w:szCs w:val="24"/>
              </w:rPr>
              <w:br/>
              <w:t>200</w:t>
            </w:r>
            <w:r w:rsidRPr="001A38C8">
              <w:rPr>
                <w:rFonts w:eastAsia="MS Mincho"/>
                <w:szCs w:val="24"/>
              </w:rPr>
              <w:br/>
              <w:t>1000</w:t>
            </w:r>
          </w:p>
        </w:tc>
        <w:tc>
          <w:tcPr>
            <w:tcW w:w="1007" w:type="pct"/>
            <w:vAlign w:val="center"/>
          </w:tcPr>
          <w:p w14:paraId="5DBB6893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 w:rsidRPr="001A38C8">
              <w:rPr>
                <w:rFonts w:eastAsia="MS Mincho"/>
                <w:szCs w:val="24"/>
              </w:rPr>
              <w:t>01111</w:t>
            </w:r>
            <w:r w:rsidRPr="001A38C8">
              <w:rPr>
                <w:rFonts w:eastAsia="MS Mincho"/>
                <w:szCs w:val="24"/>
              </w:rPr>
              <w:br/>
              <w:t>10000</w:t>
            </w:r>
            <w:r w:rsidRPr="001A38C8">
              <w:rPr>
                <w:rFonts w:eastAsia="MS Mincho"/>
                <w:szCs w:val="24"/>
              </w:rPr>
              <w:br/>
              <w:t>00000</w:t>
            </w:r>
          </w:p>
        </w:tc>
      </w:tr>
      <w:tr w:rsidR="00BB7CFC" w:rsidRPr="004D6061" w14:paraId="4DF78DE2" w14:textId="77777777" w:rsidTr="000501E5">
        <w:trPr>
          <w:jc w:val="center"/>
        </w:trPr>
        <w:tc>
          <w:tcPr>
            <w:tcW w:w="306" w:type="pct"/>
          </w:tcPr>
          <w:p w14:paraId="324DA797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>
              <w:t>…</w:t>
            </w:r>
          </w:p>
        </w:tc>
        <w:tc>
          <w:tcPr>
            <w:tcW w:w="1150" w:type="pct"/>
          </w:tcPr>
          <w:p w14:paraId="68231AE7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1492" w:type="pct"/>
          </w:tcPr>
          <w:p w14:paraId="25CC01F6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…</w:t>
            </w:r>
          </w:p>
        </w:tc>
        <w:tc>
          <w:tcPr>
            <w:tcW w:w="1045" w:type="pct"/>
          </w:tcPr>
          <w:p w14:paraId="1E73FF61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…</w:t>
            </w:r>
          </w:p>
        </w:tc>
        <w:tc>
          <w:tcPr>
            <w:tcW w:w="1007" w:type="pct"/>
            <w:vAlign w:val="center"/>
          </w:tcPr>
          <w:p w14:paraId="6318EAE0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rFonts w:eastAsia="MS Mincho"/>
                <w:szCs w:val="24"/>
              </w:rPr>
            </w:pPr>
            <w:r>
              <w:rPr>
                <w:rFonts w:eastAsia="MS Mincho"/>
                <w:szCs w:val="24"/>
              </w:rPr>
              <w:t>…</w:t>
            </w:r>
          </w:p>
        </w:tc>
      </w:tr>
      <w:tr w:rsidR="00BB7CFC" w:rsidRPr="004D6061" w14:paraId="02A3A5F7" w14:textId="77777777" w:rsidTr="000501E5">
        <w:trPr>
          <w:jc w:val="center"/>
        </w:trPr>
        <w:tc>
          <w:tcPr>
            <w:tcW w:w="306" w:type="pct"/>
          </w:tcPr>
          <w:p w14:paraId="2D0AF045" w14:textId="77777777" w:rsidR="00BB7CFC" w:rsidRDefault="00BB7CFC" w:rsidP="000501E5">
            <w:pPr>
              <w:pStyle w:val="Texttabulky"/>
              <w:spacing w:line="240" w:lineRule="auto"/>
              <w:ind w:left="0" w:hanging="2"/>
              <w:jc w:val="center"/>
            </w:pPr>
            <w:r>
              <w:t>4</w:t>
            </w:r>
          </w:p>
        </w:tc>
        <w:tc>
          <w:tcPr>
            <w:tcW w:w="1150" w:type="pct"/>
          </w:tcPr>
          <w:p w14:paraId="17B0406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až S km</w:t>
            </w:r>
            <w:r>
              <w:rPr>
                <w:lang w:val="en-US"/>
              </w:rPr>
              <w:t>/h</w:t>
            </w:r>
          </w:p>
        </w:tc>
        <w:tc>
          <w:tcPr>
            <w:tcW w:w="1492" w:type="pct"/>
          </w:tcPr>
          <w:p w14:paraId="5FA2EE14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rPr>
                <w:rFonts w:eastAsia="MS Mincho"/>
                <w:szCs w:val="24"/>
              </w:rPr>
            </w:pPr>
            <w:r w:rsidRPr="001A38C8">
              <w:rPr>
                <w:rFonts w:eastAsia="MS Mincho"/>
                <w:szCs w:val="24"/>
              </w:rPr>
              <w:t>(S = 5, 10, ... 160)</w:t>
            </w:r>
          </w:p>
        </w:tc>
        <w:tc>
          <w:tcPr>
            <w:tcW w:w="1045" w:type="pct"/>
          </w:tcPr>
          <w:p w14:paraId="0894667C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rFonts w:eastAsia="MS Mincho"/>
                <w:szCs w:val="24"/>
              </w:rPr>
            </w:pPr>
            <w:r w:rsidRPr="001A38C8">
              <w:rPr>
                <w:rFonts w:eastAsia="MS Mincho"/>
                <w:szCs w:val="24"/>
              </w:rPr>
              <w:t>5</w:t>
            </w:r>
            <w:r w:rsidRPr="001A38C8">
              <w:rPr>
                <w:rFonts w:eastAsia="MS Mincho"/>
                <w:szCs w:val="24"/>
              </w:rPr>
              <w:br/>
              <w:t>10</w:t>
            </w:r>
            <w:r w:rsidRPr="001A38C8">
              <w:rPr>
                <w:rFonts w:eastAsia="MS Mincho"/>
                <w:szCs w:val="24"/>
              </w:rPr>
              <w:br/>
              <w:t>160</w:t>
            </w:r>
          </w:p>
        </w:tc>
        <w:tc>
          <w:tcPr>
            <w:tcW w:w="1007" w:type="pct"/>
            <w:vAlign w:val="center"/>
          </w:tcPr>
          <w:p w14:paraId="402C6822" w14:textId="77777777" w:rsidR="00BB7CFC" w:rsidRPr="001A38C8" w:rsidRDefault="00BB7CFC" w:rsidP="000501E5">
            <w:pPr>
              <w:pStyle w:val="Texttabulky"/>
              <w:spacing w:line="240" w:lineRule="auto"/>
              <w:ind w:left="0" w:hanging="2"/>
              <w:jc w:val="center"/>
              <w:rPr>
                <w:rFonts w:eastAsia="MS Mincho"/>
                <w:szCs w:val="24"/>
              </w:rPr>
            </w:pPr>
            <w:r w:rsidRPr="001A38C8">
              <w:rPr>
                <w:rFonts w:eastAsia="MS Mincho"/>
                <w:szCs w:val="24"/>
              </w:rPr>
              <w:t>00001</w:t>
            </w:r>
            <w:r w:rsidRPr="001A38C8">
              <w:rPr>
                <w:rFonts w:eastAsia="MS Mincho"/>
                <w:szCs w:val="24"/>
              </w:rPr>
              <w:br/>
              <w:t>00010</w:t>
            </w:r>
            <w:r w:rsidRPr="001A38C8">
              <w:rPr>
                <w:rFonts w:eastAsia="MS Mincho"/>
                <w:szCs w:val="24"/>
              </w:rPr>
              <w:br/>
              <w:t>00000</w:t>
            </w:r>
          </w:p>
        </w:tc>
      </w:tr>
    </w:tbl>
    <w:p w14:paraId="5B229E64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Článek 4.1.3 Seznam událostí (rozsah přes 60 stran) stanovuje vlastní katalog: 1451 událostí z maximálních 2048, rozdělených do 31 aktualizačních tříd. Počty frází v jednotlivých třídách stanovuje statistika na konci článku (viz tabulka 3).</w:t>
      </w:r>
    </w:p>
    <w:p w14:paraId="4851716A" w14:textId="172E6B41" w:rsidR="005E70F7" w:rsidRDefault="005E70F7" w:rsidP="005E70F7">
      <w:pPr>
        <w:pStyle w:val="Titulek"/>
      </w:pPr>
      <w:r>
        <w:t xml:space="preserve">Tabulka </w:t>
      </w:r>
      <w:fldSimple w:instr=" SEQ Tabulka \* ARABIC ">
        <w:r>
          <w:rPr>
            <w:noProof/>
          </w:rPr>
          <w:t>3</w:t>
        </w:r>
      </w:fldSimple>
      <w:r w:rsidRPr="005E70F7">
        <w:rPr>
          <w:sz w:val="20"/>
          <w:szCs w:val="20"/>
        </w:rPr>
        <w:t xml:space="preserve"> </w:t>
      </w:r>
      <w:r>
        <w:rPr>
          <w:sz w:val="20"/>
          <w:szCs w:val="20"/>
        </w:rPr>
        <w:t>Počty frází v aktualizačních třídách (statistika v čl. 4.1.3 popisovaného dokumentu)</w:t>
      </w:r>
    </w:p>
    <w:tbl>
      <w:tblPr>
        <w:tblW w:w="9853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30"/>
        <w:gridCol w:w="896"/>
        <w:gridCol w:w="4031"/>
        <w:gridCol w:w="896"/>
      </w:tblGrid>
      <w:tr w:rsidR="00BB7CFC" w14:paraId="51AD779E" w14:textId="77777777" w:rsidTr="000501E5">
        <w:trPr>
          <w:cantSplit/>
          <w:trHeight w:val="340"/>
          <w:tblHeader/>
        </w:trPr>
        <w:tc>
          <w:tcPr>
            <w:tcW w:w="3600" w:type="dxa"/>
            <w:shd w:val="clear" w:color="auto" w:fill="E7E6E6"/>
            <w:vAlign w:val="center"/>
          </w:tcPr>
          <w:p w14:paraId="14BCA6D1" w14:textId="77777777" w:rsidR="00BB7CFC" w:rsidRDefault="00BB7CFC" w:rsidP="00050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Aktualizační třída</w:t>
            </w:r>
          </w:p>
        </w:tc>
        <w:tc>
          <w:tcPr>
            <w:tcW w:w="800" w:type="dxa"/>
            <w:shd w:val="clear" w:color="auto" w:fill="E7E6E6"/>
            <w:vAlign w:val="center"/>
          </w:tcPr>
          <w:p w14:paraId="24585A5F" w14:textId="77777777" w:rsidR="00BB7CFC" w:rsidRDefault="00BB7CFC" w:rsidP="00050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Počet</w:t>
            </w:r>
          </w:p>
        </w:tc>
        <w:tc>
          <w:tcPr>
            <w:tcW w:w="3600" w:type="dxa"/>
            <w:shd w:val="clear" w:color="auto" w:fill="E7E6E6"/>
            <w:vAlign w:val="center"/>
          </w:tcPr>
          <w:p w14:paraId="6C8FBC0F" w14:textId="77777777" w:rsidR="00BB7CFC" w:rsidRDefault="00BB7CFC" w:rsidP="00050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Aktualizační třída</w:t>
            </w:r>
          </w:p>
        </w:tc>
        <w:tc>
          <w:tcPr>
            <w:tcW w:w="800" w:type="dxa"/>
            <w:shd w:val="clear" w:color="auto" w:fill="E7E6E6"/>
            <w:vAlign w:val="center"/>
          </w:tcPr>
          <w:p w14:paraId="612E8B93" w14:textId="77777777" w:rsidR="00BB7CFC" w:rsidRDefault="00BB7CFC" w:rsidP="000501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ind w:left="0" w:hanging="2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Počet</w:t>
            </w:r>
          </w:p>
        </w:tc>
      </w:tr>
      <w:tr w:rsidR="00BB7CFC" w14:paraId="32512137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06D2D3D9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1. Plynulost provozu</w:t>
            </w:r>
          </w:p>
        </w:tc>
        <w:tc>
          <w:tcPr>
            <w:tcW w:w="800" w:type="dxa"/>
            <w:vAlign w:val="center"/>
          </w:tcPr>
          <w:p w14:paraId="6115F170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421</w:t>
            </w:r>
          </w:p>
        </w:tc>
        <w:tc>
          <w:tcPr>
            <w:tcW w:w="3600" w:type="dxa"/>
            <w:vAlign w:val="center"/>
          </w:tcPr>
          <w:p w14:paraId="21DC4C1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17. Povětrnostní podmínky a kvalita ovzduší</w:t>
            </w:r>
          </w:p>
        </w:tc>
        <w:tc>
          <w:tcPr>
            <w:tcW w:w="800" w:type="dxa"/>
            <w:vAlign w:val="center"/>
          </w:tcPr>
          <w:p w14:paraId="1B5F4E72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13</w:t>
            </w:r>
          </w:p>
        </w:tc>
      </w:tr>
      <w:tr w:rsidR="00BB7CFC" w14:paraId="2C7F182F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6D73FE7D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2. Očekávaná plynulost provozu</w:t>
            </w:r>
          </w:p>
        </w:tc>
        <w:tc>
          <w:tcPr>
            <w:tcW w:w="800" w:type="dxa"/>
            <w:vAlign w:val="center"/>
          </w:tcPr>
          <w:p w14:paraId="15F6F481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58</w:t>
            </w:r>
          </w:p>
        </w:tc>
        <w:tc>
          <w:tcPr>
            <w:tcW w:w="3600" w:type="dxa"/>
            <w:vAlign w:val="center"/>
          </w:tcPr>
          <w:p w14:paraId="3E0EAC5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18. Události ovlivňující dopravu</w:t>
            </w:r>
          </w:p>
        </w:tc>
        <w:tc>
          <w:tcPr>
            <w:tcW w:w="800" w:type="dxa"/>
            <w:vAlign w:val="center"/>
          </w:tcPr>
          <w:p w14:paraId="53F6574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50</w:t>
            </w:r>
          </w:p>
        </w:tc>
      </w:tr>
      <w:tr w:rsidR="00BB7CFC" w14:paraId="12D3298C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22CF914D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3. Nehody</w:t>
            </w:r>
          </w:p>
        </w:tc>
        <w:tc>
          <w:tcPr>
            <w:tcW w:w="800" w:type="dxa"/>
            <w:vAlign w:val="center"/>
          </w:tcPr>
          <w:p w14:paraId="100602BA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29</w:t>
            </w:r>
          </w:p>
        </w:tc>
        <w:tc>
          <w:tcPr>
            <w:tcW w:w="3600" w:type="dxa"/>
            <w:vAlign w:val="center"/>
          </w:tcPr>
          <w:p w14:paraId="51A3658C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19. Výstražné zprávy</w:t>
            </w:r>
          </w:p>
        </w:tc>
        <w:tc>
          <w:tcPr>
            <w:tcW w:w="800" w:type="dxa"/>
            <w:vAlign w:val="center"/>
          </w:tcPr>
          <w:p w14:paraId="047B8CBF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14</w:t>
            </w:r>
          </w:p>
        </w:tc>
      </w:tr>
      <w:tr w:rsidR="00BB7CFC" w14:paraId="4422153F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49ED8F2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4. Dopravní události</w:t>
            </w:r>
          </w:p>
        </w:tc>
        <w:tc>
          <w:tcPr>
            <w:tcW w:w="800" w:type="dxa"/>
            <w:vAlign w:val="center"/>
          </w:tcPr>
          <w:p w14:paraId="39992328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16</w:t>
            </w:r>
          </w:p>
        </w:tc>
        <w:tc>
          <w:tcPr>
            <w:tcW w:w="3600" w:type="dxa"/>
            <w:vAlign w:val="center"/>
          </w:tcPr>
          <w:p w14:paraId="42E68F85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20. Zdržení a čekací doby</w:t>
            </w:r>
          </w:p>
        </w:tc>
        <w:tc>
          <w:tcPr>
            <w:tcW w:w="800" w:type="dxa"/>
            <w:vAlign w:val="center"/>
          </w:tcPr>
          <w:p w14:paraId="221CC0ED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143</w:t>
            </w:r>
          </w:p>
        </w:tc>
      </w:tr>
      <w:tr w:rsidR="00BB7CFC" w14:paraId="79B79B0B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6A95E0DC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5. Dopravní uzavírky a omezení</w:t>
            </w:r>
          </w:p>
        </w:tc>
        <w:tc>
          <w:tcPr>
            <w:tcW w:w="800" w:type="dxa"/>
            <w:vAlign w:val="center"/>
          </w:tcPr>
          <w:p w14:paraId="12E042FF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130</w:t>
            </w:r>
          </w:p>
        </w:tc>
        <w:tc>
          <w:tcPr>
            <w:tcW w:w="3600" w:type="dxa"/>
            <w:vAlign w:val="center"/>
          </w:tcPr>
          <w:p w14:paraId="4076F9C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21. Veřejná doprava</w:t>
            </w:r>
          </w:p>
        </w:tc>
        <w:tc>
          <w:tcPr>
            <w:tcW w:w="800" w:type="dxa"/>
            <w:vAlign w:val="center"/>
          </w:tcPr>
          <w:p w14:paraId="2F58B8D5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31</w:t>
            </w:r>
          </w:p>
        </w:tc>
      </w:tr>
      <w:tr w:rsidR="00BB7CFC" w14:paraId="47945DD7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13C3E2C5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6. Omezení průjezdu</w:t>
            </w:r>
          </w:p>
        </w:tc>
        <w:tc>
          <w:tcPr>
            <w:tcW w:w="800" w:type="dxa"/>
            <w:vAlign w:val="center"/>
          </w:tcPr>
          <w:p w14:paraId="5CDF5716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19</w:t>
            </w:r>
          </w:p>
        </w:tc>
        <w:tc>
          <w:tcPr>
            <w:tcW w:w="3600" w:type="dxa"/>
            <w:vAlign w:val="center"/>
          </w:tcPr>
          <w:p w14:paraId="7F1CD7AE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22. Informace o cestovních dobách</w:t>
            </w:r>
          </w:p>
        </w:tc>
        <w:tc>
          <w:tcPr>
            <w:tcW w:w="800" w:type="dxa"/>
            <w:vAlign w:val="center"/>
          </w:tcPr>
          <w:p w14:paraId="108B359C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9</w:t>
            </w:r>
          </w:p>
        </w:tc>
      </w:tr>
      <w:tr w:rsidR="00BB7CFC" w14:paraId="64610254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21E0D57A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7. Omezení na výjezdových komunikacích</w:t>
            </w:r>
          </w:p>
        </w:tc>
        <w:tc>
          <w:tcPr>
            <w:tcW w:w="800" w:type="dxa"/>
            <w:vAlign w:val="center"/>
          </w:tcPr>
          <w:p w14:paraId="496A710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13</w:t>
            </w:r>
          </w:p>
        </w:tc>
        <w:tc>
          <w:tcPr>
            <w:tcW w:w="3600" w:type="dxa"/>
            <w:vAlign w:val="center"/>
          </w:tcPr>
          <w:p w14:paraId="137EECDE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23. Nebezpečná vozidla</w:t>
            </w:r>
          </w:p>
        </w:tc>
        <w:tc>
          <w:tcPr>
            <w:tcW w:w="800" w:type="dxa"/>
            <w:vAlign w:val="center"/>
          </w:tcPr>
          <w:p w14:paraId="0751B38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17</w:t>
            </w:r>
          </w:p>
        </w:tc>
      </w:tr>
      <w:tr w:rsidR="00BB7CFC" w14:paraId="01219E24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78A34ADF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8. Omezení na příjezdových komunikacích</w:t>
            </w:r>
          </w:p>
        </w:tc>
        <w:tc>
          <w:tcPr>
            <w:tcW w:w="800" w:type="dxa"/>
            <w:vAlign w:val="center"/>
          </w:tcPr>
          <w:p w14:paraId="2B7C3E9B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7</w:t>
            </w:r>
          </w:p>
        </w:tc>
        <w:tc>
          <w:tcPr>
            <w:tcW w:w="3600" w:type="dxa"/>
            <w:vAlign w:val="center"/>
          </w:tcPr>
          <w:p w14:paraId="587A81DF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24. Nadměrný náklad/vozidla</w:t>
            </w:r>
          </w:p>
        </w:tc>
        <w:tc>
          <w:tcPr>
            <w:tcW w:w="800" w:type="dxa"/>
            <w:vAlign w:val="center"/>
          </w:tcPr>
          <w:p w14:paraId="6ED51F60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20</w:t>
            </w:r>
          </w:p>
        </w:tc>
      </w:tr>
      <w:tr w:rsidR="00BB7CFC" w14:paraId="3D208EBA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01BC6CBA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9. Omezení provozu a zákazy</w:t>
            </w:r>
          </w:p>
        </w:tc>
        <w:tc>
          <w:tcPr>
            <w:tcW w:w="800" w:type="dxa"/>
            <w:vAlign w:val="center"/>
          </w:tcPr>
          <w:p w14:paraId="34A3BE0A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68</w:t>
            </w:r>
          </w:p>
        </w:tc>
        <w:tc>
          <w:tcPr>
            <w:tcW w:w="3600" w:type="dxa"/>
            <w:vAlign w:val="center"/>
          </w:tcPr>
          <w:p w14:paraId="08BE59E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25. Stav dopravních zařízení</w:t>
            </w:r>
          </w:p>
        </w:tc>
        <w:tc>
          <w:tcPr>
            <w:tcW w:w="800" w:type="dxa"/>
            <w:vAlign w:val="center"/>
          </w:tcPr>
          <w:p w14:paraId="098B394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34</w:t>
            </w:r>
          </w:p>
        </w:tc>
      </w:tr>
      <w:tr w:rsidR="00BB7CFC" w14:paraId="7E3B1F1C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25104D6D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10. Informace pro vozidla individuální přepravy</w:t>
            </w:r>
          </w:p>
        </w:tc>
        <w:tc>
          <w:tcPr>
            <w:tcW w:w="800" w:type="dxa"/>
            <w:vAlign w:val="center"/>
          </w:tcPr>
          <w:p w14:paraId="7D77144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11</w:t>
            </w:r>
          </w:p>
        </w:tc>
        <w:tc>
          <w:tcPr>
            <w:tcW w:w="3600" w:type="dxa"/>
            <w:vAlign w:val="center"/>
          </w:tcPr>
          <w:p w14:paraId="5C51E526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26. Omezení rozměrů a hmotnosti</w:t>
            </w:r>
          </w:p>
        </w:tc>
        <w:tc>
          <w:tcPr>
            <w:tcW w:w="800" w:type="dxa"/>
            <w:vAlign w:val="center"/>
          </w:tcPr>
          <w:p w14:paraId="4CD0B84C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11</w:t>
            </w:r>
          </w:p>
        </w:tc>
      </w:tr>
      <w:tr w:rsidR="00BB7CFC" w14:paraId="63CD4B9A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3D257DC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11. Práce na silnici</w:t>
            </w:r>
          </w:p>
        </w:tc>
        <w:tc>
          <w:tcPr>
            <w:tcW w:w="800" w:type="dxa"/>
            <w:vAlign w:val="center"/>
          </w:tcPr>
          <w:p w14:paraId="6256A723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31</w:t>
            </w:r>
          </w:p>
        </w:tc>
        <w:tc>
          <w:tcPr>
            <w:tcW w:w="3600" w:type="dxa"/>
            <w:vAlign w:val="center"/>
          </w:tcPr>
          <w:p w14:paraId="3156C8E0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27. Omezení parkování</w:t>
            </w:r>
          </w:p>
        </w:tc>
        <w:tc>
          <w:tcPr>
            <w:tcW w:w="800" w:type="dxa"/>
            <w:vAlign w:val="center"/>
          </w:tcPr>
          <w:p w14:paraId="69650713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</w:t>
            </w:r>
          </w:p>
        </w:tc>
      </w:tr>
      <w:tr w:rsidR="00BB7CFC" w14:paraId="02BFFF99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55DA3BC5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12. Nebezpečné překážky</w:t>
            </w:r>
          </w:p>
        </w:tc>
        <w:tc>
          <w:tcPr>
            <w:tcW w:w="800" w:type="dxa"/>
            <w:vAlign w:val="center"/>
          </w:tcPr>
          <w:p w14:paraId="3033D2D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74</w:t>
            </w:r>
          </w:p>
        </w:tc>
        <w:tc>
          <w:tcPr>
            <w:tcW w:w="3600" w:type="dxa"/>
            <w:vAlign w:val="center"/>
          </w:tcPr>
          <w:p w14:paraId="4F2BD5D2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28. Parkování</w:t>
            </w:r>
          </w:p>
        </w:tc>
        <w:tc>
          <w:tcPr>
            <w:tcW w:w="800" w:type="dxa"/>
            <w:vAlign w:val="center"/>
          </w:tcPr>
          <w:p w14:paraId="5FB6CC1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33</w:t>
            </w:r>
          </w:p>
        </w:tc>
      </w:tr>
      <w:tr w:rsidR="00BB7CFC" w14:paraId="2ACC2649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1ABD4C61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lastRenderedPageBreak/>
              <w:t>13. Nebezpečné situace</w:t>
            </w:r>
          </w:p>
        </w:tc>
        <w:tc>
          <w:tcPr>
            <w:tcW w:w="800" w:type="dxa"/>
            <w:vAlign w:val="center"/>
          </w:tcPr>
          <w:p w14:paraId="6B27D6C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29</w:t>
            </w:r>
          </w:p>
        </w:tc>
        <w:tc>
          <w:tcPr>
            <w:tcW w:w="3600" w:type="dxa"/>
            <w:vAlign w:val="center"/>
          </w:tcPr>
          <w:p w14:paraId="72671084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29. Odkaz na rozhlasové vysílání</w:t>
            </w:r>
          </w:p>
        </w:tc>
        <w:tc>
          <w:tcPr>
            <w:tcW w:w="800" w:type="dxa"/>
            <w:vAlign w:val="center"/>
          </w:tcPr>
          <w:p w14:paraId="76F186C5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8</w:t>
            </w:r>
          </w:p>
        </w:tc>
      </w:tr>
      <w:tr w:rsidR="00BB7CFC" w14:paraId="22992E60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74E5759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14. Sjízdnost vozovky</w:t>
            </w:r>
          </w:p>
        </w:tc>
        <w:tc>
          <w:tcPr>
            <w:tcW w:w="800" w:type="dxa"/>
            <w:vAlign w:val="center"/>
          </w:tcPr>
          <w:p w14:paraId="21DD0F1A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59</w:t>
            </w:r>
          </w:p>
        </w:tc>
        <w:tc>
          <w:tcPr>
            <w:tcW w:w="3600" w:type="dxa"/>
            <w:vAlign w:val="center"/>
          </w:tcPr>
          <w:p w14:paraId="38992BFE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30. Hlášení o službách TMC</w:t>
            </w:r>
          </w:p>
        </w:tc>
        <w:tc>
          <w:tcPr>
            <w:tcW w:w="800" w:type="dxa"/>
            <w:vAlign w:val="center"/>
          </w:tcPr>
          <w:p w14:paraId="6739770D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27</w:t>
            </w:r>
          </w:p>
        </w:tc>
      </w:tr>
      <w:tr w:rsidR="00BB7CFC" w14:paraId="796116DA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6994EDFE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15. Teplota ovzduší</w:t>
            </w:r>
          </w:p>
        </w:tc>
        <w:tc>
          <w:tcPr>
            <w:tcW w:w="800" w:type="dxa"/>
            <w:vAlign w:val="center"/>
          </w:tcPr>
          <w:p w14:paraId="117B104E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8</w:t>
            </w:r>
          </w:p>
        </w:tc>
        <w:tc>
          <w:tcPr>
            <w:tcW w:w="3600" w:type="dxa"/>
            <w:vAlign w:val="center"/>
          </w:tcPr>
          <w:p w14:paraId="392D2A72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31. Zvláštní zprávy</w:t>
            </w:r>
          </w:p>
        </w:tc>
        <w:tc>
          <w:tcPr>
            <w:tcW w:w="800" w:type="dxa"/>
            <w:vAlign w:val="center"/>
          </w:tcPr>
          <w:p w14:paraId="14C23467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</w:t>
            </w:r>
          </w:p>
        </w:tc>
      </w:tr>
      <w:tr w:rsidR="00BB7CFC" w14:paraId="12477E49" w14:textId="77777777" w:rsidTr="000501E5">
        <w:trPr>
          <w:cantSplit/>
          <w:trHeight w:val="340"/>
        </w:trPr>
        <w:tc>
          <w:tcPr>
            <w:tcW w:w="3600" w:type="dxa"/>
            <w:vAlign w:val="center"/>
          </w:tcPr>
          <w:p w14:paraId="1CB69552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 w:rsidRPr="00FC0E7D">
              <w:t>16. Srážky a viditelnost</w:t>
            </w:r>
          </w:p>
        </w:tc>
        <w:tc>
          <w:tcPr>
            <w:tcW w:w="800" w:type="dxa"/>
            <w:vAlign w:val="center"/>
          </w:tcPr>
          <w:p w14:paraId="238B2276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58</w:t>
            </w:r>
          </w:p>
        </w:tc>
        <w:tc>
          <w:tcPr>
            <w:tcW w:w="3600" w:type="dxa"/>
            <w:vAlign w:val="center"/>
          </w:tcPr>
          <w:p w14:paraId="2BB5E122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Celkem</w:t>
            </w:r>
          </w:p>
        </w:tc>
        <w:tc>
          <w:tcPr>
            <w:tcW w:w="800" w:type="dxa"/>
            <w:vAlign w:val="center"/>
          </w:tcPr>
          <w:p w14:paraId="7B8AAE23" w14:textId="77777777" w:rsidR="00BB7CFC" w:rsidRPr="00FC0E7D" w:rsidRDefault="00BB7CFC" w:rsidP="000501E5">
            <w:pPr>
              <w:pStyle w:val="Texttabulky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hanging="2"/>
            </w:pPr>
            <w:r>
              <w:t>1451</w:t>
            </w:r>
          </w:p>
        </w:tc>
      </w:tr>
    </w:tbl>
    <w:p w14:paraId="5BC47CE0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Každá fráze je zapsána v tzv. CEN angličtině, závazném technickém jazyce, ze kterého vycházejí všechny jazykové mutace. Seznamy událostí, doplňkových informací a očekávaných událostí obsahují dohromady přibližně 1 700 zpráv, většina z nich však vzniká kombinací dvou nebo více jedno-frázových zpráv, takže koncové zařízení uloží jen několik stovek jedinečných frází. Například událost 219 „(Qx) nehoda, dopravní kolaps v úseku 6 km“ má kód fráze B1.A106, tedy kombinaci frází B1 a A106; fráze v kombinované události přitom nemusí být totožné slovo od slova s frázemi samostatnými, často je nutné vložit spojku nebo změnit slovosled.</w:t>
      </w:r>
    </w:p>
    <w:p w14:paraId="1BF78CB9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V každé aktualizační třídě je stanovena jedna tichá rušící zpráva, kterou koncové zařízení smaže zprávu téže třídy na téže poloze, a několik tzv. hlasitých rušících zpráv, které původní frázi nahradí novou, například „problém byl odstraněn“.</w:t>
      </w:r>
    </w:p>
    <w:p w14:paraId="02DE458A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Článek 4.2.1 Vysvětlivky stanovuje strukturu tabulky doplňkových informací a způsob jejich vložení do zprávy, tedy návěštím 6 a 8bitovým datovým polem ve druhé nebo další skupině RDS. </w:t>
      </w:r>
    </w:p>
    <w:p w14:paraId="241E78AE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Článek 4.2.2 Seznam doplňkových informací stanovuje 237 frází z maximálních 256 v 15 tematických skupinách: </w:t>
      </w:r>
    </w:p>
    <w:p w14:paraId="400871DF" w14:textId="77777777" w:rsidR="00BB7CFC" w:rsidRDefault="00BB7CFC" w:rsidP="00BB7CFC">
      <w:pPr>
        <w:pStyle w:val="Odstavecseseznamem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firstLineChars="0"/>
        <w:rPr>
          <w:rFonts w:ascii="Arial" w:eastAsia="Arial" w:hAnsi="Arial" w:cs="Arial"/>
          <w:color w:val="000000"/>
          <w:sz w:val="22"/>
          <w:szCs w:val="22"/>
        </w:rPr>
      </w:pPr>
      <w:r w:rsidRPr="00FC0E7D">
        <w:rPr>
          <w:rFonts w:ascii="Arial" w:eastAsia="Arial" w:hAnsi="Arial" w:cs="Arial"/>
          <w:color w:val="000000"/>
          <w:sz w:val="22"/>
          <w:szCs w:val="22"/>
        </w:rPr>
        <w:t xml:space="preserve">objížďky, vozidla, výstrahy, rychlosti, pokyny, provoz v jízdních pruzích, pozice, místa, příčiny, jízda v zimních podmínkách, návrhy, kvalifikátory, směry, zdvořilosti a tendence délky dopravní kolony. </w:t>
      </w:r>
    </w:p>
    <w:p w14:paraId="1F054D82" w14:textId="77777777" w:rsidR="00BB7CFC" w:rsidRPr="00FC0E7D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ascii="Arial" w:eastAsia="Arial" w:hAnsi="Arial" w:cs="Arial"/>
          <w:color w:val="000000"/>
          <w:sz w:val="22"/>
          <w:szCs w:val="22"/>
        </w:rPr>
      </w:pPr>
      <w:r w:rsidRPr="00FC0E7D">
        <w:rPr>
          <w:rFonts w:ascii="Arial" w:eastAsia="Arial" w:hAnsi="Arial" w:cs="Arial"/>
          <w:color w:val="000000"/>
          <w:sz w:val="22"/>
          <w:szCs w:val="22"/>
        </w:rPr>
        <w:t>Doplňkovou informaci lze připojit ke kterékoli události a upřesnit tak místo nebo povahu popisované situace, například kód 1 „těžkým nákladním vozidlům se doporučuje vyhnout se oblasti“, kód 12 „jeďte opatrně“ nebo kód 247 „délka dopravní kolony roste v průměru o 20 km/h“.</w:t>
      </w:r>
    </w:p>
    <w:p w14:paraId="297B315F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Článek 4.3.1 Vysvětlivky stanovuje, že seznam očekávaných událostí rozšiřuje seznam událostí z článku 4.1, má stejný formát a všechny jeho události mají povahu F a typ trvání L (viz tabulka 1). Stanovuje pro ně tři dodatečná pravidla: zpráva nesmí kombinovat události z tříd 1 až 31 s událostmi z tříd 32 až 39, nesmí u nich být použit řídicí kód 3 návěští 1 a přechod předpovědi ve skutečnou událost se provede zrušením předpovědi a vytvořením nové události ve třídě 1 až 31. </w:t>
      </w:r>
    </w:p>
    <w:p w14:paraId="7621C560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Článek 4.3.2 Seznam očekávaných událostí stanovuje 118 frází v 8 aktualizačních třídách 32 až 39 (očekávaná plynulost provozu, předpověď počasí, jízdních podmínek, kvality ovzduší, větru, teploty, zdržení a služeb mimo provoz), například 1151 „silné sněžení (s pravděpodobností Q)“ nebo 1780 „očekávejte zrušené služby“. Slouží zejména k informování před cestou.</w:t>
      </w:r>
    </w:p>
    <w:p w14:paraId="126B6AFF" w14:textId="77777777" w:rsidR="00BB7CFC" w:rsidRDefault="00BB7CFC" w:rsidP="005E70F7">
      <w:pPr>
        <w:pStyle w:val="Nadpis1"/>
        <w:rPr>
          <w:b/>
        </w:rPr>
      </w:pPr>
      <w:r>
        <w:t>Příloha A (informativní) Tabulka kvantifikátorů</w:t>
      </w:r>
    </w:p>
    <w:p w14:paraId="3DF4715C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Příloha o rozsahu 1 strany stanovuje český text všech hodnot kvantifikátorů. Význam má zejména u kvantifikátoru 5 (čas), kde stanovuje znění „až 1 hodina“, „až 2 hodiny“ a „až 5 hodin“; doplňuje tak seznam kvantifikátorů z článku 4.1.2.</w:t>
      </w:r>
    </w:p>
    <w:p w14:paraId="65AD9D27" w14:textId="77777777" w:rsidR="00BB7CFC" w:rsidRDefault="00BB7CFC" w:rsidP="005E70F7">
      <w:pPr>
        <w:pStyle w:val="Nadpis1"/>
        <w:rPr>
          <w:b/>
        </w:rPr>
      </w:pPr>
      <w:r>
        <w:t>Příloha B (informativní) Seznam událostí ve verzi ČR</w:t>
      </w:r>
    </w:p>
    <w:p w14:paraId="5072CCFD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Příloha o rozsahu 106 stran stanovuje seznam událostí v české mutaci. Ke každé frázi uvádí technický jazyk (CEN angličtinu), kód a český text zprávy ve čtyřech variantách podle hodnoty kvantifikátoru – bez Q, pro Q = 1, pro 1 &lt; Q ≤ 4 a pro Q ≥ 5 – a umožňuje tak správné jednotné i množné číslo.</w:t>
      </w:r>
    </w:p>
    <w:p w14:paraId="6783976B" w14:textId="4696ECA4" w:rsidR="005E70F7" w:rsidRDefault="005E70F7" w:rsidP="005E70F7">
      <w:pPr>
        <w:pStyle w:val="Titulek"/>
      </w:pPr>
      <w:r>
        <w:lastRenderedPageBreak/>
        <w:t xml:space="preserve">Tabulka </w:t>
      </w:r>
      <w:fldSimple w:instr=" SEQ Tabulka \* ARABIC ">
        <w:r>
          <w:rPr>
            <w:noProof/>
          </w:rPr>
          <w:t>4</w:t>
        </w:r>
      </w:fldSimple>
      <w:r w:rsidRPr="005E70F7">
        <w:rPr>
          <w:sz w:val="20"/>
          <w:szCs w:val="20"/>
        </w:rPr>
        <w:t xml:space="preserve"> </w:t>
      </w:r>
      <w:r>
        <w:rPr>
          <w:sz w:val="20"/>
          <w:szCs w:val="20"/>
        </w:rPr>
        <w:t>Ukázka z tabulky B.1, fráze událostí v české mutaci podle hodnoty kvantifikátoru</w:t>
      </w:r>
    </w:p>
    <w:tbl>
      <w:tblPr>
        <w:tblStyle w:val="Mkatabulky"/>
        <w:tblW w:w="5076" w:type="pct"/>
        <w:tblLook w:val="04A0" w:firstRow="1" w:lastRow="0" w:firstColumn="1" w:lastColumn="0" w:noHBand="0" w:noVBand="1"/>
      </w:tblPr>
      <w:tblGrid>
        <w:gridCol w:w="757"/>
        <w:gridCol w:w="1802"/>
        <w:gridCol w:w="565"/>
        <w:gridCol w:w="1622"/>
        <w:gridCol w:w="1775"/>
        <w:gridCol w:w="1630"/>
        <w:gridCol w:w="1622"/>
      </w:tblGrid>
      <w:tr w:rsidR="00BB7CFC" w:rsidRPr="009551DB" w14:paraId="6FD286C0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267B2135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>Řádek</w:t>
            </w:r>
          </w:p>
        </w:tc>
        <w:tc>
          <w:tcPr>
            <w:tcW w:w="922" w:type="pct"/>
            <w:vAlign w:val="center"/>
          </w:tcPr>
          <w:p w14:paraId="5CB5A34D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>Technický jazyk (CEN angličtina)</w:t>
            </w:r>
          </w:p>
        </w:tc>
        <w:tc>
          <w:tcPr>
            <w:tcW w:w="289" w:type="pct"/>
            <w:vAlign w:val="center"/>
          </w:tcPr>
          <w:p w14:paraId="3F46B1E4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>Kód</w:t>
            </w:r>
          </w:p>
        </w:tc>
        <w:tc>
          <w:tcPr>
            <w:tcW w:w="830" w:type="pct"/>
            <w:vAlign w:val="center"/>
          </w:tcPr>
          <w:p w14:paraId="16234768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>Text zprávy bez Q</w:t>
            </w:r>
          </w:p>
        </w:tc>
        <w:tc>
          <w:tcPr>
            <w:tcW w:w="908" w:type="pct"/>
            <w:vAlign w:val="center"/>
          </w:tcPr>
          <w:p w14:paraId="62771082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>Text zprávy pro Q = 1</w:t>
            </w:r>
          </w:p>
        </w:tc>
        <w:tc>
          <w:tcPr>
            <w:tcW w:w="834" w:type="pct"/>
            <w:vAlign w:val="center"/>
          </w:tcPr>
          <w:p w14:paraId="0CC1401E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 xml:space="preserve">Text zprávy pro 1 &lt; </w:t>
            </w:r>
            <w:r w:rsidRPr="009551DB">
              <w:rPr>
                <w:rFonts w:hint="eastAsia"/>
                <w:b/>
                <w:sz w:val="16"/>
                <w:szCs w:val="16"/>
              </w:rPr>
              <w:t>Q ≤ 4</w:t>
            </w:r>
          </w:p>
        </w:tc>
        <w:tc>
          <w:tcPr>
            <w:tcW w:w="830" w:type="pct"/>
            <w:vAlign w:val="center"/>
          </w:tcPr>
          <w:p w14:paraId="6CC58029" w14:textId="77777777" w:rsidR="00BB7CFC" w:rsidRPr="009551DB" w:rsidRDefault="00BB7CFC" w:rsidP="000501E5">
            <w:pPr>
              <w:pStyle w:val="Texttabulky"/>
              <w:ind w:left="0" w:hanging="2"/>
              <w:jc w:val="center"/>
              <w:rPr>
                <w:b/>
                <w:sz w:val="16"/>
                <w:szCs w:val="16"/>
              </w:rPr>
            </w:pPr>
            <w:r w:rsidRPr="009551DB">
              <w:rPr>
                <w:b/>
                <w:sz w:val="16"/>
                <w:szCs w:val="16"/>
              </w:rPr>
              <w:t xml:space="preserve">Text zprávy pro </w:t>
            </w:r>
            <w:r w:rsidRPr="009551DB">
              <w:rPr>
                <w:rFonts w:hint="eastAsia"/>
                <w:b/>
                <w:sz w:val="16"/>
                <w:szCs w:val="16"/>
              </w:rPr>
              <w:t>Q ≥ 5</w:t>
            </w:r>
          </w:p>
        </w:tc>
      </w:tr>
      <w:tr w:rsidR="00BB7CFC" w:rsidRPr="009551DB" w14:paraId="3EBE2257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7A885647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1</w:t>
            </w:r>
          </w:p>
        </w:tc>
        <w:tc>
          <w:tcPr>
            <w:tcW w:w="922" w:type="pct"/>
            <w:vAlign w:val="center"/>
          </w:tcPr>
          <w:p w14:paraId="5B62DC99" w14:textId="77777777" w:rsidR="00BB7CFC" w:rsidRPr="00561CC0" w:rsidRDefault="00BB7CFC" w:rsidP="000501E5">
            <w:pPr>
              <w:ind w:left="0" w:hanging="2"/>
              <w:rPr>
                <w:rFonts w:cs="Arial"/>
                <w:b/>
                <w:bCs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b/>
                <w:bCs/>
                <w:color w:val="000000"/>
                <w:sz w:val="16"/>
                <w:szCs w:val="16"/>
              </w:rPr>
              <w:t>EVENT LIST</w:t>
            </w:r>
          </w:p>
        </w:tc>
        <w:tc>
          <w:tcPr>
            <w:tcW w:w="289" w:type="pct"/>
            <w:vAlign w:val="center"/>
          </w:tcPr>
          <w:p w14:paraId="7AB5CEB1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0" w:type="pct"/>
            <w:vAlign w:val="center"/>
          </w:tcPr>
          <w:p w14:paraId="2BC758D5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b/>
                <w:sz w:val="16"/>
                <w:szCs w:val="16"/>
              </w:rPr>
              <w:t>SEZNAM UDÁLOSTÍ</w:t>
            </w:r>
          </w:p>
        </w:tc>
        <w:tc>
          <w:tcPr>
            <w:tcW w:w="908" w:type="pct"/>
            <w:vAlign w:val="center"/>
          </w:tcPr>
          <w:p w14:paraId="19A7B906" w14:textId="77777777" w:rsidR="00BB7CFC" w:rsidRPr="00561CC0" w:rsidRDefault="00BB7CFC" w:rsidP="000501E5">
            <w:pPr>
              <w:ind w:left="0" w:hanging="2"/>
              <w:rPr>
                <w:rFonts w:cs="Arial"/>
                <w:b/>
                <w:bCs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b/>
                <w:bCs/>
                <w:color w:val="000000"/>
                <w:sz w:val="16"/>
                <w:szCs w:val="16"/>
              </w:rPr>
              <w:t>SEZNAM UDÁLOSTÍ</w:t>
            </w:r>
          </w:p>
        </w:tc>
        <w:tc>
          <w:tcPr>
            <w:tcW w:w="834" w:type="pct"/>
            <w:vAlign w:val="center"/>
          </w:tcPr>
          <w:p w14:paraId="5271E642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830" w:type="pct"/>
            <w:vAlign w:val="center"/>
          </w:tcPr>
          <w:p w14:paraId="769B4BF6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 </w:t>
            </w:r>
          </w:p>
        </w:tc>
      </w:tr>
      <w:tr w:rsidR="00BB7CFC" w:rsidRPr="009551DB" w14:paraId="3C690AC1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1F3834C1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22" w:type="pct"/>
            <w:vAlign w:val="center"/>
          </w:tcPr>
          <w:p w14:paraId="4A4C9F16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289" w:type="pct"/>
            <w:vAlign w:val="center"/>
          </w:tcPr>
          <w:p w14:paraId="787FFA10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60A9274E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b/>
                <w:sz w:val="16"/>
                <w:szCs w:val="16"/>
              </w:rPr>
              <w:t>…</w:t>
            </w:r>
          </w:p>
        </w:tc>
        <w:tc>
          <w:tcPr>
            <w:tcW w:w="908" w:type="pct"/>
            <w:vAlign w:val="center"/>
          </w:tcPr>
          <w:p w14:paraId="5455BFF7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4" w:type="pct"/>
            <w:vAlign w:val="center"/>
          </w:tcPr>
          <w:p w14:paraId="78B23E65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69109676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</w:tr>
      <w:tr w:rsidR="00BB7CFC" w:rsidRPr="009551DB" w14:paraId="6D462D56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24CE5872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84</w:t>
            </w:r>
          </w:p>
        </w:tc>
        <w:tc>
          <w:tcPr>
            <w:tcW w:w="922" w:type="pct"/>
          </w:tcPr>
          <w:p w14:paraId="1B23C816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sz w:val="16"/>
                <w:szCs w:val="16"/>
              </w:rPr>
              <w:t>vehicles slowing to look at (Q) accident(s). Stationary traffic for 10 km</w:t>
            </w:r>
          </w:p>
        </w:tc>
        <w:tc>
          <w:tcPr>
            <w:tcW w:w="289" w:type="pct"/>
            <w:vAlign w:val="center"/>
          </w:tcPr>
          <w:p w14:paraId="46BFB016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255</w:t>
            </w:r>
          </w:p>
        </w:tc>
        <w:tc>
          <w:tcPr>
            <w:tcW w:w="830" w:type="pct"/>
            <w:vAlign w:val="center"/>
          </w:tcPr>
          <w:p w14:paraId="42D30965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vozidla zpomalují v místě nehody, dopravní kolaps v úseku 10 km</w:t>
            </w:r>
          </w:p>
        </w:tc>
        <w:tc>
          <w:tcPr>
            <w:tcW w:w="908" w:type="pct"/>
            <w:vAlign w:val="center"/>
          </w:tcPr>
          <w:p w14:paraId="351C3385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vozidla zpomalují v místě nehody, dopravní kolaps v úseku 10 km</w:t>
            </w:r>
          </w:p>
        </w:tc>
        <w:tc>
          <w:tcPr>
            <w:tcW w:w="834" w:type="pct"/>
            <w:vAlign w:val="center"/>
          </w:tcPr>
          <w:p w14:paraId="15F14844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vozidla zpomalují v místě Q nehod, dopravní kolaps v úseku 10 km</w:t>
            </w:r>
          </w:p>
        </w:tc>
        <w:tc>
          <w:tcPr>
            <w:tcW w:w="830" w:type="pct"/>
            <w:vAlign w:val="center"/>
          </w:tcPr>
          <w:p w14:paraId="646E0F19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vozidla zpomalují v místě Q nehod, dopravní kolaps v úseku 10 km</w:t>
            </w:r>
          </w:p>
        </w:tc>
      </w:tr>
      <w:tr w:rsidR="00BB7CFC" w:rsidRPr="009551DB" w14:paraId="794D6C6A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384634BA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22" w:type="pct"/>
          </w:tcPr>
          <w:p w14:paraId="7861A067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sz w:val="16"/>
                <w:szCs w:val="16"/>
              </w:rPr>
              <w:t>…</w:t>
            </w:r>
          </w:p>
        </w:tc>
        <w:tc>
          <w:tcPr>
            <w:tcW w:w="289" w:type="pct"/>
            <w:vAlign w:val="center"/>
          </w:tcPr>
          <w:p w14:paraId="545391A4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25073518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08" w:type="pct"/>
            <w:vAlign w:val="center"/>
          </w:tcPr>
          <w:p w14:paraId="208C9E81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4" w:type="pct"/>
            <w:vAlign w:val="center"/>
          </w:tcPr>
          <w:p w14:paraId="4DA98AF6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7C44DFDF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</w:tr>
      <w:tr w:rsidR="00BB7CFC" w:rsidRPr="009551DB" w14:paraId="04495EF3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2A4508D5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120</w:t>
            </w:r>
          </w:p>
        </w:tc>
        <w:tc>
          <w:tcPr>
            <w:tcW w:w="922" w:type="pct"/>
          </w:tcPr>
          <w:p w14:paraId="3570A3A1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sz w:val="16"/>
                <w:szCs w:val="16"/>
              </w:rPr>
              <w:t>(Q) shed load(s). Risk of queuing traffic</w:t>
            </w:r>
          </w:p>
        </w:tc>
        <w:tc>
          <w:tcPr>
            <w:tcW w:w="289" w:type="pct"/>
            <w:vAlign w:val="center"/>
          </w:tcPr>
          <w:p w14:paraId="3D421F92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291</w:t>
            </w:r>
          </w:p>
        </w:tc>
        <w:tc>
          <w:tcPr>
            <w:tcW w:w="830" w:type="pct"/>
            <w:vAlign w:val="center"/>
          </w:tcPr>
          <w:p w14:paraId="2CC1F3D7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rozsypaný náklad, nebezpečí tvorby kolon vozidel</w:t>
            </w:r>
          </w:p>
        </w:tc>
        <w:tc>
          <w:tcPr>
            <w:tcW w:w="908" w:type="pct"/>
            <w:vAlign w:val="center"/>
          </w:tcPr>
          <w:p w14:paraId="27B443BE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rozsypaný náklad, nebezpečí tvorby kolon vozidel</w:t>
            </w:r>
          </w:p>
        </w:tc>
        <w:tc>
          <w:tcPr>
            <w:tcW w:w="834" w:type="pct"/>
            <w:vAlign w:val="center"/>
          </w:tcPr>
          <w:p w14:paraId="4997922F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Q rozsypané náklady, nebezpečí tvorby kolon vozidel</w:t>
            </w:r>
          </w:p>
        </w:tc>
        <w:tc>
          <w:tcPr>
            <w:tcW w:w="830" w:type="pct"/>
            <w:vAlign w:val="center"/>
          </w:tcPr>
          <w:p w14:paraId="56CFFDD3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Q rozsypaných nákladů, nebezpečí tvorby kolon vozidel</w:t>
            </w:r>
          </w:p>
        </w:tc>
      </w:tr>
      <w:tr w:rsidR="00BB7CFC" w:rsidRPr="009551DB" w14:paraId="022C8E48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0DCC34D9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922" w:type="pct"/>
          </w:tcPr>
          <w:p w14:paraId="6E140E85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289" w:type="pct"/>
            <w:vAlign w:val="center"/>
          </w:tcPr>
          <w:p w14:paraId="127DEC2C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03D9FE2C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b/>
                <w:sz w:val="16"/>
                <w:szCs w:val="16"/>
              </w:rPr>
              <w:t>…</w:t>
            </w:r>
          </w:p>
        </w:tc>
        <w:tc>
          <w:tcPr>
            <w:tcW w:w="908" w:type="pct"/>
            <w:vAlign w:val="center"/>
          </w:tcPr>
          <w:p w14:paraId="5CF89B93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4" w:type="pct"/>
            <w:vAlign w:val="center"/>
          </w:tcPr>
          <w:p w14:paraId="48753C14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  <w:tc>
          <w:tcPr>
            <w:tcW w:w="830" w:type="pct"/>
            <w:vAlign w:val="center"/>
          </w:tcPr>
          <w:p w14:paraId="548EB7C3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…</w:t>
            </w:r>
          </w:p>
        </w:tc>
      </w:tr>
      <w:tr w:rsidR="00BB7CFC" w:rsidRPr="009551DB" w14:paraId="6D7E6451" w14:textId="77777777" w:rsidTr="000501E5">
        <w:trPr>
          <w:cantSplit/>
          <w:trHeight w:val="284"/>
        </w:trPr>
        <w:tc>
          <w:tcPr>
            <w:tcW w:w="387" w:type="pct"/>
            <w:vAlign w:val="center"/>
          </w:tcPr>
          <w:p w14:paraId="025B1CDA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334</w:t>
            </w:r>
          </w:p>
        </w:tc>
        <w:tc>
          <w:tcPr>
            <w:tcW w:w="922" w:type="pct"/>
          </w:tcPr>
          <w:p w14:paraId="7C6E8F9E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sz w:val="16"/>
                <w:szCs w:val="16"/>
              </w:rPr>
              <w:t>(Q sections of) resurfacing work. Queuing traffic for 3 km</w:t>
            </w:r>
          </w:p>
        </w:tc>
        <w:tc>
          <w:tcPr>
            <w:tcW w:w="289" w:type="pct"/>
            <w:vAlign w:val="center"/>
          </w:tcPr>
          <w:p w14:paraId="3888889F" w14:textId="77777777" w:rsidR="00BB7CFC" w:rsidRPr="00561CC0" w:rsidRDefault="00BB7CFC" w:rsidP="000501E5">
            <w:pPr>
              <w:ind w:left="0" w:hanging="2"/>
              <w:jc w:val="center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819</w:t>
            </w:r>
          </w:p>
        </w:tc>
        <w:tc>
          <w:tcPr>
            <w:tcW w:w="830" w:type="pct"/>
            <w:vAlign w:val="center"/>
          </w:tcPr>
          <w:p w14:paraId="68EE0111" w14:textId="77777777" w:rsidR="00BB7CFC" w:rsidRPr="00561CC0" w:rsidRDefault="00BB7CFC" w:rsidP="000501E5">
            <w:pPr>
              <w:pStyle w:val="Texttabulky"/>
              <w:ind w:left="0" w:hanging="2"/>
              <w:rPr>
                <w:rFonts w:cs="Arial"/>
                <w:b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oprava povrchu vozovky, tvoří se kolona vozidel v úseku 3 km</w:t>
            </w:r>
          </w:p>
        </w:tc>
        <w:tc>
          <w:tcPr>
            <w:tcW w:w="908" w:type="pct"/>
            <w:vAlign w:val="center"/>
          </w:tcPr>
          <w:p w14:paraId="0DABEA0E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oprava povrchu vozovky, tvoří se kolona vozidel v úseku 3 km</w:t>
            </w:r>
          </w:p>
        </w:tc>
        <w:tc>
          <w:tcPr>
            <w:tcW w:w="834" w:type="pct"/>
            <w:vAlign w:val="center"/>
          </w:tcPr>
          <w:p w14:paraId="173EDEC0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oprava povrchu vozovky, na Q úsecích, tvoří se kolona vozidel v úseku 3 km</w:t>
            </w:r>
          </w:p>
        </w:tc>
        <w:tc>
          <w:tcPr>
            <w:tcW w:w="830" w:type="pct"/>
            <w:vAlign w:val="center"/>
          </w:tcPr>
          <w:p w14:paraId="61F4200C" w14:textId="77777777" w:rsidR="00BB7CFC" w:rsidRPr="00561CC0" w:rsidRDefault="00BB7CFC" w:rsidP="000501E5">
            <w:pPr>
              <w:ind w:left="0" w:hanging="2"/>
              <w:rPr>
                <w:rFonts w:cs="Arial"/>
                <w:color w:val="000000"/>
                <w:sz w:val="16"/>
                <w:szCs w:val="16"/>
              </w:rPr>
            </w:pPr>
            <w:r w:rsidRPr="00561CC0">
              <w:rPr>
                <w:rFonts w:cs="Arial"/>
                <w:color w:val="000000"/>
                <w:sz w:val="16"/>
                <w:szCs w:val="16"/>
              </w:rPr>
              <w:t>oprava povrchu vozovky, na Q úsecích, tvoří se kolona vozidel v úseku 3 km</w:t>
            </w:r>
          </w:p>
        </w:tc>
      </w:tr>
    </w:tbl>
    <w:p w14:paraId="24DB7036" w14:textId="77777777" w:rsidR="00BB7CFC" w:rsidRDefault="00BB7CFC" w:rsidP="005E70F7">
      <w:pPr>
        <w:pStyle w:val="Nadpis1"/>
        <w:rPr>
          <w:b/>
        </w:rPr>
      </w:pPr>
      <w:r>
        <w:t>Příloha C (informativní) Seznam doplňkových informací</w:t>
      </w:r>
    </w:p>
    <w:p w14:paraId="116C99F7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Příloha o rozsahu 10 stran stanovuje seznam doplňkových informací v české mutaci; ke každé frázi uvádí technický jazyk, kód a český překlad.</w:t>
      </w:r>
    </w:p>
    <w:p w14:paraId="4B10ECA5" w14:textId="2392AAD7" w:rsidR="005E70F7" w:rsidRDefault="005E70F7" w:rsidP="005E70F7">
      <w:pPr>
        <w:pStyle w:val="Titulek"/>
      </w:pPr>
      <w:r>
        <w:t xml:space="preserve">Tabulka </w:t>
      </w:r>
      <w:fldSimple w:instr=" SEQ Tabulka \* ARABIC ">
        <w:r>
          <w:rPr>
            <w:noProof/>
          </w:rPr>
          <w:t>5</w:t>
        </w:r>
      </w:fldSimple>
      <w:r w:rsidRPr="005E70F7">
        <w:rPr>
          <w:sz w:val="20"/>
          <w:szCs w:val="20"/>
        </w:rPr>
        <w:t xml:space="preserve"> </w:t>
      </w:r>
      <w:r>
        <w:rPr>
          <w:sz w:val="20"/>
          <w:szCs w:val="20"/>
        </w:rPr>
        <w:t>Ukázka z tabulky C.1, fráze doplňkových informací v české a anglické mutaci</w:t>
      </w:r>
    </w:p>
    <w:tbl>
      <w:tblPr>
        <w:tblStyle w:val="Mkatabulky"/>
        <w:tblW w:w="9495" w:type="dxa"/>
        <w:tblLook w:val="04A0" w:firstRow="1" w:lastRow="0" w:firstColumn="1" w:lastColumn="0" w:noHBand="0" w:noVBand="1"/>
      </w:tblPr>
      <w:tblGrid>
        <w:gridCol w:w="817"/>
        <w:gridCol w:w="3827"/>
        <w:gridCol w:w="623"/>
        <w:gridCol w:w="4228"/>
      </w:tblGrid>
      <w:tr w:rsidR="00BB7CFC" w:rsidRPr="00A26A2C" w14:paraId="2C4BCD3A" w14:textId="77777777" w:rsidTr="000501E5">
        <w:tc>
          <w:tcPr>
            <w:tcW w:w="8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C55AB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Řádek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F769C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Technický jazyk (CEN angličtina)</w:t>
            </w:r>
          </w:p>
        </w:tc>
        <w:tc>
          <w:tcPr>
            <w:tcW w:w="6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61151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Kód</w:t>
            </w:r>
          </w:p>
        </w:tc>
        <w:tc>
          <w:tcPr>
            <w:tcW w:w="4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337A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Český překlad fráze</w:t>
            </w:r>
          </w:p>
        </w:tc>
      </w:tr>
      <w:tr w:rsidR="00BB7CFC" w:rsidRPr="002C13F8" w14:paraId="6B809BE7" w14:textId="77777777" w:rsidTr="000501E5">
        <w:tc>
          <w:tcPr>
            <w:tcW w:w="817" w:type="dxa"/>
            <w:tcBorders>
              <w:top w:val="single" w:sz="4" w:space="0" w:color="auto"/>
            </w:tcBorders>
            <w:vAlign w:val="center"/>
          </w:tcPr>
          <w:p w14:paraId="730CFAC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1</w:t>
            </w:r>
          </w:p>
        </w:tc>
        <w:tc>
          <w:tcPr>
            <w:tcW w:w="3827" w:type="dxa"/>
            <w:tcBorders>
              <w:top w:val="single" w:sz="4" w:space="0" w:color="auto"/>
            </w:tcBorders>
            <w:vAlign w:val="center"/>
          </w:tcPr>
          <w:p w14:paraId="53FD2318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SUPPLEMENTARY INFORMATION LIST</w:t>
            </w:r>
          </w:p>
        </w:tc>
        <w:tc>
          <w:tcPr>
            <w:tcW w:w="623" w:type="dxa"/>
            <w:tcBorders>
              <w:top w:val="single" w:sz="4" w:space="0" w:color="auto"/>
            </w:tcBorders>
            <w:vAlign w:val="center"/>
          </w:tcPr>
          <w:p w14:paraId="31382D28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4228" w:type="dxa"/>
            <w:tcBorders>
              <w:top w:val="single" w:sz="4" w:space="0" w:color="auto"/>
            </w:tcBorders>
            <w:vAlign w:val="center"/>
          </w:tcPr>
          <w:p w14:paraId="53291E6A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SEZNAM DOPLŇKOVÝCH INFORMACÍ</w:t>
            </w:r>
          </w:p>
        </w:tc>
      </w:tr>
      <w:tr w:rsidR="00BB7CFC" w14:paraId="79CF2371" w14:textId="77777777" w:rsidTr="000501E5">
        <w:tc>
          <w:tcPr>
            <w:tcW w:w="817" w:type="dxa"/>
            <w:vAlign w:val="center"/>
          </w:tcPr>
          <w:p w14:paraId="3FE9CD20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2</w:t>
            </w:r>
          </w:p>
        </w:tc>
        <w:tc>
          <w:tcPr>
            <w:tcW w:w="3827" w:type="dxa"/>
            <w:vAlign w:val="center"/>
          </w:tcPr>
          <w:p w14:paraId="076F272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23" w:type="dxa"/>
            <w:vAlign w:val="center"/>
          </w:tcPr>
          <w:p w14:paraId="4E3DFDE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4228" w:type="dxa"/>
            <w:vAlign w:val="center"/>
          </w:tcPr>
          <w:p w14:paraId="3B424EA0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6A64C603" w14:textId="77777777" w:rsidTr="000501E5">
        <w:tc>
          <w:tcPr>
            <w:tcW w:w="817" w:type="dxa"/>
            <w:vAlign w:val="center"/>
          </w:tcPr>
          <w:p w14:paraId="1A8FA5A8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3</w:t>
            </w:r>
          </w:p>
        </w:tc>
        <w:tc>
          <w:tcPr>
            <w:tcW w:w="3827" w:type="dxa"/>
            <w:vAlign w:val="center"/>
          </w:tcPr>
          <w:p w14:paraId="13D2DE6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23" w:type="dxa"/>
            <w:vAlign w:val="center"/>
          </w:tcPr>
          <w:p w14:paraId="1BAAA3A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4228" w:type="dxa"/>
            <w:vAlign w:val="center"/>
          </w:tcPr>
          <w:p w14:paraId="7C552B2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:rsidRPr="002C13F8" w14:paraId="39029C69" w14:textId="77777777" w:rsidTr="000501E5">
        <w:tc>
          <w:tcPr>
            <w:tcW w:w="817" w:type="dxa"/>
            <w:vAlign w:val="center"/>
          </w:tcPr>
          <w:p w14:paraId="370D5B4C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4</w:t>
            </w:r>
          </w:p>
        </w:tc>
        <w:tc>
          <w:tcPr>
            <w:tcW w:w="3827" w:type="dxa"/>
            <w:vAlign w:val="center"/>
          </w:tcPr>
          <w:p w14:paraId="1674564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Diversions</w:t>
            </w:r>
          </w:p>
        </w:tc>
        <w:tc>
          <w:tcPr>
            <w:tcW w:w="623" w:type="dxa"/>
            <w:vAlign w:val="center"/>
          </w:tcPr>
          <w:p w14:paraId="081E3883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4228" w:type="dxa"/>
            <w:vAlign w:val="center"/>
          </w:tcPr>
          <w:p w14:paraId="0A6AA9D9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Objížďky</w:t>
            </w:r>
          </w:p>
        </w:tc>
      </w:tr>
      <w:tr w:rsidR="00BB7CFC" w14:paraId="26347844" w14:textId="77777777" w:rsidTr="000501E5">
        <w:tc>
          <w:tcPr>
            <w:tcW w:w="817" w:type="dxa"/>
            <w:vAlign w:val="center"/>
          </w:tcPr>
          <w:p w14:paraId="343732E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5</w:t>
            </w:r>
          </w:p>
        </w:tc>
        <w:tc>
          <w:tcPr>
            <w:tcW w:w="3827" w:type="dxa"/>
            <w:vAlign w:val="center"/>
          </w:tcPr>
          <w:p w14:paraId="44A96C37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23" w:type="dxa"/>
            <w:vAlign w:val="center"/>
          </w:tcPr>
          <w:p w14:paraId="32A943B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4228" w:type="dxa"/>
            <w:vAlign w:val="center"/>
          </w:tcPr>
          <w:p w14:paraId="22976CC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4387A12A" w14:textId="77777777" w:rsidTr="000501E5">
        <w:tc>
          <w:tcPr>
            <w:tcW w:w="817" w:type="dxa"/>
            <w:vAlign w:val="center"/>
          </w:tcPr>
          <w:p w14:paraId="45F6931B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6</w:t>
            </w:r>
          </w:p>
        </w:tc>
        <w:tc>
          <w:tcPr>
            <w:tcW w:w="3827" w:type="dxa"/>
            <w:vAlign w:val="center"/>
          </w:tcPr>
          <w:p w14:paraId="1F765AD0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follow signs</w:t>
            </w:r>
          </w:p>
        </w:tc>
        <w:tc>
          <w:tcPr>
            <w:tcW w:w="623" w:type="dxa"/>
            <w:vAlign w:val="center"/>
          </w:tcPr>
          <w:p w14:paraId="1A86958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2</w:t>
            </w:r>
          </w:p>
        </w:tc>
        <w:tc>
          <w:tcPr>
            <w:tcW w:w="4228" w:type="dxa"/>
            <w:vAlign w:val="center"/>
          </w:tcPr>
          <w:p w14:paraId="3823768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sledujte značky</w:t>
            </w:r>
          </w:p>
        </w:tc>
      </w:tr>
      <w:tr w:rsidR="00BB7CFC" w14:paraId="4468B09D" w14:textId="77777777" w:rsidTr="000501E5">
        <w:tc>
          <w:tcPr>
            <w:tcW w:w="817" w:type="dxa"/>
            <w:vAlign w:val="center"/>
          </w:tcPr>
          <w:p w14:paraId="453EACF6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7</w:t>
            </w:r>
          </w:p>
        </w:tc>
        <w:tc>
          <w:tcPr>
            <w:tcW w:w="3827" w:type="dxa"/>
            <w:vAlign w:val="center"/>
          </w:tcPr>
          <w:p w14:paraId="107E380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follow diversion signs</w:t>
            </w:r>
          </w:p>
        </w:tc>
        <w:tc>
          <w:tcPr>
            <w:tcW w:w="623" w:type="dxa"/>
            <w:vAlign w:val="center"/>
          </w:tcPr>
          <w:p w14:paraId="553741A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3</w:t>
            </w:r>
          </w:p>
        </w:tc>
        <w:tc>
          <w:tcPr>
            <w:tcW w:w="4228" w:type="dxa"/>
            <w:vAlign w:val="center"/>
          </w:tcPr>
          <w:p w14:paraId="43DE5B7D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sledujte značky pro objížďku</w:t>
            </w:r>
          </w:p>
        </w:tc>
      </w:tr>
      <w:tr w:rsidR="00BB7CFC" w14:paraId="74D0F7BF" w14:textId="77777777" w:rsidTr="000501E5">
        <w:tc>
          <w:tcPr>
            <w:tcW w:w="817" w:type="dxa"/>
            <w:vAlign w:val="center"/>
          </w:tcPr>
          <w:p w14:paraId="7F4C479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8</w:t>
            </w:r>
          </w:p>
        </w:tc>
        <w:tc>
          <w:tcPr>
            <w:tcW w:w="3827" w:type="dxa"/>
            <w:vAlign w:val="center"/>
          </w:tcPr>
          <w:p w14:paraId="2C63031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follow special diversion markers</w:t>
            </w:r>
          </w:p>
        </w:tc>
        <w:tc>
          <w:tcPr>
            <w:tcW w:w="623" w:type="dxa"/>
            <w:vAlign w:val="center"/>
          </w:tcPr>
          <w:p w14:paraId="6D7A227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61</w:t>
            </w:r>
          </w:p>
        </w:tc>
        <w:tc>
          <w:tcPr>
            <w:tcW w:w="4228" w:type="dxa"/>
            <w:vAlign w:val="center"/>
          </w:tcPr>
          <w:p w14:paraId="0188B69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sledujte zvláštní ukazatele pro objížďku</w:t>
            </w:r>
          </w:p>
        </w:tc>
      </w:tr>
      <w:tr w:rsidR="00BB7CFC" w14:paraId="6C69A5B9" w14:textId="77777777" w:rsidTr="000501E5">
        <w:tc>
          <w:tcPr>
            <w:tcW w:w="817" w:type="dxa"/>
            <w:vAlign w:val="center"/>
          </w:tcPr>
          <w:p w14:paraId="0FBD4C2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10</w:t>
            </w:r>
          </w:p>
        </w:tc>
        <w:tc>
          <w:tcPr>
            <w:tcW w:w="3827" w:type="dxa"/>
            <w:vAlign w:val="center"/>
          </w:tcPr>
          <w:p w14:paraId="6C1E690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do not follow diversion signs</w:t>
            </w:r>
          </w:p>
        </w:tc>
        <w:tc>
          <w:tcPr>
            <w:tcW w:w="623" w:type="dxa"/>
            <w:vAlign w:val="center"/>
          </w:tcPr>
          <w:p w14:paraId="65AFFF9E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62</w:t>
            </w:r>
          </w:p>
        </w:tc>
        <w:tc>
          <w:tcPr>
            <w:tcW w:w="4228" w:type="dxa"/>
            <w:vAlign w:val="center"/>
          </w:tcPr>
          <w:p w14:paraId="2BEE34BB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nesledujte značky pro objížďku</w:t>
            </w:r>
          </w:p>
        </w:tc>
      </w:tr>
      <w:tr w:rsidR="00BB7CFC" w14:paraId="58BD1E07" w14:textId="77777777" w:rsidTr="000501E5">
        <w:tc>
          <w:tcPr>
            <w:tcW w:w="817" w:type="dxa"/>
            <w:vAlign w:val="center"/>
          </w:tcPr>
          <w:p w14:paraId="2C07A876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3827" w:type="dxa"/>
            <w:vAlign w:val="center"/>
          </w:tcPr>
          <w:p w14:paraId="3CD6934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623" w:type="dxa"/>
            <w:vAlign w:val="center"/>
          </w:tcPr>
          <w:p w14:paraId="0EDBFD0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4228" w:type="dxa"/>
            <w:vAlign w:val="center"/>
          </w:tcPr>
          <w:p w14:paraId="2886DC4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</w:tr>
      <w:tr w:rsidR="00BB7CFC" w:rsidRPr="002C13F8" w14:paraId="31580362" w14:textId="77777777" w:rsidTr="000501E5">
        <w:tc>
          <w:tcPr>
            <w:tcW w:w="817" w:type="dxa"/>
          </w:tcPr>
          <w:p w14:paraId="6A35E003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21</w:t>
            </w:r>
          </w:p>
        </w:tc>
        <w:tc>
          <w:tcPr>
            <w:tcW w:w="3827" w:type="dxa"/>
          </w:tcPr>
          <w:p w14:paraId="2FDFBB6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Vehicles</w:t>
            </w:r>
          </w:p>
        </w:tc>
        <w:tc>
          <w:tcPr>
            <w:tcW w:w="623" w:type="dxa"/>
          </w:tcPr>
          <w:p w14:paraId="3524BF2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4228" w:type="dxa"/>
          </w:tcPr>
          <w:p w14:paraId="5DC6DEA3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Vozidla</w:t>
            </w:r>
          </w:p>
        </w:tc>
      </w:tr>
      <w:tr w:rsidR="00BB7CFC" w14:paraId="126C54D4" w14:textId="77777777" w:rsidTr="000501E5">
        <w:tc>
          <w:tcPr>
            <w:tcW w:w="817" w:type="dxa"/>
          </w:tcPr>
          <w:p w14:paraId="18869D39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22</w:t>
            </w:r>
          </w:p>
        </w:tc>
        <w:tc>
          <w:tcPr>
            <w:tcW w:w="3827" w:type="dxa"/>
          </w:tcPr>
          <w:p w14:paraId="7F4A464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23" w:type="dxa"/>
          </w:tcPr>
          <w:p w14:paraId="5F77294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4228" w:type="dxa"/>
          </w:tcPr>
          <w:p w14:paraId="79782D3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77389A74" w14:textId="77777777" w:rsidTr="000501E5">
        <w:tc>
          <w:tcPr>
            <w:tcW w:w="817" w:type="dxa"/>
          </w:tcPr>
          <w:p w14:paraId="60FF109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23</w:t>
            </w:r>
          </w:p>
        </w:tc>
        <w:tc>
          <w:tcPr>
            <w:tcW w:w="3827" w:type="dxa"/>
          </w:tcPr>
          <w:p w14:paraId="342B9CC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for cars only</w:t>
            </w:r>
          </w:p>
        </w:tc>
        <w:tc>
          <w:tcPr>
            <w:tcW w:w="623" w:type="dxa"/>
          </w:tcPr>
          <w:p w14:paraId="082AAC8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71</w:t>
            </w:r>
          </w:p>
        </w:tc>
        <w:tc>
          <w:tcPr>
            <w:tcW w:w="4228" w:type="dxa"/>
          </w:tcPr>
          <w:p w14:paraId="6828906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pouze pro osobní vozidla</w:t>
            </w:r>
          </w:p>
        </w:tc>
      </w:tr>
      <w:tr w:rsidR="00BB7CFC" w14:paraId="47271E04" w14:textId="77777777" w:rsidTr="000501E5">
        <w:tc>
          <w:tcPr>
            <w:tcW w:w="817" w:type="dxa"/>
          </w:tcPr>
          <w:p w14:paraId="518A489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24</w:t>
            </w:r>
          </w:p>
        </w:tc>
        <w:tc>
          <w:tcPr>
            <w:tcW w:w="3827" w:type="dxa"/>
          </w:tcPr>
          <w:p w14:paraId="410F3A1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for light vehicles only</w:t>
            </w:r>
          </w:p>
        </w:tc>
        <w:tc>
          <w:tcPr>
            <w:tcW w:w="623" w:type="dxa"/>
          </w:tcPr>
          <w:p w14:paraId="00348CE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72</w:t>
            </w:r>
          </w:p>
        </w:tc>
        <w:tc>
          <w:tcPr>
            <w:tcW w:w="4228" w:type="dxa"/>
          </w:tcPr>
          <w:p w14:paraId="7B0D454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pouze pro lehká užitková vozidla</w:t>
            </w:r>
          </w:p>
        </w:tc>
      </w:tr>
    </w:tbl>
    <w:p w14:paraId="42B75F49" w14:textId="77777777" w:rsidR="00BB7CFC" w:rsidRDefault="00BB7CFC" w:rsidP="005E70F7">
      <w:pPr>
        <w:pStyle w:val="Nadpis1"/>
        <w:rPr>
          <w:b/>
        </w:rPr>
      </w:pPr>
      <w:r>
        <w:t>Příloha D (informativní) Seznam očekávaných událostí</w:t>
      </w:r>
    </w:p>
    <w:p w14:paraId="0FCF5993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0" w:hanging="2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 xml:space="preserve">Příloha o rozsahu 10 stran stanovuje seznam očekávaných událostí v české mutaci; ke každé frázi </w:t>
      </w:r>
      <w:r>
        <w:rPr>
          <w:rFonts w:ascii="Arial" w:eastAsia="Arial" w:hAnsi="Arial" w:cs="Arial"/>
          <w:color w:val="000000"/>
          <w:sz w:val="22"/>
          <w:szCs w:val="22"/>
        </w:rPr>
        <w:lastRenderedPageBreak/>
        <w:t>uvádí technický jazyk, kód a český text bez kvantifikátoru a s kvantifikátorem.</w:t>
      </w:r>
    </w:p>
    <w:p w14:paraId="4309CF25" w14:textId="32040AD4" w:rsidR="005E70F7" w:rsidRPr="005E70F7" w:rsidRDefault="005E70F7" w:rsidP="005E70F7">
      <w:pPr>
        <w:pStyle w:val="Titulek"/>
      </w:pPr>
      <w:r w:rsidRPr="005E70F7">
        <w:t xml:space="preserve">Tabulka </w:t>
      </w:r>
      <w:fldSimple w:instr=" SEQ Tabulka \* ARABIC ">
        <w:r>
          <w:rPr>
            <w:noProof/>
          </w:rPr>
          <w:t>6</w:t>
        </w:r>
      </w:fldSimple>
      <w:r w:rsidRPr="005E70F7">
        <w:t xml:space="preserve"> </w:t>
      </w:r>
      <w:r w:rsidRPr="005E70F7">
        <w:t>Ukázka z tabulky D.1, fráze očekávaných událostí v české mutaci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861"/>
        <w:gridCol w:w="2392"/>
        <w:gridCol w:w="693"/>
        <w:gridCol w:w="2744"/>
        <w:gridCol w:w="2937"/>
      </w:tblGrid>
      <w:tr w:rsidR="00BB7CFC" w14:paraId="53CC046B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062EA24A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Řádek</w:t>
            </w:r>
          </w:p>
        </w:tc>
        <w:tc>
          <w:tcPr>
            <w:tcW w:w="2392" w:type="dxa"/>
          </w:tcPr>
          <w:p w14:paraId="4614AF73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Technický jazyk (CEN angličtina)</w:t>
            </w:r>
          </w:p>
        </w:tc>
        <w:tc>
          <w:tcPr>
            <w:tcW w:w="693" w:type="dxa"/>
            <w:vAlign w:val="center"/>
          </w:tcPr>
          <w:p w14:paraId="229B9BF5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Kód</w:t>
            </w:r>
          </w:p>
        </w:tc>
        <w:tc>
          <w:tcPr>
            <w:tcW w:w="2744" w:type="dxa"/>
            <w:vAlign w:val="center"/>
          </w:tcPr>
          <w:p w14:paraId="46BABCE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Text zprávy bez Q</w:t>
            </w:r>
          </w:p>
        </w:tc>
        <w:tc>
          <w:tcPr>
            <w:tcW w:w="2937" w:type="dxa"/>
            <w:vAlign w:val="center"/>
          </w:tcPr>
          <w:p w14:paraId="04EEAF69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Text zprávy s Q</w:t>
            </w:r>
          </w:p>
        </w:tc>
      </w:tr>
      <w:tr w:rsidR="00BB7CFC" w:rsidRPr="006207DD" w14:paraId="376D7D7B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54D25C54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1</w:t>
            </w:r>
          </w:p>
        </w:tc>
        <w:tc>
          <w:tcPr>
            <w:tcW w:w="2392" w:type="dxa"/>
            <w:vAlign w:val="center"/>
          </w:tcPr>
          <w:p w14:paraId="252CEC17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FORECAST EVENT LIST</w:t>
            </w:r>
          </w:p>
        </w:tc>
        <w:tc>
          <w:tcPr>
            <w:tcW w:w="693" w:type="dxa"/>
            <w:vAlign w:val="center"/>
          </w:tcPr>
          <w:p w14:paraId="476A059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2744" w:type="dxa"/>
            <w:vAlign w:val="center"/>
          </w:tcPr>
          <w:p w14:paraId="49649C5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SEZNAM OČEKÁVANÝCH UDÁLOSTÍ</w:t>
            </w:r>
          </w:p>
        </w:tc>
        <w:tc>
          <w:tcPr>
            <w:tcW w:w="2937" w:type="dxa"/>
            <w:vAlign w:val="center"/>
          </w:tcPr>
          <w:p w14:paraId="33CF6BF6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SEZNAM OČEKÁVANÝCH UDÁLOSTÍ</w:t>
            </w:r>
          </w:p>
        </w:tc>
      </w:tr>
      <w:tr w:rsidR="00BB7CFC" w:rsidRPr="006207DD" w14:paraId="3FA760A7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7E73AB9A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2</w:t>
            </w:r>
          </w:p>
        </w:tc>
        <w:tc>
          <w:tcPr>
            <w:tcW w:w="2392" w:type="dxa"/>
            <w:vAlign w:val="center"/>
          </w:tcPr>
          <w:p w14:paraId="368B1D9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 </w:t>
            </w:r>
          </w:p>
        </w:tc>
        <w:tc>
          <w:tcPr>
            <w:tcW w:w="693" w:type="dxa"/>
            <w:vAlign w:val="center"/>
          </w:tcPr>
          <w:p w14:paraId="11FA2FCD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2744" w:type="dxa"/>
            <w:vAlign w:val="center"/>
          </w:tcPr>
          <w:p w14:paraId="4608831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 </w:t>
            </w:r>
          </w:p>
        </w:tc>
        <w:tc>
          <w:tcPr>
            <w:tcW w:w="2937" w:type="dxa"/>
            <w:vAlign w:val="center"/>
          </w:tcPr>
          <w:p w14:paraId="4F991AD6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 </w:t>
            </w:r>
          </w:p>
        </w:tc>
      </w:tr>
      <w:tr w:rsidR="00BB7CFC" w:rsidRPr="006207DD" w14:paraId="6FF00234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1333C980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3</w:t>
            </w:r>
          </w:p>
        </w:tc>
        <w:tc>
          <w:tcPr>
            <w:tcW w:w="2392" w:type="dxa"/>
            <w:vAlign w:val="center"/>
          </w:tcPr>
          <w:p w14:paraId="44C5FD61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32. LEVEL OF SERVICE FORECAST</w:t>
            </w:r>
          </w:p>
        </w:tc>
        <w:tc>
          <w:tcPr>
            <w:tcW w:w="693" w:type="dxa"/>
            <w:vAlign w:val="center"/>
          </w:tcPr>
          <w:p w14:paraId="7A964FD2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</w:p>
        </w:tc>
        <w:tc>
          <w:tcPr>
            <w:tcW w:w="2744" w:type="dxa"/>
            <w:vAlign w:val="center"/>
          </w:tcPr>
          <w:p w14:paraId="73812678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32. OČEKÁVANÉ UDÁLOSTI</w:t>
            </w:r>
          </w:p>
        </w:tc>
        <w:tc>
          <w:tcPr>
            <w:tcW w:w="2937" w:type="dxa"/>
            <w:vAlign w:val="center"/>
          </w:tcPr>
          <w:p w14:paraId="3CADBB1C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  <w:rPr>
                <w:b/>
                <w:bCs/>
              </w:rPr>
            </w:pPr>
            <w:r w:rsidRPr="00FC0E7D">
              <w:rPr>
                <w:b/>
                <w:bCs/>
              </w:rPr>
              <w:t>32. OČEKÁVANÉ UDÁLOSTI</w:t>
            </w:r>
          </w:p>
        </w:tc>
      </w:tr>
      <w:tr w:rsidR="00BB7CFC" w14:paraId="17CDB91B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65916758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4</w:t>
            </w:r>
          </w:p>
        </w:tc>
        <w:tc>
          <w:tcPr>
            <w:tcW w:w="2392" w:type="dxa"/>
            <w:vAlign w:val="center"/>
          </w:tcPr>
          <w:p w14:paraId="16368EE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93" w:type="dxa"/>
            <w:vAlign w:val="center"/>
          </w:tcPr>
          <w:p w14:paraId="46144DDE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2744" w:type="dxa"/>
            <w:vAlign w:val="center"/>
          </w:tcPr>
          <w:p w14:paraId="13FC085B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2937" w:type="dxa"/>
            <w:vAlign w:val="center"/>
          </w:tcPr>
          <w:p w14:paraId="46D9423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478EAEE0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4A431015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5</w:t>
            </w:r>
          </w:p>
        </w:tc>
        <w:tc>
          <w:tcPr>
            <w:tcW w:w="2392" w:type="dxa"/>
            <w:vAlign w:val="center"/>
          </w:tcPr>
          <w:p w14:paraId="09CCD637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heavy traffic has to be expected</w:t>
            </w:r>
          </w:p>
        </w:tc>
        <w:tc>
          <w:tcPr>
            <w:tcW w:w="693" w:type="dxa"/>
            <w:vAlign w:val="center"/>
          </w:tcPr>
          <w:p w14:paraId="1242B4A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80</w:t>
            </w:r>
          </w:p>
        </w:tc>
        <w:tc>
          <w:tcPr>
            <w:tcW w:w="2744" w:type="dxa"/>
            <w:vAlign w:val="center"/>
          </w:tcPr>
          <w:p w14:paraId="2418444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očekávejte silný provoz</w:t>
            </w:r>
          </w:p>
        </w:tc>
        <w:tc>
          <w:tcPr>
            <w:tcW w:w="2937" w:type="dxa"/>
            <w:vAlign w:val="center"/>
          </w:tcPr>
          <w:p w14:paraId="51FF3B31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09E0959D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47D7ACAE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6</w:t>
            </w:r>
          </w:p>
        </w:tc>
        <w:tc>
          <w:tcPr>
            <w:tcW w:w="2392" w:type="dxa"/>
            <w:vAlign w:val="center"/>
          </w:tcPr>
          <w:p w14:paraId="380858DE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traffic congestion has to be expected</w:t>
            </w:r>
          </w:p>
        </w:tc>
        <w:tc>
          <w:tcPr>
            <w:tcW w:w="693" w:type="dxa"/>
            <w:vAlign w:val="center"/>
          </w:tcPr>
          <w:p w14:paraId="3346055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81</w:t>
            </w:r>
          </w:p>
        </w:tc>
        <w:tc>
          <w:tcPr>
            <w:tcW w:w="2744" w:type="dxa"/>
            <w:vAlign w:val="center"/>
          </w:tcPr>
          <w:p w14:paraId="204748B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očekávejte dopravní zácpu</w:t>
            </w:r>
          </w:p>
        </w:tc>
        <w:tc>
          <w:tcPr>
            <w:tcW w:w="2937" w:type="dxa"/>
            <w:vAlign w:val="center"/>
          </w:tcPr>
          <w:p w14:paraId="69BCC50E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</w:tr>
      <w:tr w:rsidR="00BB7CFC" w14:paraId="6B329ED7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07D84E41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 w:rsidRPr="00FC0E7D">
              <w:t>7</w:t>
            </w:r>
          </w:p>
        </w:tc>
        <w:tc>
          <w:tcPr>
            <w:tcW w:w="2392" w:type="dxa"/>
            <w:vAlign w:val="center"/>
          </w:tcPr>
          <w:p w14:paraId="103EB92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(Q sets of) roadworks. Heavy traffic has to be expected</w:t>
            </w:r>
          </w:p>
        </w:tc>
        <w:tc>
          <w:tcPr>
            <w:tcW w:w="693" w:type="dxa"/>
            <w:vAlign w:val="center"/>
          </w:tcPr>
          <w:p w14:paraId="5151E71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82</w:t>
            </w:r>
          </w:p>
        </w:tc>
        <w:tc>
          <w:tcPr>
            <w:tcW w:w="2744" w:type="dxa"/>
            <w:vAlign w:val="center"/>
          </w:tcPr>
          <w:p w14:paraId="4E1AE94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práce na silnici, očekávejte silný provoz</w:t>
            </w:r>
          </w:p>
        </w:tc>
        <w:tc>
          <w:tcPr>
            <w:tcW w:w="2937" w:type="dxa"/>
            <w:vAlign w:val="center"/>
          </w:tcPr>
          <w:p w14:paraId="7973D155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práce na silnici, očekávejte silný provoz</w:t>
            </w:r>
          </w:p>
        </w:tc>
      </w:tr>
      <w:tr w:rsidR="00BB7CFC" w14:paraId="17BE3768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10048CC7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2392" w:type="dxa"/>
            <w:vAlign w:val="center"/>
          </w:tcPr>
          <w:p w14:paraId="19996CB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693" w:type="dxa"/>
            <w:vAlign w:val="center"/>
          </w:tcPr>
          <w:p w14:paraId="2DEC415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2744" w:type="dxa"/>
            <w:vAlign w:val="center"/>
          </w:tcPr>
          <w:p w14:paraId="5B942596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  <w:tc>
          <w:tcPr>
            <w:tcW w:w="2937" w:type="dxa"/>
            <w:vAlign w:val="center"/>
          </w:tcPr>
          <w:p w14:paraId="5D72CA0D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…</w:t>
            </w:r>
          </w:p>
        </w:tc>
      </w:tr>
      <w:tr w:rsidR="00BB7CFC" w14:paraId="32E776BD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77604CB9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14</w:t>
            </w:r>
          </w:p>
        </w:tc>
        <w:tc>
          <w:tcPr>
            <w:tcW w:w="2392" w:type="dxa"/>
            <w:vAlign w:val="center"/>
          </w:tcPr>
          <w:p w14:paraId="446C3B0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traffic congestion forecast withdrawn</w:t>
            </w:r>
          </w:p>
        </w:tc>
        <w:tc>
          <w:tcPr>
            <w:tcW w:w="693" w:type="dxa"/>
            <w:vAlign w:val="center"/>
          </w:tcPr>
          <w:p w14:paraId="07219C6B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88</w:t>
            </w:r>
          </w:p>
        </w:tc>
        <w:tc>
          <w:tcPr>
            <w:tcW w:w="2744" w:type="dxa"/>
            <w:vAlign w:val="center"/>
          </w:tcPr>
          <w:p w14:paraId="2F7A67A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předpověď silného provozu zrušena</w:t>
            </w:r>
          </w:p>
        </w:tc>
        <w:tc>
          <w:tcPr>
            <w:tcW w:w="2937" w:type="dxa"/>
            <w:vAlign w:val="center"/>
          </w:tcPr>
          <w:p w14:paraId="05E8112C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14</w:t>
            </w:r>
          </w:p>
        </w:tc>
      </w:tr>
      <w:tr w:rsidR="00BB7CFC" w14:paraId="399D7283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74C2FB83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15</w:t>
            </w:r>
          </w:p>
        </w:tc>
        <w:tc>
          <w:tcPr>
            <w:tcW w:w="2392" w:type="dxa"/>
            <w:vAlign w:val="center"/>
          </w:tcPr>
          <w:p w14:paraId="7737BC09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693" w:type="dxa"/>
            <w:vAlign w:val="center"/>
          </w:tcPr>
          <w:p w14:paraId="30359164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</w:p>
        </w:tc>
        <w:tc>
          <w:tcPr>
            <w:tcW w:w="2744" w:type="dxa"/>
            <w:vAlign w:val="center"/>
          </w:tcPr>
          <w:p w14:paraId="1217875E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 </w:t>
            </w:r>
          </w:p>
        </w:tc>
        <w:tc>
          <w:tcPr>
            <w:tcW w:w="2937" w:type="dxa"/>
            <w:vAlign w:val="center"/>
          </w:tcPr>
          <w:p w14:paraId="2BB0D30D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15</w:t>
            </w:r>
          </w:p>
        </w:tc>
      </w:tr>
      <w:tr w:rsidR="00BB7CFC" w14:paraId="48C5CF25" w14:textId="77777777" w:rsidTr="000501E5">
        <w:trPr>
          <w:trHeight w:val="284"/>
        </w:trPr>
        <w:tc>
          <w:tcPr>
            <w:tcW w:w="861" w:type="dxa"/>
            <w:vAlign w:val="center"/>
          </w:tcPr>
          <w:p w14:paraId="683EEECB" w14:textId="77777777" w:rsidR="00BB7CFC" w:rsidRPr="00FC0E7D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16</w:t>
            </w:r>
          </w:p>
        </w:tc>
        <w:tc>
          <w:tcPr>
            <w:tcW w:w="2392" w:type="dxa"/>
            <w:vAlign w:val="center"/>
          </w:tcPr>
          <w:p w14:paraId="515BCE77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message cancelled</w:t>
            </w:r>
          </w:p>
        </w:tc>
        <w:tc>
          <w:tcPr>
            <w:tcW w:w="693" w:type="dxa"/>
            <w:vAlign w:val="center"/>
          </w:tcPr>
          <w:p w14:paraId="4A0C9A93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89</w:t>
            </w:r>
          </w:p>
        </w:tc>
        <w:tc>
          <w:tcPr>
            <w:tcW w:w="2744" w:type="dxa"/>
            <w:vAlign w:val="center"/>
          </w:tcPr>
          <w:p w14:paraId="6092D018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t>zpráva zrušena</w:t>
            </w:r>
          </w:p>
        </w:tc>
        <w:tc>
          <w:tcPr>
            <w:tcW w:w="2937" w:type="dxa"/>
            <w:vAlign w:val="center"/>
          </w:tcPr>
          <w:p w14:paraId="7B4608A0" w14:textId="77777777" w:rsidR="00BB7CFC" w:rsidRDefault="00BB7CFC" w:rsidP="000501E5">
            <w:pPr>
              <w:pStyle w:val="Texttabulky"/>
              <w:spacing w:line="240" w:lineRule="auto"/>
              <w:ind w:left="0" w:hanging="2"/>
            </w:pPr>
            <w:r>
              <w:rPr>
                <w:rFonts w:cs="Arial"/>
                <w:color w:val="000000"/>
                <w:szCs w:val="18"/>
              </w:rPr>
              <w:t>16</w:t>
            </w:r>
          </w:p>
        </w:tc>
      </w:tr>
    </w:tbl>
    <w:p w14:paraId="67A8A35E" w14:textId="77777777" w:rsidR="00BB7CFC" w:rsidRDefault="00BB7CFC" w:rsidP="00BB7CFC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Chars="0" w:left="0" w:firstLineChars="0" w:firstLine="0"/>
        <w:rPr>
          <w:rFonts w:ascii="Arial" w:eastAsia="Arial" w:hAnsi="Arial" w:cs="Arial"/>
          <w:color w:val="000000"/>
          <w:sz w:val="22"/>
          <w:szCs w:val="22"/>
        </w:rPr>
      </w:pPr>
    </w:p>
    <w:p w14:paraId="459CDC29" w14:textId="77777777" w:rsidR="00BA26C7" w:rsidRDefault="00BA26C7">
      <w:pPr>
        <w:ind w:left="0" w:hanging="2"/>
      </w:pPr>
    </w:p>
    <w:sectPr w:rsidR="00BA26C7" w:rsidSect="00BB7CFC">
      <w:footerReference w:type="even" r:id="rId7"/>
      <w:footerReference w:type="default" r:id="rId8"/>
      <w:pgSz w:w="11905" w:h="16837"/>
      <w:pgMar w:top="1134" w:right="1134" w:bottom="1806" w:left="1134" w:header="708" w:footer="1134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C28FA1" w14:textId="77777777" w:rsidR="003D7308" w:rsidRDefault="003D7308">
      <w:pPr>
        <w:spacing w:before="0" w:after="0" w:line="240" w:lineRule="auto"/>
        <w:ind w:left="0" w:hanging="2"/>
      </w:pPr>
      <w:r>
        <w:separator/>
      </w:r>
    </w:p>
  </w:endnote>
  <w:endnote w:type="continuationSeparator" w:id="0">
    <w:p w14:paraId="10BDDD73" w14:textId="77777777" w:rsidR="003D7308" w:rsidRDefault="003D7308">
      <w:pPr>
        <w:spacing w:before="0"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040B0" w14:textId="77777777" w:rsidR="00BB7CFC" w:rsidRDefault="00BB7CFC">
    <w:pPr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spacing w:line="240" w:lineRule="auto"/>
      <w:ind w:left="0" w:hanging="2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780E7D38" w14:textId="77777777" w:rsidR="00BB7CFC" w:rsidRDefault="00BB7CFC">
    <w:pPr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spacing w:line="240" w:lineRule="auto"/>
      <w:ind w:left="0" w:hanging="2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A1C17" w14:textId="77777777" w:rsidR="00BB7CFC" w:rsidRDefault="00BB7CFC">
    <w:pPr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spacing w:line="240" w:lineRule="auto"/>
      <w:ind w:left="0" w:hanging="2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color w:val="000000"/>
        <w:sz w:val="20"/>
        <w:szCs w:val="20"/>
      </w:rPr>
      <w:fldChar w:fldCharType="begin"/>
    </w:r>
    <w:r>
      <w:rPr>
        <w:rFonts w:ascii="Arial" w:eastAsia="Arial" w:hAnsi="Arial" w:cs="Arial"/>
        <w:color w:val="000000"/>
        <w:sz w:val="20"/>
        <w:szCs w:val="20"/>
      </w:rPr>
      <w:instrText>PAGE</w:instrText>
    </w:r>
    <w:r>
      <w:rPr>
        <w:rFonts w:ascii="Arial" w:eastAsia="Arial" w:hAnsi="Arial" w:cs="Arial"/>
        <w:color w:val="000000"/>
        <w:sz w:val="20"/>
        <w:szCs w:val="20"/>
      </w:rPr>
      <w:fldChar w:fldCharType="separate"/>
    </w:r>
    <w:r>
      <w:rPr>
        <w:rFonts w:ascii="Arial" w:eastAsia="Arial" w:hAnsi="Arial" w:cs="Arial"/>
        <w:noProof/>
        <w:color w:val="000000"/>
        <w:sz w:val="20"/>
        <w:szCs w:val="20"/>
      </w:rPr>
      <w:t>1</w:t>
    </w:r>
    <w:r>
      <w:rPr>
        <w:rFonts w:ascii="Arial" w:eastAsia="Arial" w:hAnsi="Arial" w:cs="Arial"/>
        <w:color w:val="000000"/>
        <w:sz w:val="20"/>
        <w:szCs w:val="20"/>
      </w:rPr>
      <w:fldChar w:fldCharType="end"/>
    </w:r>
  </w:p>
  <w:p w14:paraId="48547DD0" w14:textId="77777777" w:rsidR="00BB7CFC" w:rsidRDefault="00BB7CFC">
    <w:pPr>
      <w:pBdr>
        <w:top w:val="nil"/>
        <w:left w:val="nil"/>
        <w:bottom w:val="nil"/>
        <w:right w:val="nil"/>
        <w:between w:val="nil"/>
      </w:pBdr>
      <w:tabs>
        <w:tab w:val="center" w:pos="4818"/>
        <w:tab w:val="right" w:pos="9637"/>
      </w:tabs>
      <w:spacing w:line="240" w:lineRule="auto"/>
      <w:ind w:left="0" w:hanging="2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205C39" w14:textId="77777777" w:rsidR="003D7308" w:rsidRDefault="003D7308">
      <w:pPr>
        <w:spacing w:before="0" w:after="0" w:line="240" w:lineRule="auto"/>
        <w:ind w:left="0" w:hanging="2"/>
      </w:pPr>
      <w:r>
        <w:separator/>
      </w:r>
    </w:p>
  </w:footnote>
  <w:footnote w:type="continuationSeparator" w:id="0">
    <w:p w14:paraId="7D249BC0" w14:textId="77777777" w:rsidR="003D7308" w:rsidRDefault="003D7308">
      <w:pPr>
        <w:spacing w:before="0" w:after="0"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1F5CD7"/>
    <w:multiLevelType w:val="hybridMultilevel"/>
    <w:tmpl w:val="D5A6F3CA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944802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CFC"/>
    <w:rsid w:val="001A5EB5"/>
    <w:rsid w:val="003D7308"/>
    <w:rsid w:val="004831AF"/>
    <w:rsid w:val="005E70F7"/>
    <w:rsid w:val="00645C24"/>
    <w:rsid w:val="00A046C5"/>
    <w:rsid w:val="00BA26C7"/>
    <w:rsid w:val="00BB7CFC"/>
    <w:rsid w:val="00C157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2CFB4"/>
  <w15:chartTrackingRefBased/>
  <w15:docId w15:val="{C512D775-C8C4-4D57-BCFA-651A9FE5C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B7CFC"/>
    <w:pPr>
      <w:widowControl w:val="0"/>
      <w:spacing w:before="113" w:after="113" w:line="1" w:lineRule="atLeast"/>
      <w:ind w:leftChars="-1" w:left="-1" w:hangingChars="1" w:hanging="1"/>
      <w:jc w:val="both"/>
      <w:textDirection w:val="btLr"/>
      <w:textAlignment w:val="top"/>
      <w:outlineLvl w:val="0"/>
    </w:pPr>
    <w:rPr>
      <w:rFonts w:ascii="Times New Roman" w:eastAsia="Times New Roman" w:hAnsi="Times New Roman" w:cs="Times New Roman"/>
      <w:kern w:val="1"/>
      <w:position w:val="-1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uiPriority w:val="9"/>
    <w:qFormat/>
    <w:rsid w:val="005E70F7"/>
    <w:pPr>
      <w:keepNext/>
      <w:pBdr>
        <w:top w:val="nil"/>
        <w:left w:val="nil"/>
        <w:bottom w:val="nil"/>
        <w:right w:val="nil"/>
        <w:between w:val="nil"/>
      </w:pBdr>
      <w:spacing w:before="240" w:after="120" w:line="240" w:lineRule="auto"/>
      <w:ind w:left="1" w:hanging="3"/>
    </w:pPr>
    <w:rPr>
      <w:rFonts w:ascii="Arial" w:eastAsia="Arial" w:hAnsi="Arial" w:cs="Arial"/>
      <w:color w:val="000000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B7C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B7C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B7C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B7C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B7C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B7C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B7C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B7C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E70F7"/>
    <w:rPr>
      <w:rFonts w:ascii="Arial" w:eastAsia="Arial" w:hAnsi="Arial" w:cs="Arial"/>
      <w:color w:val="000000"/>
      <w:kern w:val="1"/>
      <w:position w:val="-1"/>
      <w:sz w:val="32"/>
      <w:szCs w:val="32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B7CF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B7CF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B7CF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B7CFC"/>
    <w:rPr>
      <w:rFonts w:eastAsiaTheme="majorEastAsia" w:cstheme="majorBidi"/>
      <w:color w:val="0F4761" w:themeColor="accent1" w:themeShade="BF"/>
      <w:lang w:val="en-GB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B7CF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B7CFC"/>
    <w:rPr>
      <w:rFonts w:eastAsiaTheme="majorEastAsia" w:cstheme="majorBidi"/>
      <w:color w:val="595959" w:themeColor="text1" w:themeTint="A6"/>
      <w:lang w:val="en-GB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B7CF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B7CFC"/>
    <w:rPr>
      <w:rFonts w:eastAsiaTheme="majorEastAsia" w:cstheme="majorBidi"/>
      <w:color w:val="272727" w:themeColor="text1" w:themeTint="D8"/>
      <w:lang w:val="en-GB"/>
    </w:rPr>
  </w:style>
  <w:style w:type="paragraph" w:styleId="Nzev">
    <w:name w:val="Title"/>
    <w:basedOn w:val="Normln"/>
    <w:next w:val="Normln"/>
    <w:link w:val="NzevChar"/>
    <w:uiPriority w:val="10"/>
    <w:qFormat/>
    <w:rsid w:val="005E70F7"/>
    <w:pPr>
      <w:pBdr>
        <w:top w:val="nil"/>
        <w:left w:val="nil"/>
        <w:bottom w:val="nil"/>
        <w:right w:val="nil"/>
        <w:between w:val="nil"/>
      </w:pBdr>
      <w:tabs>
        <w:tab w:val="left" w:pos="7371"/>
        <w:tab w:val="right" w:pos="9866"/>
        <w:tab w:val="left" w:pos="7080"/>
        <w:tab w:val="right" w:pos="9923"/>
      </w:tabs>
      <w:spacing w:before="0" w:after="60" w:line="240" w:lineRule="auto"/>
      <w:ind w:left="2" w:hanging="4"/>
      <w:jc w:val="center"/>
    </w:pPr>
    <w:rPr>
      <w:rFonts w:ascii="Arial" w:eastAsia="Arial" w:hAnsi="Arial" w:cs="Arial"/>
      <w:b/>
      <w:color w:val="000000"/>
      <w:sz w:val="40"/>
      <w:szCs w:val="40"/>
    </w:rPr>
  </w:style>
  <w:style w:type="character" w:customStyle="1" w:styleId="NzevChar">
    <w:name w:val="Název Char"/>
    <w:basedOn w:val="Standardnpsmoodstavce"/>
    <w:link w:val="Nzev"/>
    <w:uiPriority w:val="10"/>
    <w:rsid w:val="005E70F7"/>
    <w:rPr>
      <w:rFonts w:ascii="Arial" w:eastAsia="Arial" w:hAnsi="Arial" w:cs="Arial"/>
      <w:b/>
      <w:color w:val="000000"/>
      <w:kern w:val="1"/>
      <w:position w:val="-1"/>
      <w:sz w:val="40"/>
      <w:szCs w:val="40"/>
      <w:lang w:eastAsia="cs-CZ"/>
      <w14:ligatures w14:val="none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B7CFC"/>
    <w:pPr>
      <w:numPr>
        <w:ilvl w:val="1"/>
      </w:numPr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B7CF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t">
    <w:name w:val="Quote"/>
    <w:basedOn w:val="Normln"/>
    <w:next w:val="Normln"/>
    <w:link w:val="CittChar"/>
    <w:uiPriority w:val="29"/>
    <w:qFormat/>
    <w:rsid w:val="00BB7C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B7CFC"/>
    <w:rPr>
      <w:i/>
      <w:iCs/>
      <w:color w:val="404040" w:themeColor="text1" w:themeTint="BF"/>
      <w:lang w:val="en-GB"/>
    </w:rPr>
  </w:style>
  <w:style w:type="paragraph" w:styleId="Odstavecseseznamem">
    <w:name w:val="List Paragraph"/>
    <w:basedOn w:val="Normln"/>
    <w:uiPriority w:val="34"/>
    <w:qFormat/>
    <w:rsid w:val="00BB7CF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B7CF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B7C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B7CFC"/>
    <w:rPr>
      <w:i/>
      <w:iCs/>
      <w:color w:val="0F4761" w:themeColor="accent1" w:themeShade="BF"/>
      <w:lang w:val="en-GB"/>
    </w:rPr>
  </w:style>
  <w:style w:type="character" w:styleId="Odkazintenzivn">
    <w:name w:val="Intense Reference"/>
    <w:basedOn w:val="Standardnpsmoodstavce"/>
    <w:uiPriority w:val="32"/>
    <w:qFormat/>
    <w:rsid w:val="00BB7CFC"/>
    <w:rPr>
      <w:b/>
      <w:bCs/>
      <w:smallCaps/>
      <w:color w:val="0F4761" w:themeColor="accent1" w:themeShade="BF"/>
      <w:spacing w:val="5"/>
    </w:rPr>
  </w:style>
  <w:style w:type="paragraph" w:customStyle="1" w:styleId="Texttabulky">
    <w:name w:val="Text tabulky"/>
    <w:basedOn w:val="Normln"/>
    <w:rsid w:val="00BB7CFC"/>
    <w:pPr>
      <w:widowControl/>
      <w:spacing w:before="60" w:after="60"/>
      <w:jc w:val="left"/>
    </w:pPr>
    <w:rPr>
      <w:rFonts w:ascii="Arial" w:eastAsia="Arial" w:hAnsi="Arial"/>
      <w:sz w:val="18"/>
      <w:szCs w:val="20"/>
      <w:lang w:eastAsia="ar-SA"/>
    </w:rPr>
  </w:style>
  <w:style w:type="table" w:styleId="Mkatabulky">
    <w:name w:val="Table Grid"/>
    <w:basedOn w:val="Normlntabulka"/>
    <w:rsid w:val="00BB7CFC"/>
    <w:pPr>
      <w:suppressAutoHyphens/>
      <w:spacing w:after="0" w:line="1" w:lineRule="atLeast"/>
      <w:ind w:leftChars="-1" w:left="-1" w:hangingChars="1" w:hanging="1"/>
      <w:textDirection w:val="btLr"/>
      <w:textAlignment w:val="top"/>
      <w:outlineLvl w:val="0"/>
    </w:pPr>
    <w:rPr>
      <w:rFonts w:ascii="Arial" w:eastAsia="Times New Roman" w:hAnsi="Arial" w:cs="Times New Roman"/>
      <w:kern w:val="0"/>
      <w:position w:val="-1"/>
      <w:sz w:val="20"/>
      <w:szCs w:val="20"/>
      <w:lang w:eastAsia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5E70F7"/>
    <w:pPr>
      <w:keepNext/>
      <w:spacing w:before="0" w:after="200" w:line="240" w:lineRule="auto"/>
      <w:ind w:left="0" w:hanging="2"/>
    </w:pPr>
    <w:rPr>
      <w:rFonts w:ascii="Arial" w:hAnsi="Arial" w:cs="Arial"/>
      <w:b/>
      <w:bCs/>
      <w:color w:val="000000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6</Pages>
  <Words>2046</Words>
  <Characters>12073</Characters>
  <Application>Microsoft Office Word</Application>
  <DocSecurity>0</DocSecurity>
  <Lines>100</Lines>
  <Paragraphs>28</Paragraphs>
  <ScaleCrop>false</ScaleCrop>
  <Company/>
  <LinksUpToDate>false</LinksUpToDate>
  <CharactersWithSpaces>14091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 Bureš (CZ/TTR)</dc:creator>
  <cp:keywords/>
  <dc:description/>
  <cp:lastModifiedBy>Petr Bureš (CZ/TTR)</cp:lastModifiedBy>
  <cp:revision>2</cp:revision>
  <dcterms:created xsi:type="dcterms:W3CDTF">2026-09-21T17:22:00Z</dcterms:created>
  <dcterms:modified xsi:type="dcterms:W3CDTF">2026-09-22T21:33:00Z</dcterms:modified>
</cp:coreProperties>
</file>