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DEE6" w14:textId="77777777" w:rsidR="00D66541" w:rsidRDefault="00D66541" w:rsidP="00D66541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080"/>
          <w:tab w:val="right" w:pos="9923"/>
        </w:tabs>
        <w:spacing w:after="60"/>
        <w:ind w:left="2" w:hanging="4"/>
        <w:jc w:val="center"/>
        <w:rPr>
          <w:b/>
          <w:color w:val="000000"/>
          <w:sz w:val="40"/>
          <w:szCs w:val="40"/>
        </w:rPr>
      </w:pPr>
      <w:bookmarkStart w:id="0" w:name="_heading=h.gjdgxs" w:colFirst="0" w:colLast="0"/>
      <w:bookmarkEnd w:id="0"/>
      <w:r>
        <w:rPr>
          <w:b/>
          <w:noProof/>
          <w:color w:val="000000"/>
          <w:sz w:val="40"/>
          <w:szCs w:val="40"/>
        </w:rPr>
        <w:drawing>
          <wp:anchor distT="0" distB="0" distL="114300" distR="114300" simplePos="0" relativeHeight="251659264" behindDoc="0" locked="0" layoutInCell="1" hidden="0" allowOverlap="1" wp14:anchorId="09A2DEE5" wp14:editId="484DA892">
            <wp:simplePos x="0" y="0"/>
            <wp:positionH relativeFrom="leftMargin">
              <wp:posOffset>0</wp:posOffset>
            </wp:positionH>
            <wp:positionV relativeFrom="topMargin">
              <wp:posOffset>-449575</wp:posOffset>
            </wp:positionV>
            <wp:extent cx="75565" cy="151765"/>
            <wp:effectExtent l="0" t="0" r="0" b="0"/>
            <wp:wrapSquare wrapText="bothSides" distT="0" distB="0" distL="114300" distR="114300"/>
            <wp:docPr id="104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40"/>
          <w:szCs w:val="40"/>
        </w:rPr>
        <w:t xml:space="preserve">EXTRAKT z evropské normy</w:t>
      </w:r>
    </w:p>
    <w:p w14:paraId="7181258C" w14:textId="77777777" w:rsidR="00D66541" w:rsidRDefault="00D66541" w:rsidP="00D66541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color w:val="000000"/>
          <w:sz w:val="16"/>
          <w:szCs w:val="16"/>
        </w:rPr>
      </w:pPr>
      <w:bookmarkStart w:id="1" w:name="_heading=h.30j0zll" w:colFirst="0" w:colLast="0"/>
      <w:bookmarkEnd w:id="1"/>
      <w:r>
        <w:rPr>
          <w:b/>
          <w:color w:val="000000"/>
        </w:rPr>
        <w:t>Extrakt nenahrazuje samotnou technickou normu, je pouze informativním materiálem o normě.</w:t>
      </w:r>
    </w:p>
    <w:tbl>
      <w:tblPr>
        <w:tblW w:w="9030" w:type="dxa"/>
        <w:tblInd w:w="131" w:type="dxa"/>
        <w:tblLayout w:type="fixed"/>
        <w:tblLook w:val="0000" w:firstRow="0" w:lastRow="0" w:firstColumn="0" w:lastColumn="0" w:noHBand="0" w:noVBand="0"/>
      </w:tblPr>
      <w:tblGrid>
        <w:gridCol w:w="6764"/>
        <w:gridCol w:w="2266"/>
      </w:tblGrid>
      <w:tr w:rsidR="00D66541" w14:paraId="29E0F78E" w14:textId="77777777" w:rsidTr="2A4A991E">
        <w:trPr>
          <w:trHeight w:val="1200"/>
        </w:trPr>
        <w:tc>
          <w:tcPr>
            <w:tcW w:w="6764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028A5FC7" w14:textId="77777777" w:rsidR="00D66541" w:rsidRDefault="00D66541" w:rsidP="00635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40" w:lineRule="auto"/>
              <w:ind w:left="1" w:right="567" w:hanging="3"/>
              <w:jc w:val="left"/>
              <w:rPr>
                <w:b/>
                <w:color w:val="000000"/>
                <w:sz w:val="28"/>
                <w:szCs w:val="28"/>
              </w:rPr>
            </w:pPr>
            <w:bookmarkStart w:id="2" w:name="_heading=h.b7ixhhvdct0t" w:colFirst="0" w:colLast="0"/>
            <w:bookmarkEnd w:id="2"/>
            <w:r>
              <w:rPr>
                <w:b/>
                <w:color w:val="000000"/>
                <w:sz w:val="28"/>
                <w:szCs w:val="28"/>
              </w:rPr>
              <w:t>Inteligentní dopravní systémy –</w:t>
            </w:r>
            <w:r>
              <w:rPr>
                <w:b/>
                <w:sz w:val="28"/>
                <w:szCs w:val="28"/>
              </w:rPr>
              <w:t xml:space="preserve"> Slovník grafických dat – Část 1: Specifikace</w:t>
            </w:r>
          </w:p>
        </w:tc>
        <w:tc>
          <w:tcPr>
            <w:tcW w:w="2266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18908C6" w14:textId="77777777" w:rsidR="00D66541" w:rsidRDefault="00D66541" w:rsidP="00635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0"/>
              <w:ind w:left="1" w:hanging="3"/>
              <w:jc w:val="right"/>
            </w:pPr>
            <w:r>
              <w:rPr>
                <w:b/>
                <w:color w:val="000000"/>
                <w:sz w:val="32"/>
                <w:szCs w:val="32"/>
              </w:rPr>
              <w:tab/>
              <w:t xml:space="preserve">EN ISO 14823-1</w:t>
            </w:r>
          </w:p>
          <w:p w14:paraId="51223F3D" w14:textId="489AB09B" w:rsidR="00D66541" w:rsidRDefault="00D66541" w:rsidP="2A4A9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0"/>
              <w:ind w:left="0" w:hanging="2"/>
              <w:jc w:val="right"/>
              <w:rPr>
                <w:color w:val="000000"/>
              </w:rPr>
            </w:pPr>
          </w:p>
        </w:tc>
      </w:tr>
    </w:tbl>
    <w:p w14:paraId="3685C7BF" w14:textId="10A7AFAB" w:rsidR="00D66541" w:rsidRDefault="00D66541" w:rsidP="2A4A991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360"/>
        <w:ind w:left="1" w:hanging="3"/>
        <w:jc w:val="right"/>
        <w:rPr>
          <w:color w:val="000000"/>
        </w:rPr>
      </w:pPr>
      <w:bookmarkStart w:id="3" w:name="_heading=h.1fob9te"/>
      <w:bookmarkEnd w:id="3"/>
      <w:r w:rsidRPr="2A4A991E">
        <w:rPr>
          <w:color w:val="000000" w:themeColor="text1"/>
          <w:sz w:val="28"/>
          <w:szCs w:val="28"/>
        </w:rPr>
        <w:t xml:space="preserve">Vydána 2024, 81 stran</w:t>
      </w:r>
      <w:r w:rsidRPr="2A4A991E">
        <w:rPr>
          <w:sz w:val="28"/>
          <w:szCs w:val="28"/>
        </w:rPr>
        <w:t/>
      </w:r>
      <w:r w:rsidRPr="2A4A991E">
        <w:rPr>
          <w:color w:val="000000" w:themeColor="text1"/>
          <w:sz w:val="28"/>
          <w:szCs w:val="28"/>
        </w:rPr>
        <w:t xml:space="preserve"/>
      </w:r>
      <w:r w:rsidR="2580A366" w:rsidRPr="2A4A991E">
        <w:rPr>
          <w:color w:val="000000" w:themeColor="text1"/>
          <w:sz w:val="28"/>
          <w:szCs w:val="28"/>
        </w:rPr>
        <w:t xml:space="preserve"/>
      </w:r>
      <w:r w:rsidRPr="2A4A991E">
        <w:rPr>
          <w:color w:val="000000" w:themeColor="text1"/>
          <w:sz w:val="28"/>
          <w:szCs w:val="28"/>
        </w:rPr>
        <w:t/>
      </w:r>
    </w:p>
    <w:p w14:paraId="454CB6F7" w14:textId="77777777" w:rsidR="00D66541" w:rsidRDefault="00D66541" w:rsidP="00D66541">
      <w:pPr>
        <w:pStyle w:val="Nadpis1"/>
        <w:ind w:hanging="2"/>
      </w:pPr>
      <w:bookmarkStart w:id="4" w:name="_heading=h.k2jf97lkp7ge" w:colFirst="0" w:colLast="0"/>
      <w:bookmarkEnd w:id="4"/>
      <w:r>
        <w:t>Úvod</w:t>
      </w:r>
    </w:p>
    <w:p w14:paraId="2B13EDA2" w14:textId="5DF37E7C" w:rsidR="00D66541" w:rsidRDefault="31100415" w:rsidP="00D66541">
      <w:pPr>
        <w:ind w:left="0" w:hanging="2"/>
      </w:pPr>
      <w:r>
        <w:t xml:space="preserve">Norma ISO 148231:2024 definuje </w:t>
      </w:r>
      <w:r w:rsidRPr="31100415">
        <w:rPr>
          <w:b/>
          <w:bCs/>
        </w:rPr>
        <w:t>slovník grafických dat (GDD)</w:t>
      </w:r>
      <w:r>
        <w:t xml:space="preserve"> – jednotný, jazykově nezávislý systém kódování dopravních značek a piktogramů pro potřeby inteligentních dopravních systémů (ITS). Jejím cílem je umožnit </w:t>
      </w:r>
      <w:r w:rsidRPr="31100415">
        <w:rPr>
          <w:b/>
          <w:bCs/>
        </w:rPr>
        <w:t>efektivní přenos, interpretaci a zobrazování dopravních informací</w:t>
      </w:r>
      <w:r>
        <w:t xml:space="preserve"> napříč různými státy, systémy a technologiemi. Tento slovník je používaný při výměně informací mezi centry (DATEX II) a mezi infrastrukturou a vozidly (kooperativní systémy, C-ITS) pro popis dopravního značení zobrazeného například na proměnném dopravním značení.</w:t>
      </w:r>
    </w:p>
    <w:p w14:paraId="369039C4" w14:textId="77777777" w:rsidR="00D66541" w:rsidRPr="009A7042" w:rsidRDefault="00D66541" w:rsidP="00D66541">
      <w:pPr>
        <w:ind w:left="0" w:hanging="2"/>
      </w:pPr>
      <w:r>
        <w:t xml:space="preserve">Tato revize normy vznikla zásadním přepracováním původní normy ISO 14823:2017. Původní norma měla vzhledem k použití jednoduchého identifikátoru </w:t>
      </w:r>
      <w:r w:rsidRPr="009A7042">
        <w:t>založené</w:t>
      </w:r>
      <w:r>
        <w:t>ho</w:t>
      </w:r>
      <w:r w:rsidRPr="009A7042">
        <w:t xml:space="preserve"> na ISO 3166</w:t>
      </w:r>
      <w:r w:rsidRPr="009A7042">
        <w:noBreakHyphen/>
        <w:t>1 a pětimístné struktuře (kategorie – povaha – pořadové číslo</w:t>
      </w:r>
      <w:r>
        <w:t>)</w:t>
      </w:r>
      <w:r w:rsidRPr="009A7042">
        <w:t xml:space="preserve"> dvě zásadní </w:t>
      </w:r>
      <w:r>
        <w:t xml:space="preserve">omezení, </w:t>
      </w:r>
      <w:r w:rsidRPr="009A7042">
        <w:rPr>
          <w:b/>
          <w:bCs/>
        </w:rPr>
        <w:t>neexistovala globálně jednoznačná identifikace piktogramů</w:t>
      </w:r>
      <w:r>
        <w:rPr>
          <w:b/>
          <w:bCs/>
        </w:rPr>
        <w:t xml:space="preserve"> a </w:t>
      </w:r>
      <w:r w:rsidRPr="009A7042">
        <w:rPr>
          <w:b/>
          <w:bCs/>
        </w:rPr>
        <w:t>přidávání nových piktogramů bylo nepružné</w:t>
      </w:r>
      <w:r w:rsidRPr="009A7042">
        <w:t>, protože číselný prostor byl pevně strukturovaný a obtížně rozšiřitelný</w:t>
      </w:r>
      <w:r>
        <w:t>.</w:t>
      </w:r>
    </w:p>
    <w:p w14:paraId="5604ECD8" w14:textId="77777777" w:rsidR="00D66541" w:rsidRDefault="00D66541" w:rsidP="00D66541">
      <w:pPr>
        <w:ind w:left="0" w:hanging="2"/>
      </w:pPr>
      <w:r>
        <w:t xml:space="preserve">Tato revize proto </w:t>
      </w:r>
      <w:r w:rsidRPr="009A7042">
        <w:t xml:space="preserve">zavádí robustnější mechanismus založený na </w:t>
      </w:r>
      <w:r>
        <w:t xml:space="preserve">relativním identifikátoru objektu </w:t>
      </w:r>
      <w:r w:rsidRPr="009A7042">
        <w:rPr>
          <w:b/>
          <w:bCs/>
        </w:rPr>
        <w:t>(OID)</w:t>
      </w:r>
      <w:r w:rsidRPr="009A7042">
        <w:t>, který umožňuje globální identifikaci, hierarchii a rozšiřitelnost bez narušení kompatibility</w:t>
      </w:r>
      <w:r>
        <w:t xml:space="preserve">. </w:t>
      </w:r>
      <w:r w:rsidRPr="009A7042">
        <w:t>Revize přináší několik zásadních technických i koncepčních úprav</w:t>
      </w:r>
      <w:r>
        <w:t>:</w:t>
      </w:r>
    </w:p>
    <w:p w14:paraId="15FEEFBD" w14:textId="77777777" w:rsidR="00D66541" w:rsidRDefault="00D66541" w:rsidP="00D66541">
      <w:pPr>
        <w:pStyle w:val="Odstavecseseznamem"/>
        <w:numPr>
          <w:ilvl w:val="0"/>
          <w:numId w:val="3"/>
        </w:numPr>
        <w:ind w:leftChars="0" w:firstLineChars="0"/>
        <w:contextualSpacing w:val="0"/>
      </w:pPr>
      <w:r>
        <w:t xml:space="preserve">nová </w:t>
      </w:r>
      <w:r w:rsidRPr="00BC1CE6">
        <w:rPr>
          <w:b/>
          <w:bCs/>
        </w:rPr>
        <w:t>verze 2 GDD</w:t>
      </w:r>
      <w:r w:rsidRPr="009A7042">
        <w:t xml:space="preserve"> založen</w:t>
      </w:r>
      <w:r>
        <w:t>á</w:t>
      </w:r>
      <w:r w:rsidRPr="009A7042">
        <w:t xml:space="preserve"> na OID a relativních identifikátorech</w:t>
      </w:r>
      <w:r>
        <w:t>, u</w:t>
      </w:r>
      <w:r w:rsidRPr="009A7042">
        <w:t>možňuj</w:t>
      </w:r>
      <w:r>
        <w:t>ící</w:t>
      </w:r>
      <w:r w:rsidRPr="009A7042">
        <w:t xml:space="preserve"> globální identifikaci, hierarchické zobecňování a přidávání nových kódů bez kolizí</w:t>
      </w:r>
      <w:r>
        <w:t>,</w:t>
      </w:r>
    </w:p>
    <w:p w14:paraId="703FF442" w14:textId="77777777" w:rsidR="00D66541" w:rsidRDefault="00D66541" w:rsidP="00D66541">
      <w:pPr>
        <w:pStyle w:val="Odstavecseseznamem"/>
        <w:numPr>
          <w:ilvl w:val="0"/>
          <w:numId w:val="3"/>
        </w:numPr>
        <w:ind w:leftChars="0" w:firstLineChars="0"/>
        <w:contextualSpacing w:val="0"/>
      </w:pPr>
      <w:r>
        <w:t>podpora komplexnějších sdělení díky možnosti zahrnout až 4 piktogramy v jednom objektu,</w:t>
      </w:r>
    </w:p>
    <w:p w14:paraId="608A7692" w14:textId="77777777" w:rsidR="00D66541" w:rsidRDefault="00D66541" w:rsidP="00D66541">
      <w:pPr>
        <w:pStyle w:val="Odstavecseseznamem"/>
        <w:numPr>
          <w:ilvl w:val="0"/>
          <w:numId w:val="3"/>
        </w:numPr>
        <w:ind w:leftChars="0" w:firstLineChars="0"/>
        <w:contextualSpacing w:val="0"/>
      </w:pPr>
      <w:r>
        <w:t>doplnění nových kódů a odstranění redundantních, úpravu atributů pro lepší kompatibilitu s dalšími ITS standardy,</w:t>
      </w:r>
    </w:p>
    <w:p w14:paraId="3AF39CC6" w14:textId="77777777" w:rsidR="00D66541" w:rsidRDefault="00D66541" w:rsidP="00D66541">
      <w:pPr>
        <w:pStyle w:val="Odstavecseseznamem"/>
        <w:numPr>
          <w:ilvl w:val="0"/>
          <w:numId w:val="3"/>
        </w:numPr>
        <w:ind w:leftChars="0" w:firstLineChars="0"/>
        <w:contextualSpacing w:val="0"/>
      </w:pPr>
      <w:r>
        <w:t>označení kódů jako „platné“ nebo „zrušené“ pro řízenou evoluci,</w:t>
      </w:r>
    </w:p>
    <w:p w14:paraId="2ED23AB0" w14:textId="77777777" w:rsidR="00D66541" w:rsidRDefault="00D66541" w:rsidP="00D66541">
      <w:pPr>
        <w:pStyle w:val="Odstavecseseznamem"/>
        <w:numPr>
          <w:ilvl w:val="0"/>
          <w:numId w:val="3"/>
        </w:numPr>
        <w:ind w:leftChars="0" w:firstLineChars="0"/>
        <w:contextualSpacing w:val="0"/>
      </w:pPr>
      <w:r>
        <w:t xml:space="preserve">zachování plné zpětné kompatibility s ISO 14823:2017. </w:t>
      </w:r>
    </w:p>
    <w:p w14:paraId="522234D9" w14:textId="77777777" w:rsidR="00D66541" w:rsidRDefault="00D66541" w:rsidP="00D66541">
      <w:pPr>
        <w:ind w:left="0" w:hanging="2"/>
      </w:pPr>
      <w:r>
        <w:t>Tento extrakt (dále jen “popisovaný dokument”) popisuje část 1 normy GDD se specifikací formátu a tabulkami s piktogramy jednotlivých značek.</w:t>
      </w:r>
    </w:p>
    <w:p w14:paraId="2B13EDA2" w14:textId="5DF37E7C" w:rsidR="00D66541" w:rsidRDefault="31100415" w:rsidP="00D66541">
      <w:pPr>
        <w:ind w:left="0" w:hanging="2"/>
      </w:pPr>
      <w:r>
        <w:t xml:space="preserve">Poznámka: Extrakt uvádí vybrané kapitoly popisovaného dokumentu a přejímá původní číslování kapitol.</w:t>
      </w:r>
    </w:p>
    <w:p w14:paraId="41026494" w14:textId="77777777" w:rsidR="00D66541" w:rsidRDefault="00D66541" w:rsidP="00D66541">
      <w:pPr>
        <w:pStyle w:val="Nadpis1"/>
        <w:ind w:hanging="2"/>
      </w:pPr>
      <w:bookmarkStart w:id="6" w:name="_heading=h.p5uplw5j229a" w:colFirst="0" w:colLast="0"/>
      <w:bookmarkEnd w:id="6"/>
      <w:r w:rsidRPr="0046514A">
        <w:t>Užití</w:t>
      </w:r>
    </w:p>
    <w:p w14:paraId="13D95071" w14:textId="77777777" w:rsidR="00D66541" w:rsidRDefault="00D66541" w:rsidP="00D66541">
      <w:pPr>
        <w:ind w:left="0" w:hanging="2"/>
      </w:pPr>
      <w:r>
        <w:t>Popisovaný dokument stanovuje kódování různých dopravních značek</w:t>
      </w:r>
      <w:r w:rsidRPr="006F0302">
        <w:t xml:space="preserve"> </w:t>
      </w:r>
      <w:r>
        <w:t xml:space="preserve">a </w:t>
      </w:r>
      <w:r w:rsidRPr="007B594E">
        <w:t>slouží jako technický základ pro systémy, které potřebují jednoznačně identifikovat a zpracovávat dopravní piktogramy v digitální podobě</w:t>
      </w:r>
      <w:r>
        <w:t>. P</w:t>
      </w:r>
      <w:r w:rsidRPr="007B594E">
        <w:t>oskytuje jednotný a rozšiřitelný rámec, který umožňuje konzistentní práci s dopravními piktogramy bez ohledu na národní odlišnosti nebo použitou komunikační technologii</w:t>
      </w:r>
      <w:r>
        <w:t>.</w:t>
      </w:r>
      <w:r w:rsidRPr="007B594E">
        <w:t xml:space="preserve"> </w:t>
      </w:r>
    </w:p>
    <w:p w14:paraId="12EFCE41" w14:textId="77777777" w:rsidR="00D66541" w:rsidRPr="007B594E" w:rsidRDefault="00D66541" w:rsidP="00D66541">
      <w:pPr>
        <w:ind w:left="0" w:hanging="2"/>
      </w:pPr>
      <w:r w:rsidRPr="007B594E">
        <w:t>Norma je určena zejména pro</w:t>
      </w:r>
      <w:r>
        <w:t xml:space="preserve"> </w:t>
      </w:r>
      <w:r w:rsidRPr="007B594E">
        <w:rPr>
          <w:b/>
          <w:bCs/>
        </w:rPr>
        <w:t>vývojáře a architekty ITS systémů</w:t>
      </w:r>
      <w:r w:rsidRPr="007B594E">
        <w:t>, kteří implementují podporu pro digitální dopravní značky v C</w:t>
      </w:r>
      <w:r w:rsidRPr="007B594E">
        <w:noBreakHyphen/>
        <w:t>ITS, V2X komunikaci nebo navigačních službách,</w:t>
      </w:r>
      <w:r>
        <w:t xml:space="preserve"> </w:t>
      </w:r>
      <w:r w:rsidRPr="007B594E">
        <w:rPr>
          <w:b/>
          <w:bCs/>
        </w:rPr>
        <w:t xml:space="preserve">výrobce vozidel a </w:t>
      </w:r>
      <w:r w:rsidRPr="007B594E">
        <w:rPr>
          <w:b/>
          <w:bCs/>
        </w:rPr>
        <w:lastRenderedPageBreak/>
        <w:t>jejich dodavatele</w:t>
      </w:r>
      <w:r w:rsidRPr="007B594E">
        <w:t>, kteří integrují piktogramy do palubních systémů, ADAS a in</w:t>
      </w:r>
      <w:r w:rsidRPr="007B594E">
        <w:noBreakHyphen/>
        <w:t>vehicle signage,</w:t>
      </w:r>
      <w:r>
        <w:t xml:space="preserve"> </w:t>
      </w:r>
      <w:r w:rsidRPr="007B594E">
        <w:rPr>
          <w:b/>
          <w:bCs/>
        </w:rPr>
        <w:t>provozovatele infrastruktury a dopravních center</w:t>
      </w:r>
      <w:r w:rsidRPr="007B594E">
        <w:t>, kteří publikují dopravní informace prostřednictvím VMS, C</w:t>
      </w:r>
      <w:r w:rsidRPr="007B594E">
        <w:noBreakHyphen/>
        <w:t>ITS nebo DATEX II,</w:t>
      </w:r>
      <w:r>
        <w:t xml:space="preserve"> </w:t>
      </w:r>
      <w:r w:rsidRPr="007B594E">
        <w:rPr>
          <w:b/>
          <w:bCs/>
        </w:rPr>
        <w:t>poskytovatele dopravních a navigačních služeb</w:t>
      </w:r>
      <w:r w:rsidRPr="007B594E">
        <w:t>, kteří potřebují interoperabilní kódování napříč státy a systémy</w:t>
      </w:r>
      <w:r>
        <w:t xml:space="preserve"> a </w:t>
      </w:r>
      <w:r w:rsidRPr="007B594E">
        <w:rPr>
          <w:b/>
          <w:bCs/>
        </w:rPr>
        <w:t>výrobce koncových zařízení a aplikací</w:t>
      </w:r>
      <w:r w:rsidRPr="007B594E">
        <w:t>, které zobrazují dopravní informace uživatelům.</w:t>
      </w:r>
    </w:p>
    <w:p w14:paraId="35E61B43" w14:textId="717607F7" w:rsidR="00D66541" w:rsidRDefault="00D66541" w:rsidP="00D66541">
      <w:pPr>
        <w:pStyle w:val="Nadpis1"/>
        <w:ind w:hanging="2"/>
      </w:pPr>
      <w:bookmarkStart w:id="8" w:name="_heading=h.exlj16mcv1lp"/>
      <w:bookmarkEnd w:id="8"/>
      <w:r>
        <w:t xml:space="preserve">1 Předmět normy</w:t>
      </w:r>
      <w:r w:rsidR="168ABC1D">
        <w:t xml:space="preserve"/>
      </w:r>
    </w:p>
    <w:p w14:paraId="57B0A671" w14:textId="77777777" w:rsidR="00D66541" w:rsidRPr="00810827" w:rsidRDefault="00D66541" w:rsidP="00D66541">
      <w:pPr>
        <w:pStyle w:val="Zkladntext"/>
        <w:ind w:left="0" w:hanging="2"/>
      </w:pPr>
      <w:r w:rsidRPr="00810827">
        <w:t>Dokument s</w:t>
      </w:r>
      <w:r>
        <w:t xml:space="preserve">tanovuje </w:t>
      </w:r>
      <w:r w:rsidRPr="00810827">
        <w:t>struktur</w:t>
      </w:r>
      <w:r>
        <w:t>u</w:t>
      </w:r>
      <w:r w:rsidRPr="00810827">
        <w:t xml:space="preserve"> </w:t>
      </w:r>
      <w:r w:rsidRPr="00810827">
        <w:rPr>
          <w:b/>
          <w:bCs/>
        </w:rPr>
        <w:t>GDD</w:t>
      </w:r>
      <w:r w:rsidRPr="00810827">
        <w:t xml:space="preserve"> a pravidl</w:t>
      </w:r>
      <w:r>
        <w:t>a</w:t>
      </w:r>
      <w:r w:rsidRPr="00810827">
        <w:t xml:space="preserve"> kódování piktogramů; jako jednotný mechanismus pro </w:t>
      </w:r>
      <w:r w:rsidRPr="00810827">
        <w:rPr>
          <w:b/>
          <w:bCs/>
        </w:rPr>
        <w:t>kódování, přenos a interpretaci</w:t>
      </w:r>
      <w:r w:rsidRPr="00810827">
        <w:t xml:space="preserve"> grafických prvků </w:t>
      </w:r>
      <w:r>
        <w:t xml:space="preserve">(dopravních značek) </w:t>
      </w:r>
      <w:r w:rsidRPr="00810827">
        <w:t xml:space="preserve">v rámci </w:t>
      </w:r>
      <w:r>
        <w:t>ITS.</w:t>
      </w:r>
      <w:r w:rsidRPr="00810827">
        <w:t xml:space="preserve"> </w:t>
      </w:r>
      <w:r>
        <w:t>N</w:t>
      </w:r>
      <w:r w:rsidRPr="00810827">
        <w:t>eřeší způsob jejich grafického zobrazení ani formáty přenosových protokolů. Norma je určena pro použití v ITS aplikacích, které potřebují jednoznačně identifikovat a sdílet význam dopravních značek v digitální podobě.</w:t>
      </w:r>
    </w:p>
    <w:p w14:paraId="14C846DE" w14:textId="77777777" w:rsidR="00D66541" w:rsidRDefault="00D66541" w:rsidP="00D66541">
      <w:pPr>
        <w:pStyle w:val="Nadpis1"/>
        <w:ind w:hanging="2"/>
      </w:pPr>
      <w:bookmarkStart w:id="7" w:name="_heading=h.8kdf5wup1at0" w:colFirst="0" w:colLast="0"/>
      <w:bookmarkEnd w:id="7"/>
      <w:r w:rsidRPr="0046514A">
        <w:t xml:space="preserve">2 Souvisící normy</w:t>
      </w:r>
      <w:r>
        <w:t xml:space="preserve"/>
      </w:r>
    </w:p>
    <w:p w14:paraId="62536F6A" w14:textId="53C2A957" w:rsidR="00D66541" w:rsidRDefault="00D66541" w:rsidP="00D66541">
      <w:pPr>
        <w:ind w:left="0" w:hanging="2"/>
      </w:pPr>
      <w:r>
        <w:t>Popisovaný dokument uvádí 6 normativní</w:t>
      </w:r>
      <w:r w:rsidR="79CB11CD">
        <w:t>ch</w:t>
      </w:r>
      <w:r>
        <w:t xml:space="preserve"> odkazů na normy ISO 3166-1 (Kódy zemí), ISO 8601-1 (Datová reprezentace času), ISO 8824-1 (Specifikace zápisu ASN.1), ISO/IEC 88255 (mapování XML schémat do ASN.1), ISO/IEC 88591 (dvoupísmenné kódy zemí) a ISO/IEC 195051 (UML modelování). V textu je dále zmíněno předchozí vydání ISO 14823:2017, ke kterému je tato verze zpětně kompatibilní.</w:t>
      </w:r>
    </w:p>
    <w:p w14:paraId="2EEE135F" w14:textId="77777777" w:rsidR="00D66541" w:rsidRPr="0046514A" w:rsidRDefault="00D66541" w:rsidP="00D66541">
      <w:pPr>
        <w:pStyle w:val="Nadpis1"/>
        <w:ind w:hanging="2"/>
      </w:pPr>
      <w:r w:rsidRPr="0046514A">
        <w:t>3 Termíny a definice</w:t>
      </w:r>
    </w:p>
    <w:p w14:paraId="7E69E093" w14:textId="77777777" w:rsidR="00D66541" w:rsidRPr="0046514A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46514A">
        <w:rPr>
          <w:color w:val="000000"/>
        </w:rPr>
        <w:t xml:space="preserve">Tato kapitola definuje základní pojmy používané v rámci slovníku grafických dat (GDD). Celkem obsahuje </w:t>
      </w:r>
      <w:r w:rsidRPr="0046514A">
        <w:rPr>
          <w:b/>
          <w:bCs/>
          <w:color w:val="000000"/>
        </w:rPr>
        <w:t>12 termínů</w:t>
      </w:r>
      <w:r w:rsidRPr="0046514A">
        <w:rPr>
          <w:color w:val="000000"/>
        </w:rPr>
        <w:t>, které popisují strukturu kódů, jejich význam a související koncepty. Mezi klíčové patří zejména:</w:t>
      </w:r>
    </w:p>
    <w:p w14:paraId="3ED96907" w14:textId="581C90E1" w:rsidR="00D66541" w:rsidRPr="0046514A" w:rsidRDefault="00D66541" w:rsidP="2A4A991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2A4A991E">
        <w:rPr>
          <w:b/>
          <w:bCs/>
          <w:color w:val="000000" w:themeColor="text1"/>
        </w:rPr>
        <w:t>slovník grafických dat (graphic data dictionary)</w:t>
      </w:r>
      <w:r>
        <w:tab/>
      </w:r>
      <w:r w:rsidRPr="2A4A991E">
        <w:rPr>
          <w:color w:val="000000" w:themeColor="text1"/>
        </w:rPr>
        <w:t>systematicky uspořádaný katalog kódů piktogramů používaných v ITS</w:t>
      </w:r>
    </w:p>
    <w:p w14:paraId="359F14AD" w14:textId="5AEEF535" w:rsidR="00D66541" w:rsidRPr="0046514A" w:rsidRDefault="00D66541" w:rsidP="2A4A991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2A4A991E">
        <w:rPr>
          <w:b/>
          <w:bCs/>
          <w:color w:val="000000" w:themeColor="text1"/>
        </w:rPr>
        <w:t>piktogram (pictogram)</w:t>
      </w:r>
      <w:r>
        <w:tab/>
      </w:r>
      <w:r w:rsidRPr="2A4A991E">
        <w:rPr>
          <w:color w:val="000000" w:themeColor="text1"/>
        </w:rPr>
        <w:t>grafický symbol nebo ikona zobrazovaná na statické dopravní značce nebo na displeji informačního systému (např. VMS), která poskytuje cestujícím informaci o dopravních podmínkách, omezeních nebo veřejných službách</w:t>
      </w:r>
    </w:p>
    <w:p w14:paraId="32E8F03D" w14:textId="1C41DA8E" w:rsidR="00D66541" w:rsidRPr="0046514A" w:rsidRDefault="00D66541" w:rsidP="2A4A991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2A4A991E">
        <w:rPr>
          <w:b/>
          <w:bCs/>
          <w:color w:val="000000" w:themeColor="text1"/>
        </w:rPr>
        <w:t>kód piktogramu (pictogram code)</w:t>
      </w:r>
      <w:r>
        <w:tab/>
      </w:r>
      <w:r w:rsidRPr="2A4A991E">
        <w:rPr>
          <w:color w:val="000000" w:themeColor="text1"/>
        </w:rPr>
        <w:t>kombinace kódu služby a kódu kategorie piktogramu, případně doplněná o kód země (ve verzi 1)</w:t>
      </w:r>
    </w:p>
    <w:p w14:paraId="2D552143" w14:textId="256A4D6F" w:rsidR="00D66541" w:rsidRPr="0046514A" w:rsidRDefault="00D66541" w:rsidP="2A4A991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2A4A991E">
        <w:rPr>
          <w:b/>
          <w:bCs/>
          <w:color w:val="000000" w:themeColor="text1"/>
        </w:rPr>
        <w:t>relativní identifikátor objektu (relative object identifier)</w:t>
      </w:r>
      <w:r>
        <w:tab/>
      </w:r>
      <w:r w:rsidRPr="2A4A991E">
        <w:rPr>
          <w:color w:val="000000" w:themeColor="text1"/>
        </w:rPr>
        <w:t>identifikátor určující objekt svou pozicí v rámci stromu OID relativně k definovanému kořeni</w:t>
      </w:r>
    </w:p>
    <w:p w14:paraId="35E9DDA8" w14:textId="7A29589D" w:rsidR="00D66541" w:rsidRPr="0046514A" w:rsidRDefault="00D66541" w:rsidP="2A4A991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2A4A991E">
        <w:rPr>
          <w:b/>
          <w:bCs/>
          <w:color w:val="000000" w:themeColor="text1"/>
        </w:rPr>
        <w:t>atribut (attribute)</w:t>
      </w:r>
      <w:r>
        <w:tab/>
      </w:r>
      <w:r w:rsidRPr="2A4A991E">
        <w:rPr>
          <w:color w:val="000000" w:themeColor="text1"/>
        </w:rPr>
        <w:t>doplňující kódovaná informace, která upřesňuje význam piktogramu (např. směr, vzdálenost, čas)</w:t>
      </w:r>
    </w:p>
    <w:p w14:paraId="67E95975" w14:textId="1F396F35" w:rsidR="00D66541" w:rsidRPr="0046514A" w:rsidRDefault="00D66541" w:rsidP="2A4A991E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2A4A991E">
        <w:rPr>
          <w:b/>
          <w:bCs/>
          <w:color w:val="000000" w:themeColor="text1"/>
        </w:rPr>
        <w:t>specializace (specialization)</w:t>
      </w:r>
      <w:r>
        <w:tab/>
      </w:r>
      <w:r w:rsidRPr="2A4A991E">
        <w:rPr>
          <w:color w:val="000000" w:themeColor="text1"/>
        </w:rPr>
        <w:t>vztah mezi obecnou třídou a její konkrétnější variantou, která přidává další významové prvky</w:t>
      </w:r>
    </w:p>
    <w:p w14:paraId="2B13EDA2" w14:textId="5DF37E7C" w:rsidR="00D66541" w:rsidRDefault="31100415" w:rsidP="00D66541">
      <w:pPr>
        <w:ind w:left="0" w:hanging="2"/>
      </w:pPr>
      <w:r>
        <w:t xml:space="preserve">Další termíny a zkratky z oboru ITS jsou obsaženy ve slovníku ITS terminology.</w:t>
      </w:r>
    </w:p>
    <w:p w14:paraId="7E19DF20" w14:textId="77777777" w:rsidR="00D66541" w:rsidRPr="0046514A" w:rsidRDefault="00D66541" w:rsidP="00D66541">
      <w:pPr>
        <w:pStyle w:val="Nadpis1"/>
        <w:ind w:hanging="2"/>
      </w:pPr>
      <w:r w:rsidRPr="0046514A">
        <w:t xml:space="preserve">4 Symboly a zkratky</w:t>
      </w:r>
    </w:p>
    <w:p w14:paraId="4191D7F8" w14:textId="77777777" w:rsidR="00D66541" w:rsidRPr="0046514A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46514A">
        <w:rPr>
          <w:color w:val="000000"/>
        </w:rPr>
        <w:t xml:space="preserve">Kapitola uvádí </w:t>
      </w:r>
      <w:r w:rsidRPr="0046514A">
        <w:rPr>
          <w:b/>
          <w:bCs/>
          <w:color w:val="000000"/>
        </w:rPr>
        <w:t>10 zkratek</w:t>
      </w:r>
      <w:r w:rsidRPr="0046514A">
        <w:rPr>
          <w:color w:val="000000"/>
        </w:rPr>
        <w:t>, které se v dokumentu používají. Pro účely tohoto extraktu jsou nejdůležitější zejména:</w:t>
      </w:r>
    </w:p>
    <w:p w14:paraId="13171CFD" w14:textId="5C24BE0C" w:rsidR="00D66541" w:rsidRPr="0046514A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0046514A">
        <w:rPr>
          <w:b/>
          <w:bCs/>
          <w:color w:val="000000"/>
        </w:rPr>
        <w:t>ASN.1</w:t>
      </w:r>
      <w:r w:rsidRPr="0046514A">
        <w:rPr>
          <w:color w:val="000000"/>
        </w:rPr>
        <w:t xml:space="preserve"> Abstract Syntax Notation One, formální jazyk používaný pro definici struktury GDD a jeho kódování,</w:t>
      </w:r>
    </w:p>
    <w:p w14:paraId="78BFCBDB" w14:textId="5A041159" w:rsidR="00D66541" w:rsidRPr="0046514A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0046514A">
        <w:rPr>
          <w:b/>
          <w:bCs/>
          <w:color w:val="000000"/>
        </w:rPr>
        <w:t>GDD</w:t>
      </w:r>
      <w:r w:rsidRPr="0046514A">
        <w:rPr>
          <w:color w:val="000000"/>
        </w:rPr>
        <w:t xml:space="preserve"> Graphic Data Dictionary, slovník grafických dat definovaný touto normou,</w:t>
      </w:r>
    </w:p>
    <w:p w14:paraId="70FC885E" w14:textId="3780041A" w:rsidR="00D66541" w:rsidRPr="0046514A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0046514A">
        <w:rPr>
          <w:b/>
          <w:bCs/>
          <w:color w:val="000000"/>
        </w:rPr>
        <w:t>OID</w:t>
      </w:r>
      <w:r w:rsidRPr="0046514A">
        <w:rPr>
          <w:color w:val="000000"/>
        </w:rPr>
        <w:t xml:space="preserve"> Object Identifier, identifikátor používaný ve verzi 2 pro jednoznačné určení piktogramu,</w:t>
      </w:r>
    </w:p>
    <w:p w14:paraId="23086913" w14:textId="7B103674" w:rsidR="00D66541" w:rsidRPr="0046514A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0046514A">
        <w:rPr>
          <w:b/>
          <w:bCs/>
          <w:color w:val="000000"/>
        </w:rPr>
        <w:t>VMS</w:t>
      </w:r>
      <w:r w:rsidRPr="0046514A">
        <w:rPr>
          <w:color w:val="000000"/>
        </w:rPr>
        <w:t xml:space="preserve"> Variable Message Sign, proměnné dopravní značení, které může zobrazovat piktogramy definované v GDD.</w:t>
      </w:r>
    </w:p>
    <w:p w14:paraId="14B3B92C" w14:textId="77777777" w:rsidR="00D66541" w:rsidRPr="0046514A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i/>
          <w:iCs/>
          <w:color w:val="000000"/>
        </w:rPr>
      </w:pPr>
      <w:r w:rsidRPr="0046514A">
        <w:rPr>
          <w:i/>
          <w:iCs/>
          <w:color w:val="000000"/>
        </w:rPr>
        <w:lastRenderedPageBreak/>
        <w:t>Poznámka: Další termíny a zkratky z oblasti ITS jsou dostupné ve slovníku ITS Terminology (</w:t>
      </w:r>
      <w:hyperlink r:id="rId8" w:history="1">
        <w:r w:rsidRPr="0046514A">
          <w:rPr>
            <w:rStyle w:val="Hypertextovodkaz"/>
            <w:i/>
            <w:iCs/>
          </w:rPr>
          <w:t>www.itsterminology.org</w:t>
        </w:r>
      </w:hyperlink>
      <w:r w:rsidRPr="0046514A">
        <w:rPr>
          <w:i/>
          <w:iCs/>
          <w:color w:val="000000"/>
        </w:rPr>
        <w:t>).</w:t>
      </w:r>
    </w:p>
    <w:p w14:paraId="2B13EDA2" w14:textId="5DF37E7C" w:rsidR="00D66541" w:rsidRDefault="31100415" w:rsidP="00D66541">
      <w:pPr>
        <w:ind w:left="0" w:hanging="2"/>
      </w:pPr>
      <w:r>
        <w:t xml:space="preserve">Další termíny a zkratky z oboru ITS jsou obsaženy ve slovníku ITS terminology (www.ITSterminology.org).</w:t>
      </w:r>
    </w:p>
    <w:p w14:paraId="4DD39A76" w14:textId="77777777" w:rsidR="00D66541" w:rsidRPr="001836E4" w:rsidRDefault="00D66541" w:rsidP="00D66541">
      <w:pPr>
        <w:pStyle w:val="Nadpis1"/>
        <w:ind w:hanging="2"/>
      </w:pPr>
      <w:r w:rsidRPr="001836E4">
        <w:t>5 Shoda</w:t>
      </w:r>
    </w:p>
    <w:p w14:paraId="49D973AA" w14:textId="53030E1A" w:rsidR="00D66541" w:rsidRPr="001836E4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1836E4">
        <w:rPr>
          <w:color w:val="000000"/>
        </w:rPr>
        <w:t xml:space="preserve">Kapitola </w:t>
      </w:r>
      <w:r w:rsidR="00C62688">
        <w:rPr>
          <w:color w:val="000000"/>
        </w:rPr>
        <w:t xml:space="preserve">na </w:t>
      </w:r>
      <w:r>
        <w:rPr>
          <w:color w:val="000000"/>
        </w:rPr>
        <w:t>4 řád</w:t>
      </w:r>
      <w:r w:rsidR="00C62688">
        <w:rPr>
          <w:color w:val="000000"/>
        </w:rPr>
        <w:t>cích</w:t>
      </w:r>
      <w:r w:rsidRPr="001836E4">
        <w:rPr>
          <w:color w:val="000000"/>
        </w:rPr>
        <w:t xml:space="preserve"> stanovuje dvě základní podmínky shody: implementace musí používat strukturu GDD definovanou v normě a musí vybírat </w:t>
      </w:r>
      <w:r>
        <w:rPr>
          <w:color w:val="000000"/>
        </w:rPr>
        <w:t xml:space="preserve">kódy </w:t>
      </w:r>
      <w:r w:rsidRPr="001836E4">
        <w:rPr>
          <w:color w:val="000000"/>
        </w:rPr>
        <w:t>piktogram</w:t>
      </w:r>
      <w:r>
        <w:rPr>
          <w:color w:val="000000"/>
        </w:rPr>
        <w:t>ů</w:t>
      </w:r>
      <w:r w:rsidRPr="001836E4">
        <w:rPr>
          <w:color w:val="000000"/>
        </w:rPr>
        <w:t xml:space="preserve"> výhradně z tabulek uvedených v dokumentu. </w:t>
      </w:r>
    </w:p>
    <w:p w14:paraId="36370F95" w14:textId="77777777" w:rsidR="00D66541" w:rsidRPr="001836E4" w:rsidRDefault="00D66541" w:rsidP="00D66541">
      <w:pPr>
        <w:pStyle w:val="Nadpis1"/>
        <w:ind w:hanging="2"/>
      </w:pPr>
      <w:r w:rsidRPr="001836E4">
        <w:t>6 Požadavky</w:t>
      </w:r>
    </w:p>
    <w:p w14:paraId="795DA443" w14:textId="17169AD6" w:rsidR="00D66541" w:rsidRPr="001836E4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1836E4">
        <w:rPr>
          <w:color w:val="000000"/>
        </w:rPr>
        <w:t>Kapitola</w:t>
      </w:r>
      <w:r w:rsidR="00C62688">
        <w:rPr>
          <w:color w:val="000000"/>
        </w:rPr>
        <w:t>,</w:t>
      </w:r>
      <w:r w:rsidRPr="001836E4">
        <w:rPr>
          <w:color w:val="000000"/>
        </w:rPr>
        <w:t xml:space="preserve"> </w:t>
      </w:r>
      <w:r w:rsidR="00C62688">
        <w:rPr>
          <w:color w:val="000000"/>
        </w:rPr>
        <w:t xml:space="preserve">v rozsahu </w:t>
      </w:r>
      <w:r w:rsidRPr="001836E4">
        <w:rPr>
          <w:color w:val="000000"/>
        </w:rPr>
        <w:t>1 stran</w:t>
      </w:r>
      <w:r w:rsidR="00C62688">
        <w:rPr>
          <w:color w:val="000000"/>
        </w:rPr>
        <w:t>y,</w:t>
      </w:r>
      <w:r w:rsidRPr="001836E4">
        <w:rPr>
          <w:color w:val="000000"/>
        </w:rPr>
        <w:t xml:space="preserve"> uvádí </w:t>
      </w:r>
      <w:r>
        <w:rPr>
          <w:color w:val="000000"/>
        </w:rPr>
        <w:t>seznam 10 základních funkčních</w:t>
      </w:r>
      <w:r w:rsidRPr="001836E4">
        <w:rPr>
          <w:color w:val="000000"/>
        </w:rPr>
        <w:t xml:space="preserve"> </w:t>
      </w:r>
      <w:r>
        <w:rPr>
          <w:color w:val="000000"/>
        </w:rPr>
        <w:t xml:space="preserve">požadavků </w:t>
      </w:r>
      <w:r w:rsidRPr="001836E4">
        <w:rPr>
          <w:color w:val="000000"/>
        </w:rPr>
        <w:t>pro použití GDD v</w:t>
      </w:r>
      <w:r>
        <w:rPr>
          <w:color w:val="000000"/>
        </w:rPr>
        <w:t> </w:t>
      </w:r>
      <w:r w:rsidRPr="001836E4">
        <w:rPr>
          <w:color w:val="000000"/>
        </w:rPr>
        <w:t>ITS</w:t>
      </w:r>
      <w:r>
        <w:rPr>
          <w:color w:val="000000"/>
        </w:rPr>
        <w:t>, s odkazem na části normy</w:t>
      </w:r>
      <w:r w:rsidRPr="001836E4">
        <w:rPr>
          <w:color w:val="000000"/>
        </w:rPr>
        <w:t xml:space="preserve">. Mezi </w:t>
      </w:r>
      <w:r>
        <w:rPr>
          <w:color w:val="000000"/>
        </w:rPr>
        <w:t xml:space="preserve">požadavky </w:t>
      </w:r>
      <w:r w:rsidRPr="001836E4">
        <w:rPr>
          <w:color w:val="000000"/>
        </w:rPr>
        <w:t>patří</w:t>
      </w:r>
      <w:r>
        <w:rPr>
          <w:color w:val="000000"/>
        </w:rPr>
        <w:t xml:space="preserve"> např. </w:t>
      </w:r>
      <w:r w:rsidRPr="001836E4">
        <w:rPr>
          <w:color w:val="000000"/>
        </w:rPr>
        <w:t>že grafická data musí obsahovat verzi a identifikátor (OID nebo kód země), výběr piktogramového kódu musí odpovídat příslušné tabulce podle typu značky (</w:t>
      </w:r>
      <w:r>
        <w:rPr>
          <w:color w:val="000000"/>
        </w:rPr>
        <w:t>výstražné</w:t>
      </w:r>
      <w:r w:rsidRPr="001836E4">
        <w:rPr>
          <w:color w:val="000000"/>
        </w:rPr>
        <w:t>, regul</w:t>
      </w:r>
      <w:r>
        <w:rPr>
          <w:color w:val="000000"/>
        </w:rPr>
        <w:t>atorní</w:t>
      </w:r>
      <w:r w:rsidRPr="001836E4">
        <w:rPr>
          <w:color w:val="000000"/>
        </w:rPr>
        <w:t xml:space="preserve">, informační, veřejná zařízení, </w:t>
      </w:r>
      <w:r>
        <w:rPr>
          <w:color w:val="000000"/>
        </w:rPr>
        <w:t xml:space="preserve">dodatkové tabulky atp.). </w:t>
      </w:r>
    </w:p>
    <w:p w14:paraId="18739614" w14:textId="77777777" w:rsidR="00D66541" w:rsidRPr="00EE0007" w:rsidRDefault="00D66541" w:rsidP="00D66541">
      <w:pPr>
        <w:pStyle w:val="Nadpis1"/>
        <w:ind w:hanging="2"/>
      </w:pPr>
      <w:r w:rsidRPr="00EE0007">
        <w:t>7 Struktura kódu piktogramu</w:t>
      </w:r>
    </w:p>
    <w:p w14:paraId="25513AEF" w14:textId="74F48AAA" w:rsidR="00D66541" w:rsidRPr="00EE0007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EE0007">
        <w:rPr>
          <w:color w:val="000000"/>
        </w:rPr>
        <w:t>Kapitola</w:t>
      </w:r>
      <w:r w:rsidR="00C62688">
        <w:rPr>
          <w:color w:val="000000"/>
        </w:rPr>
        <w:t>,</w:t>
      </w:r>
      <w:r w:rsidRPr="00EE0007">
        <w:rPr>
          <w:color w:val="000000"/>
        </w:rPr>
        <w:t xml:space="preserve"> </w:t>
      </w:r>
      <w:r w:rsidR="00C62688">
        <w:rPr>
          <w:color w:val="000000"/>
        </w:rPr>
        <w:t>v rozsahu 4 stran,</w:t>
      </w:r>
      <w:r w:rsidRPr="00EE0007">
        <w:rPr>
          <w:color w:val="000000"/>
        </w:rPr>
        <w:t xml:space="preserve"> definuje </w:t>
      </w:r>
      <w:r w:rsidRPr="00EE0007">
        <w:rPr>
          <w:b/>
          <w:bCs/>
          <w:color w:val="000000"/>
        </w:rPr>
        <w:t>dva paralelní mechanismy identifikace piktogramů</w:t>
      </w:r>
      <w:r w:rsidRPr="00EE0007">
        <w:rPr>
          <w:color w:val="000000"/>
        </w:rPr>
        <w:t>, jejich hierarchii a pravidla pro rozšiřování, včetně označování zastaralých kódů</w:t>
      </w:r>
      <w:r>
        <w:rPr>
          <w:color w:val="000000"/>
        </w:rPr>
        <w:t>.</w:t>
      </w:r>
    </w:p>
    <w:p w14:paraId="384EA91C" w14:textId="77777777" w:rsidR="00D66541" w:rsidRPr="00EE0007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>
        <w:rPr>
          <w:color w:val="000000"/>
        </w:rPr>
        <w:t xml:space="preserve">Článek </w:t>
      </w:r>
      <w:r w:rsidRPr="00EE0007">
        <w:rPr>
          <w:b/>
          <w:bCs/>
          <w:color w:val="000000"/>
        </w:rPr>
        <w:t>7.1 Obecně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v</w:t>
      </w:r>
      <w:r w:rsidRPr="00EE0007">
        <w:rPr>
          <w:color w:val="000000"/>
        </w:rPr>
        <w:t>ysvětluje existenci dvou verzí GDD:</w:t>
      </w:r>
      <w:r>
        <w:rPr>
          <w:color w:val="000000"/>
        </w:rPr>
        <w:t xml:space="preserve"> </w:t>
      </w:r>
      <w:r w:rsidRPr="00EE0007">
        <w:rPr>
          <w:i/>
          <w:iCs/>
          <w:color w:val="000000"/>
        </w:rPr>
        <w:t>verze 1</w:t>
      </w:r>
      <w:r w:rsidRPr="00EE0007">
        <w:rPr>
          <w:color w:val="000000"/>
        </w:rPr>
        <w:t xml:space="preserve"> (kód země + piktogramový kód) a </w:t>
      </w:r>
      <w:r w:rsidRPr="00EE0007">
        <w:rPr>
          <w:i/>
          <w:iCs/>
          <w:color w:val="000000"/>
        </w:rPr>
        <w:t>verze 2</w:t>
      </w:r>
      <w:r w:rsidRPr="00EE0007">
        <w:rPr>
          <w:color w:val="000000"/>
        </w:rPr>
        <w:t xml:space="preserve"> (relativní OID). Obě verze jsou paralelně podporovány kvůli zpětné kompatibilitě.</w:t>
      </w:r>
    </w:p>
    <w:p w14:paraId="3CBA592F" w14:textId="77777777" w:rsidR="00D66541" w:rsidRPr="00EE0007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00EE0007">
        <w:rPr>
          <w:color w:val="000000"/>
        </w:rPr>
        <w:t xml:space="preserve">Článek </w:t>
      </w:r>
      <w:r w:rsidRPr="00EE0007">
        <w:rPr>
          <w:b/>
          <w:bCs/>
          <w:color w:val="000000"/>
        </w:rPr>
        <w:t>7.2 Aktuální a zastaralé značky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stanovuje</w:t>
      </w:r>
      <w:r w:rsidRPr="00EE0007">
        <w:rPr>
          <w:color w:val="000000"/>
        </w:rPr>
        <w:t xml:space="preserve"> způsob nakládání s životním cyklem kódů piktogramů </w:t>
      </w:r>
      <w:r>
        <w:rPr>
          <w:color w:val="000000"/>
        </w:rPr>
        <w:t>Všechny</w:t>
      </w:r>
      <w:r w:rsidRPr="00EE0007">
        <w:rPr>
          <w:color w:val="000000"/>
        </w:rPr>
        <w:t xml:space="preserve"> kód</w:t>
      </w:r>
      <w:r>
        <w:rPr>
          <w:color w:val="000000"/>
        </w:rPr>
        <w:t xml:space="preserve">y mají být označené </w:t>
      </w:r>
      <w:r w:rsidRPr="00EE0007">
        <w:rPr>
          <w:color w:val="000000"/>
        </w:rPr>
        <w:t xml:space="preserve">jako </w:t>
      </w:r>
      <w:r w:rsidRPr="00EE0007">
        <w:rPr>
          <w:i/>
          <w:iCs/>
          <w:color w:val="000000"/>
        </w:rPr>
        <w:t>current</w:t>
      </w:r>
      <w:r w:rsidRPr="00EE0007">
        <w:rPr>
          <w:color w:val="000000"/>
        </w:rPr>
        <w:t xml:space="preserve"> nebo </w:t>
      </w:r>
      <w:r w:rsidRPr="00EE0007">
        <w:rPr>
          <w:i/>
          <w:iCs/>
          <w:color w:val="000000"/>
        </w:rPr>
        <w:t>deprecated</w:t>
      </w:r>
      <w:r w:rsidRPr="00EE0007">
        <w:rPr>
          <w:color w:val="000000"/>
        </w:rPr>
        <w:t xml:space="preserve">. </w:t>
      </w:r>
    </w:p>
    <w:p w14:paraId="53FC3AE3" w14:textId="77777777" w:rsidR="00D66541" w:rsidRPr="00EE0007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00EE0007">
        <w:rPr>
          <w:color w:val="000000"/>
        </w:rPr>
        <w:t xml:space="preserve">Článek </w:t>
      </w:r>
      <w:r w:rsidRPr="00EE0007">
        <w:rPr>
          <w:b/>
          <w:bCs/>
          <w:color w:val="000000"/>
        </w:rPr>
        <w:t>7.3 Relativní identifikátor objektu (relative OID)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p</w:t>
      </w:r>
      <w:r w:rsidRPr="00EE0007">
        <w:rPr>
          <w:color w:val="000000"/>
        </w:rPr>
        <w:t xml:space="preserve">opisuje hierarchii OID </w:t>
      </w:r>
      <w:r>
        <w:rPr>
          <w:color w:val="000000"/>
        </w:rPr>
        <w:t xml:space="preserve">registrovanou na </w:t>
      </w:r>
      <w:r w:rsidRPr="00EE0007">
        <w:rPr>
          <w:rFonts w:ascii="Courier New" w:hAnsi="Courier New" w:cs="Courier New"/>
          <w:color w:val="000000"/>
          <w:sz w:val="18"/>
          <w:szCs w:val="18"/>
        </w:rPr>
        <w:t>{joint-iso-itut(2) its(28) gdd(5)}</w:t>
      </w:r>
      <w:r w:rsidRPr="00EE0007">
        <w:rPr>
          <w:color w:val="000000"/>
          <w:sz w:val="18"/>
          <w:szCs w:val="18"/>
        </w:rPr>
        <w:t xml:space="preserve"> </w:t>
      </w:r>
      <w:r w:rsidRPr="00EE0007">
        <w:rPr>
          <w:color w:val="000000"/>
        </w:rPr>
        <w:t>a způsob, jakým lze piktogramy zobecňovat podle úrovně detailu. Uvádí příklad</w:t>
      </w:r>
      <w:r>
        <w:rPr>
          <w:color w:val="000000"/>
        </w:rPr>
        <w:t>y</w:t>
      </w:r>
      <w:r w:rsidRPr="00EE0007">
        <w:rPr>
          <w:color w:val="000000"/>
        </w:rPr>
        <w:t xml:space="preserve">, jak může </w:t>
      </w:r>
      <w:r>
        <w:rPr>
          <w:color w:val="000000"/>
        </w:rPr>
        <w:t>aplikace</w:t>
      </w:r>
      <w:r w:rsidRPr="00EE0007">
        <w:rPr>
          <w:color w:val="000000"/>
        </w:rPr>
        <w:t xml:space="preserve"> </w:t>
      </w:r>
      <w:r>
        <w:rPr>
          <w:color w:val="000000"/>
        </w:rPr>
        <w:t xml:space="preserve">generalizovat relativní OID podle potřebné úrovně detailu na různé </w:t>
      </w:r>
      <w:r w:rsidRPr="00EE0007">
        <w:rPr>
          <w:color w:val="000000"/>
        </w:rPr>
        <w:t>úrovních (</w:t>
      </w:r>
      <w:r>
        <w:rPr>
          <w:color w:val="000000"/>
        </w:rPr>
        <w:t xml:space="preserve">výstražná značka: </w:t>
      </w:r>
      <w:r w:rsidRPr="00EE0007">
        <w:rPr>
          <w:color w:val="000000"/>
        </w:rPr>
        <w:t>konkrétní zvíře → obecné zvíře → obecné varování).</w:t>
      </w:r>
    </w:p>
    <w:p w14:paraId="0E6BF600" w14:textId="77777777" w:rsidR="00D66541" w:rsidRPr="00EE0007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00EE0007">
        <w:rPr>
          <w:color w:val="000000"/>
        </w:rPr>
        <w:t xml:space="preserve">Článek </w:t>
      </w:r>
      <w:r w:rsidRPr="00EE0007">
        <w:rPr>
          <w:b/>
          <w:bCs/>
          <w:color w:val="000000"/>
        </w:rPr>
        <w:t>7.4 Kód země</w:t>
      </w:r>
      <w:r>
        <w:rPr>
          <w:b/>
          <w:bCs/>
          <w:color w:val="000000"/>
        </w:rPr>
        <w:t xml:space="preserve"> </w:t>
      </w:r>
      <w:r w:rsidRPr="00EE0007">
        <w:rPr>
          <w:color w:val="000000"/>
        </w:rPr>
        <w:t xml:space="preserve">uvádí že </w:t>
      </w:r>
      <w:r>
        <w:rPr>
          <w:color w:val="000000"/>
        </w:rPr>
        <w:t xml:space="preserve">pro </w:t>
      </w:r>
      <w:r w:rsidRPr="00EE0007">
        <w:rPr>
          <w:color w:val="000000"/>
        </w:rPr>
        <w:t xml:space="preserve">kód </w:t>
      </w:r>
      <w:r>
        <w:rPr>
          <w:color w:val="000000"/>
        </w:rPr>
        <w:t xml:space="preserve">země se používá </w:t>
      </w:r>
      <w:r w:rsidRPr="00EE0007">
        <w:rPr>
          <w:color w:val="000000"/>
        </w:rPr>
        <w:t>dvoupísmenný podle ISO 3166</w:t>
      </w:r>
      <w:r w:rsidRPr="00EE0007">
        <w:rPr>
          <w:color w:val="000000"/>
        </w:rPr>
        <w:noBreakHyphen/>
        <w:t>1</w:t>
      </w:r>
      <w:r>
        <w:rPr>
          <w:color w:val="000000"/>
        </w:rPr>
        <w:t>(</w:t>
      </w:r>
      <w:r w:rsidRPr="00EE0007">
        <w:rPr>
          <w:color w:val="000000"/>
        </w:rPr>
        <w:t>verz</w:t>
      </w:r>
      <w:r>
        <w:rPr>
          <w:color w:val="000000"/>
        </w:rPr>
        <w:t>e</w:t>
      </w:r>
      <w:r w:rsidRPr="00EE0007">
        <w:rPr>
          <w:color w:val="000000"/>
        </w:rPr>
        <w:t xml:space="preserve"> 1</w:t>
      </w:r>
      <w:r>
        <w:rPr>
          <w:color w:val="000000"/>
        </w:rPr>
        <w:t>)</w:t>
      </w:r>
      <w:r w:rsidRPr="00EE0007">
        <w:rPr>
          <w:color w:val="000000"/>
        </w:rPr>
        <w:t>.</w:t>
      </w:r>
    </w:p>
    <w:p w14:paraId="5EC9282D" w14:textId="77777777" w:rsidR="00D66541" w:rsidRPr="00EE0007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00EE0007">
        <w:rPr>
          <w:color w:val="000000"/>
        </w:rPr>
        <w:t xml:space="preserve">Článek </w:t>
      </w:r>
      <w:r w:rsidRPr="00EE0007">
        <w:rPr>
          <w:b/>
          <w:bCs/>
          <w:color w:val="000000"/>
        </w:rPr>
        <w:t xml:space="preserve">7.5 kód </w:t>
      </w:r>
      <w:r>
        <w:rPr>
          <w:b/>
          <w:bCs/>
          <w:color w:val="000000"/>
        </w:rPr>
        <w:t xml:space="preserve">piktogramu </w:t>
      </w:r>
      <w:r w:rsidRPr="00EE0007">
        <w:rPr>
          <w:b/>
          <w:bCs/>
          <w:color w:val="000000"/>
        </w:rPr>
        <w:t>a OID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>o</w:t>
      </w:r>
      <w:r w:rsidRPr="00EE0007">
        <w:rPr>
          <w:color w:val="000000"/>
        </w:rPr>
        <w:t xml:space="preserve">bsahuje tabulku 1, která definuje strukturu </w:t>
      </w:r>
      <w:r>
        <w:rPr>
          <w:color w:val="000000"/>
        </w:rPr>
        <w:t>a číslování piktogramů pro verzi 1, ve tvaru „</w:t>
      </w:r>
      <w:r w:rsidRPr="00EE0007">
        <w:rPr>
          <w:i/>
          <w:iCs/>
          <w:color w:val="000000"/>
        </w:rPr>
        <w:t>kategorie služby → podkategorie → povaha → pořadové číslo</w:t>
      </w:r>
      <w:r>
        <w:rPr>
          <w:i/>
          <w:iCs/>
          <w:color w:val="000000"/>
        </w:rPr>
        <w:t xml:space="preserve">“ (např. </w:t>
      </w:r>
      <w:r w:rsidRPr="00C62327">
        <w:rPr>
          <w:rFonts w:ascii="Courier New" w:hAnsi="Courier New" w:cs="Courier New"/>
          <w:i/>
          <w:iCs/>
          <w:color w:val="000000"/>
          <w:sz w:val="18"/>
          <w:szCs w:val="18"/>
        </w:rPr>
        <w:t>trafficSign (1) + regulatory (2) + mandatory (7) + xx =&gt; {12 7 xx}</w:t>
      </w:r>
      <w:r>
        <w:rPr>
          <w:i/>
          <w:iCs/>
          <w:color w:val="000000"/>
        </w:rPr>
        <w:t>)</w:t>
      </w:r>
      <w:r w:rsidRPr="00EE0007">
        <w:rPr>
          <w:color w:val="000000"/>
        </w:rPr>
        <w:t>.</w:t>
      </w:r>
    </w:p>
    <w:p w14:paraId="66173FCE" w14:textId="77777777" w:rsidR="00D66541" w:rsidRPr="00EE0007" w:rsidRDefault="00D66541" w:rsidP="00D66541">
      <w:pPr>
        <w:pStyle w:val="Nadpis1"/>
        <w:ind w:hanging="2"/>
      </w:pPr>
      <w:r w:rsidRPr="00EE0007">
        <w:t>8 Číslování kódů piktogramů</w:t>
      </w:r>
    </w:p>
    <w:p w14:paraId="24F7AC89" w14:textId="0342D7AA" w:rsidR="00D66541" w:rsidRPr="00EE0007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EE0007">
        <w:rPr>
          <w:color w:val="000000"/>
        </w:rPr>
        <w:t>Kapitola</w:t>
      </w:r>
      <w:r w:rsidR="00C62688">
        <w:rPr>
          <w:color w:val="000000"/>
        </w:rPr>
        <w:t>,</w:t>
      </w:r>
      <w:r w:rsidRPr="00EE0007">
        <w:rPr>
          <w:color w:val="000000"/>
        </w:rPr>
        <w:t xml:space="preserve"> </w:t>
      </w:r>
      <w:r w:rsidR="00C62688">
        <w:rPr>
          <w:color w:val="000000"/>
        </w:rPr>
        <w:t xml:space="preserve">v rozsahu </w:t>
      </w:r>
      <w:r>
        <w:rPr>
          <w:color w:val="000000"/>
        </w:rPr>
        <w:t>40</w:t>
      </w:r>
      <w:r w:rsidRPr="00EE0007">
        <w:rPr>
          <w:color w:val="000000"/>
        </w:rPr>
        <w:t xml:space="preserve"> stran</w:t>
      </w:r>
      <w:r w:rsidR="00C62688">
        <w:rPr>
          <w:color w:val="000000"/>
        </w:rPr>
        <w:t>,</w:t>
      </w:r>
      <w:r w:rsidRPr="00EE0007">
        <w:rPr>
          <w:color w:val="000000"/>
        </w:rPr>
        <w:t xml:space="preserve"> definuje </w:t>
      </w:r>
      <w:r w:rsidRPr="00EE0007">
        <w:rPr>
          <w:b/>
          <w:bCs/>
          <w:color w:val="000000"/>
        </w:rPr>
        <w:t>číselné rozsahy a mnemoniky</w:t>
      </w:r>
      <w:r w:rsidRPr="00EE0007">
        <w:rPr>
          <w:color w:val="000000"/>
        </w:rPr>
        <w:t xml:space="preserve"> pro všechny kategorie piktogramů a poskytuje kompletní seznam kódů používaných v</w:t>
      </w:r>
      <w:r>
        <w:rPr>
          <w:color w:val="000000"/>
        </w:rPr>
        <w:t> </w:t>
      </w:r>
      <w:r w:rsidRPr="00EE0007">
        <w:rPr>
          <w:color w:val="000000"/>
        </w:rPr>
        <w:t>GDD</w:t>
      </w:r>
      <w:r>
        <w:rPr>
          <w:color w:val="000000"/>
        </w:rPr>
        <w:t>,</w:t>
      </w:r>
      <w:r w:rsidRPr="00EE0007">
        <w:rPr>
          <w:color w:val="000000"/>
        </w:rPr>
        <w:t xml:space="preserve"> obsahuje především rozsáhlé tabulky kódů. </w:t>
      </w:r>
    </w:p>
    <w:p w14:paraId="4CA2D06C" w14:textId="77777777" w:rsidR="00D66541" w:rsidRPr="00EE0007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00DF7AA2">
        <w:rPr>
          <w:color w:val="000000"/>
        </w:rPr>
        <w:t xml:space="preserve">Článek </w:t>
      </w:r>
      <w:r w:rsidRPr="00EE0007">
        <w:rPr>
          <w:b/>
          <w:bCs/>
          <w:color w:val="000000"/>
        </w:rPr>
        <w:t>8.1 Obecně</w:t>
      </w:r>
      <w:r>
        <w:rPr>
          <w:b/>
          <w:bCs/>
          <w:color w:val="000000"/>
        </w:rPr>
        <w:t xml:space="preserve"> </w:t>
      </w:r>
      <w:r w:rsidRPr="00EE0007">
        <w:rPr>
          <w:color w:val="000000"/>
        </w:rPr>
        <w:t>Uvádí, že každý piktogram má přiřazený kód a mnemonický název. Kódy jsou rozděleny podle typu značky.</w:t>
      </w:r>
    </w:p>
    <w:p w14:paraId="1D22921C" w14:textId="77777777" w:rsidR="00D66541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 w:rsidRPr="00DF7AA2">
        <w:rPr>
          <w:color w:val="000000"/>
        </w:rPr>
        <w:t xml:space="preserve">Článek </w:t>
      </w:r>
      <w:r w:rsidRPr="00EE0007">
        <w:rPr>
          <w:b/>
          <w:bCs/>
          <w:color w:val="000000"/>
        </w:rPr>
        <w:t>8.2 Mnemonika kódů</w:t>
      </w:r>
      <w:r>
        <w:rPr>
          <w:b/>
          <w:bCs/>
          <w:color w:val="000000"/>
        </w:rPr>
        <w:t xml:space="preserve"> </w:t>
      </w:r>
      <w:r w:rsidRPr="00EE0007">
        <w:rPr>
          <w:color w:val="000000"/>
        </w:rPr>
        <w:t>Popisuje pravidla pro tvorbu názvů v lowerCamelCase bez mezer a bez členů. Uvádí jeden ilustrační příklad.</w:t>
      </w:r>
    </w:p>
    <w:p w14:paraId="524BEB9A" w14:textId="3BBEBA1B" w:rsidR="00D66541" w:rsidRPr="00D26B55" w:rsidRDefault="00D66541" w:rsidP="00D66541">
      <w:pPr>
        <w:pStyle w:val="Titulek"/>
        <w:keepNext/>
        <w:ind w:left="0" w:hanging="2"/>
        <w:rPr>
          <w:b/>
        </w:rPr>
      </w:pPr>
      <w:r w:rsidRPr="003E2729">
        <w:rPr>
          <w:b/>
          <w:bCs w:val="0"/>
        </w:rPr>
        <w:t xml:space="preserve">Tabulka </w:t>
      </w:r>
      <w:r w:rsidRPr="003E2729">
        <w:rPr>
          <w:b/>
          <w:bCs w:val="0"/>
        </w:rPr>
        <w:fldChar w:fldCharType="begin"/>
      </w:r>
      <w:r w:rsidRPr="003E2729">
        <w:rPr>
          <w:b/>
          <w:bCs w:val="0"/>
        </w:rPr>
        <w:instrText xml:space="preserve"> SEQ Tabulka \* ARABIC </w:instrText>
      </w:r>
      <w:r w:rsidRPr="003E2729">
        <w:rPr>
          <w:b/>
          <w:bCs w:val="0"/>
        </w:rPr>
        <w:fldChar w:fldCharType="separate"/>
      </w:r>
      <w:r w:rsidRPr="003E2729">
        <w:rPr>
          <w:b/>
          <w:bCs w:val="0"/>
          <w:noProof/>
        </w:rPr>
        <w:t>1</w:t>
      </w:r>
      <w:r w:rsidRPr="003E2729">
        <w:rPr>
          <w:b/>
          <w:bCs w:val="0"/>
        </w:rPr>
        <w:fldChar w:fldCharType="end"/>
      </w:r>
      <w:r w:rsidRPr="003E2729">
        <w:rPr>
          <w:b/>
          <w:bCs w:val="0"/>
        </w:rPr>
        <w:t xml:space="preserve"> </w:t>
      </w:r>
      <w:r w:rsidR="005256BE" w:rsidRPr="003E2729">
        <w:rPr>
          <w:b/>
          <w:bCs w:val="0"/>
        </w:rPr>
        <w:t>(ukázka z tab. 2 normy</w:t>
      </w:r>
      <w:r w:rsidR="005256BE" w:rsidRPr="00F436DB">
        <w:rPr>
          <w:b/>
        </w:rPr>
        <w:t xml:space="preserve">) </w:t>
      </w:r>
      <w:r w:rsidR="00BD6B48" w:rsidRPr="00D26B55">
        <w:rPr>
          <w:b/>
        </w:rPr>
        <w:t xml:space="preserve">přiřazující kód </w:t>
      </w:r>
      <w:r w:rsidR="00FA4A05" w:rsidRPr="00D26B55">
        <w:rPr>
          <w:b/>
        </w:rPr>
        <w:t xml:space="preserve">kategorie služby a piktogramu konkrétní </w:t>
      </w:r>
      <w:r w:rsidR="00D26B55" w:rsidRPr="00D26B55">
        <w:rPr>
          <w:b/>
        </w:rPr>
        <w:t xml:space="preserve">frázi (tzv. </w:t>
      </w:r>
      <w:r w:rsidRPr="00D26B55">
        <w:rPr>
          <w:b/>
        </w:rPr>
        <w:t>mnemonik</w:t>
      </w:r>
      <w:r w:rsidR="00D26B55" w:rsidRPr="00D26B55">
        <w:rPr>
          <w:b/>
        </w:rPr>
        <w:t>a</w:t>
      </w:r>
      <w:r w:rsidR="003E2729">
        <w:rPr>
          <w:b/>
        </w:rPr>
        <w:t xml:space="preserve"> viz článek 8.2</w:t>
      </w:r>
      <w:r w:rsidR="00D26B55" w:rsidRPr="00D26B55">
        <w:rPr>
          <w:b/>
        </w:rPr>
        <w:t>)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3639"/>
        <w:gridCol w:w="2451"/>
      </w:tblGrid>
      <w:tr w:rsidR="00D66541" w:rsidRPr="009817A7" w14:paraId="4F91514B" w14:textId="77777777" w:rsidTr="00635B65">
        <w:tc>
          <w:tcPr>
            <w:tcW w:w="2972" w:type="dxa"/>
            <w:gridSpan w:val="2"/>
            <w:shd w:val="clear" w:color="auto" w:fill="F2F2F2" w:themeFill="background1" w:themeFillShade="F2"/>
          </w:tcPr>
          <w:p w14:paraId="459A4BF6" w14:textId="77777777" w:rsidR="00D66541" w:rsidRPr="009817A7" w:rsidRDefault="00D66541" w:rsidP="00635B65">
            <w:pPr>
              <w:ind w:leftChars="0" w:left="0" w:firstLineChars="0" w:firstLine="0"/>
              <w:rPr>
                <w:color w:val="000000"/>
                <w:sz w:val="18"/>
                <w:szCs w:val="18"/>
              </w:rPr>
            </w:pPr>
            <w:r w:rsidRPr="009817A7">
              <w:rPr>
                <w:color w:val="000000"/>
                <w:sz w:val="18"/>
                <w:szCs w:val="18"/>
              </w:rPr>
              <w:t>Kód piktogramu</w:t>
            </w:r>
          </w:p>
        </w:tc>
        <w:tc>
          <w:tcPr>
            <w:tcW w:w="3639" w:type="dxa"/>
            <w:shd w:val="clear" w:color="auto" w:fill="F2F2F2" w:themeFill="background1" w:themeFillShade="F2"/>
          </w:tcPr>
          <w:p w14:paraId="4B60EE1D" w14:textId="77777777" w:rsidR="00D66541" w:rsidRPr="009817A7" w:rsidRDefault="00D66541" w:rsidP="00635B65">
            <w:pPr>
              <w:ind w:leftChars="0" w:left="0" w:firstLineChars="0" w:firstLine="0"/>
              <w:rPr>
                <w:color w:val="000000"/>
                <w:sz w:val="18"/>
                <w:szCs w:val="18"/>
              </w:rPr>
            </w:pPr>
            <w:r w:rsidRPr="009817A7">
              <w:rPr>
                <w:color w:val="000000"/>
                <w:sz w:val="18"/>
                <w:szCs w:val="18"/>
              </w:rPr>
              <w:t>Název piktogramu</w:t>
            </w:r>
          </w:p>
        </w:tc>
        <w:tc>
          <w:tcPr>
            <w:tcW w:w="2451" w:type="dxa"/>
            <w:shd w:val="clear" w:color="auto" w:fill="F2F2F2" w:themeFill="background1" w:themeFillShade="F2"/>
          </w:tcPr>
          <w:p w14:paraId="609BAEE4" w14:textId="77777777" w:rsidR="00D66541" w:rsidRPr="009817A7" w:rsidRDefault="00D66541" w:rsidP="00635B65">
            <w:pPr>
              <w:ind w:leftChars="0" w:left="0" w:firstLineChars="0" w:firstLine="0"/>
              <w:rPr>
                <w:color w:val="000000"/>
                <w:sz w:val="18"/>
                <w:szCs w:val="18"/>
              </w:rPr>
            </w:pPr>
            <w:r w:rsidRPr="009817A7">
              <w:rPr>
                <w:color w:val="000000"/>
                <w:sz w:val="18"/>
                <w:szCs w:val="18"/>
              </w:rPr>
              <w:t>mnemonika</w:t>
            </w:r>
          </w:p>
        </w:tc>
      </w:tr>
      <w:tr w:rsidR="00D66541" w:rsidRPr="009817A7" w14:paraId="61C1C70E" w14:textId="77777777" w:rsidTr="00635B65">
        <w:tc>
          <w:tcPr>
            <w:tcW w:w="1413" w:type="dxa"/>
            <w:shd w:val="clear" w:color="auto" w:fill="F2F2F2" w:themeFill="background1" w:themeFillShade="F2"/>
          </w:tcPr>
          <w:p w14:paraId="14E89CBD" w14:textId="77777777" w:rsidR="00D66541" w:rsidRPr="009817A7" w:rsidRDefault="00D66541" w:rsidP="00635B65">
            <w:pPr>
              <w:ind w:leftChars="0" w:left="0" w:firstLineChars="0" w:firstLine="0"/>
              <w:rPr>
                <w:color w:val="000000"/>
                <w:sz w:val="18"/>
                <w:szCs w:val="18"/>
              </w:rPr>
            </w:pPr>
            <w:r w:rsidRPr="009817A7">
              <w:rPr>
                <w:color w:val="000000"/>
                <w:sz w:val="18"/>
                <w:szCs w:val="18"/>
              </w:rPr>
              <w:t>Kód kategorie služby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3AD1C71E" w14:textId="77777777" w:rsidR="00D66541" w:rsidRPr="009817A7" w:rsidRDefault="00D66541" w:rsidP="00635B65">
            <w:pPr>
              <w:ind w:leftChars="0" w:left="0" w:firstLineChars="0" w:firstLine="0"/>
              <w:rPr>
                <w:color w:val="000000"/>
                <w:sz w:val="18"/>
                <w:szCs w:val="18"/>
              </w:rPr>
            </w:pPr>
            <w:r w:rsidRPr="009817A7">
              <w:rPr>
                <w:color w:val="000000"/>
                <w:sz w:val="18"/>
                <w:szCs w:val="18"/>
              </w:rPr>
              <w:t>Kód kategorie piktogramu</w:t>
            </w:r>
          </w:p>
        </w:tc>
        <w:tc>
          <w:tcPr>
            <w:tcW w:w="3639" w:type="dxa"/>
            <w:vMerge w:val="restart"/>
          </w:tcPr>
          <w:p w14:paraId="1CD0962E" w14:textId="77777777" w:rsidR="00D66541" w:rsidRPr="009817A7" w:rsidRDefault="00D66541" w:rsidP="00635B65">
            <w:pPr>
              <w:ind w:left="0" w:hanging="2"/>
              <w:rPr>
                <w:color w:val="000000"/>
                <w:sz w:val="18"/>
                <w:szCs w:val="18"/>
              </w:rPr>
            </w:pPr>
            <w:r w:rsidRPr="009817A7">
              <w:rPr>
                <w:color w:val="000000"/>
              </w:rPr>
              <w:t>Křižovatka, kde je přednost určena pomocí obecného pravidla pro přednost (pravidlo pravé ruky) (křížení)</w:t>
            </w:r>
          </w:p>
        </w:tc>
        <w:tc>
          <w:tcPr>
            <w:tcW w:w="2451" w:type="dxa"/>
            <w:vMerge w:val="restart"/>
          </w:tcPr>
          <w:p w14:paraId="091E12BE" w14:textId="77777777" w:rsidR="00D66541" w:rsidRPr="009817A7" w:rsidRDefault="00D66541" w:rsidP="00635B65">
            <w:pPr>
              <w:ind w:left="0" w:hanging="2"/>
              <w:rPr>
                <w:color w:val="000000"/>
                <w:sz w:val="18"/>
                <w:szCs w:val="18"/>
              </w:rPr>
            </w:pPr>
            <w:r w:rsidRPr="00C62327">
              <w:rPr>
                <w:color w:val="000000"/>
              </w:rPr>
              <w:t>intersectionWherePriority</w:t>
            </w:r>
            <w:r w:rsidRPr="009817A7">
              <w:rPr>
                <w:color w:val="000000"/>
              </w:rPr>
              <w:br/>
            </w:r>
            <w:r w:rsidRPr="00C62327">
              <w:rPr>
                <w:color w:val="000000"/>
              </w:rPr>
              <w:t>IsPrescribedGeneralBy</w:t>
            </w:r>
            <w:r w:rsidRPr="009817A7">
              <w:rPr>
                <w:color w:val="000000"/>
              </w:rPr>
              <w:br/>
            </w:r>
            <w:r w:rsidRPr="00C62327">
              <w:rPr>
                <w:color w:val="000000"/>
              </w:rPr>
              <w:t>P</w:t>
            </w:r>
            <w:r w:rsidRPr="009817A7">
              <w:rPr>
                <w:color w:val="000000"/>
              </w:rPr>
              <w:t>riorityRuleCrossroads</w:t>
            </w:r>
          </w:p>
        </w:tc>
      </w:tr>
      <w:tr w:rsidR="00D66541" w:rsidRPr="009817A7" w14:paraId="2B028BB3" w14:textId="77777777" w:rsidTr="00635B65">
        <w:tc>
          <w:tcPr>
            <w:tcW w:w="1413" w:type="dxa"/>
          </w:tcPr>
          <w:p w14:paraId="61FE6197" w14:textId="77777777" w:rsidR="00D66541" w:rsidRPr="009817A7" w:rsidRDefault="00D66541" w:rsidP="00635B65">
            <w:pPr>
              <w:ind w:leftChars="0" w:left="0" w:firstLineChars="0" w:firstLine="0"/>
              <w:rPr>
                <w:color w:val="000000"/>
              </w:rPr>
            </w:pPr>
            <w:r w:rsidRPr="009817A7">
              <w:rPr>
                <w:color w:val="000000"/>
              </w:rPr>
              <w:t>11</w:t>
            </w:r>
          </w:p>
        </w:tc>
        <w:tc>
          <w:tcPr>
            <w:tcW w:w="1559" w:type="dxa"/>
          </w:tcPr>
          <w:p w14:paraId="76F2C135" w14:textId="77777777" w:rsidR="00D66541" w:rsidRPr="009817A7" w:rsidRDefault="00D66541" w:rsidP="00635B65">
            <w:pPr>
              <w:ind w:leftChars="0" w:left="0" w:firstLineChars="0" w:firstLine="0"/>
              <w:rPr>
                <w:color w:val="000000"/>
              </w:rPr>
            </w:pPr>
            <w:r w:rsidRPr="009817A7">
              <w:rPr>
                <w:color w:val="000000"/>
              </w:rPr>
              <w:t>111</w:t>
            </w:r>
          </w:p>
        </w:tc>
        <w:tc>
          <w:tcPr>
            <w:tcW w:w="3639" w:type="dxa"/>
            <w:vMerge/>
          </w:tcPr>
          <w:p w14:paraId="59EB08E9" w14:textId="77777777" w:rsidR="00D66541" w:rsidRPr="009817A7" w:rsidRDefault="00D66541" w:rsidP="00635B65">
            <w:pPr>
              <w:ind w:leftChars="0" w:left="0" w:firstLineChars="0" w:firstLine="0"/>
              <w:rPr>
                <w:color w:val="000000"/>
              </w:rPr>
            </w:pPr>
          </w:p>
        </w:tc>
        <w:tc>
          <w:tcPr>
            <w:tcW w:w="2451" w:type="dxa"/>
            <w:vMerge/>
          </w:tcPr>
          <w:p w14:paraId="28C1B9D3" w14:textId="77777777" w:rsidR="00D66541" w:rsidRPr="009817A7" w:rsidRDefault="00D66541" w:rsidP="00635B65">
            <w:pPr>
              <w:ind w:leftChars="0" w:left="0" w:firstLineChars="0" w:firstLine="0"/>
              <w:rPr>
                <w:color w:val="000000"/>
              </w:rPr>
            </w:pPr>
          </w:p>
        </w:tc>
      </w:tr>
    </w:tbl>
    <w:p w14:paraId="1BB626C6" w14:textId="77777777" w:rsidR="00D66541" w:rsidRPr="00EE0007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</w:p>
    <w:p w14:paraId="35FA3E1E" w14:textId="77777777" w:rsidR="00D66541" w:rsidRPr="00EE0007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color w:val="000000"/>
        </w:rPr>
      </w:pPr>
      <w:r>
        <w:rPr>
          <w:color w:val="000000"/>
        </w:rPr>
        <w:lastRenderedPageBreak/>
        <w:t>Následující č</w:t>
      </w:r>
      <w:r w:rsidRPr="00DF7AA2">
        <w:rPr>
          <w:color w:val="000000"/>
        </w:rPr>
        <w:t>lán</w:t>
      </w:r>
      <w:r>
        <w:rPr>
          <w:color w:val="000000"/>
        </w:rPr>
        <w:t>ky</w:t>
      </w:r>
      <w:r w:rsidRPr="00DF7AA2">
        <w:rPr>
          <w:color w:val="000000"/>
        </w:rPr>
        <w:t xml:space="preserve"> </w:t>
      </w:r>
      <w:r>
        <w:rPr>
          <w:color w:val="000000"/>
        </w:rPr>
        <w:t>(</w:t>
      </w:r>
      <w:r w:rsidRPr="00EE0007">
        <w:rPr>
          <w:b/>
          <w:bCs/>
          <w:color w:val="000000"/>
        </w:rPr>
        <w:t>8.3–8.9</w:t>
      </w:r>
      <w:r>
        <w:rPr>
          <w:b/>
          <w:bCs/>
          <w:color w:val="000000"/>
        </w:rPr>
        <w:t xml:space="preserve">) </w:t>
      </w:r>
      <w:r w:rsidRPr="004668FF">
        <w:rPr>
          <w:color w:val="000000"/>
        </w:rPr>
        <w:t xml:space="preserve">obsahují definice kódů, </w:t>
      </w:r>
      <w:r>
        <w:rPr>
          <w:color w:val="000000"/>
        </w:rPr>
        <w:t>prostřednictvím rozsáhlé</w:t>
      </w:r>
      <w:r w:rsidRPr="00EE0007">
        <w:rPr>
          <w:color w:val="000000"/>
        </w:rPr>
        <w:t xml:space="preserve"> </w:t>
      </w:r>
      <w:r>
        <w:rPr>
          <w:color w:val="000000"/>
        </w:rPr>
        <w:t xml:space="preserve">tabulky, kde každý kód piktogramu má přiřazený název a mnemoniku, kódy v tabulkách jsou seskupeny s mezerami od desítek do stovek kódů piktogramů vyhrazených pro budoucí použití mezi těmito skupinami. </w:t>
      </w:r>
    </w:p>
    <w:p w14:paraId="5C2DC39D" w14:textId="77777777" w:rsidR="00D66541" w:rsidRPr="004668FF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4668FF">
        <w:rPr>
          <w:color w:val="000000"/>
        </w:rPr>
        <w:t xml:space="preserve">Článek </w:t>
      </w:r>
      <w:r w:rsidRPr="004668FF">
        <w:rPr>
          <w:b/>
          <w:bCs/>
          <w:color w:val="000000"/>
        </w:rPr>
        <w:t xml:space="preserve">8.3 </w:t>
      </w:r>
      <w:r>
        <w:rPr>
          <w:b/>
          <w:bCs/>
          <w:color w:val="000000"/>
        </w:rPr>
        <w:t>výstražné</w:t>
      </w:r>
      <w:r w:rsidRPr="004668FF">
        <w:rPr>
          <w:b/>
          <w:bCs/>
          <w:color w:val="000000"/>
        </w:rPr>
        <w:t xml:space="preserve"> dopravní značky</w:t>
      </w:r>
      <w:r>
        <w:rPr>
          <w:b/>
          <w:bCs/>
          <w:color w:val="000000"/>
        </w:rPr>
        <w:t xml:space="preserve"> </w:t>
      </w:r>
      <w:r w:rsidRPr="004668FF">
        <w:rPr>
          <w:color w:val="000000"/>
        </w:rPr>
        <w:t>(</w:t>
      </w:r>
      <w:r>
        <w:rPr>
          <w:color w:val="000000"/>
        </w:rPr>
        <w:t>k</w:t>
      </w:r>
      <w:r w:rsidRPr="004668FF">
        <w:rPr>
          <w:color w:val="000000"/>
        </w:rPr>
        <w:t>ódy piktogramů 11111–11999</w:t>
      </w:r>
      <w:r>
        <w:rPr>
          <w:b/>
          <w:bCs/>
          <w:color w:val="000000"/>
        </w:rPr>
        <w:t>,</w:t>
      </w:r>
      <w:r w:rsidRPr="004668FF">
        <w:rPr>
          <w:b/>
          <w:bCs/>
          <w:color w:val="000000"/>
        </w:rPr>
        <w:t xml:space="preserve"> </w:t>
      </w:r>
      <w:r w:rsidRPr="004668FF">
        <w:rPr>
          <w:color w:val="000000"/>
        </w:rPr>
        <w:t xml:space="preserve">cca </w:t>
      </w:r>
      <w:r>
        <w:rPr>
          <w:color w:val="000000"/>
        </w:rPr>
        <w:t xml:space="preserve">9 </w:t>
      </w:r>
      <w:r w:rsidRPr="004668FF">
        <w:rPr>
          <w:color w:val="000000"/>
        </w:rPr>
        <w:t xml:space="preserve">stran tabulek) zahrnuje piktogramy používané k </w:t>
      </w:r>
      <w:r w:rsidRPr="004668FF">
        <w:rPr>
          <w:b/>
          <w:bCs/>
          <w:color w:val="000000"/>
        </w:rPr>
        <w:t>předběžnému varování</w:t>
      </w:r>
      <w:r w:rsidRPr="004668FF">
        <w:rPr>
          <w:color w:val="000000"/>
        </w:rPr>
        <w:t xml:space="preserve"> řidičů před nebezpečnými nebo zhoršenými podmínkami na silnici. Patří sem upozornění na překážky, nebezpečné úseky, zvířata, povětrnostní jevy či jiné situace vyžadující zvýšenou pozornost.</w:t>
      </w:r>
    </w:p>
    <w:p w14:paraId="62B63925" w14:textId="77777777" w:rsidR="00D66541" w:rsidRPr="004668FF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4668FF">
        <w:rPr>
          <w:color w:val="000000"/>
        </w:rPr>
        <w:t xml:space="preserve">Článek </w:t>
      </w:r>
      <w:r w:rsidRPr="004668FF">
        <w:rPr>
          <w:b/>
          <w:bCs/>
          <w:color w:val="000000"/>
        </w:rPr>
        <w:t xml:space="preserve">8.4 </w:t>
      </w:r>
      <w:r>
        <w:rPr>
          <w:b/>
          <w:bCs/>
          <w:color w:val="000000"/>
        </w:rPr>
        <w:t xml:space="preserve">regulatorní </w:t>
      </w:r>
      <w:r w:rsidRPr="004668FF">
        <w:rPr>
          <w:b/>
          <w:bCs/>
          <w:color w:val="000000"/>
        </w:rPr>
        <w:t>dopravní značky</w:t>
      </w:r>
      <w:r>
        <w:rPr>
          <w:b/>
          <w:bCs/>
          <w:color w:val="000000"/>
        </w:rPr>
        <w:t xml:space="preserve"> </w:t>
      </w:r>
      <w:r w:rsidRPr="004668FF">
        <w:rPr>
          <w:color w:val="000000"/>
        </w:rPr>
        <w:t>(kódy piktogramů 12111–12999</w:t>
      </w:r>
      <w:r>
        <w:rPr>
          <w:color w:val="000000"/>
        </w:rPr>
        <w:t xml:space="preserve">, </w:t>
      </w:r>
      <w:r w:rsidRPr="004668FF">
        <w:rPr>
          <w:color w:val="000000"/>
        </w:rPr>
        <w:t>cca 1</w:t>
      </w:r>
      <w:r>
        <w:rPr>
          <w:color w:val="000000"/>
        </w:rPr>
        <w:t>0</w:t>
      </w:r>
      <w:r w:rsidRPr="004668FF">
        <w:rPr>
          <w:color w:val="000000"/>
        </w:rPr>
        <w:t xml:space="preserve"> stran tabulek) obsahuje piktogramy vyjadřující </w:t>
      </w:r>
      <w:r w:rsidRPr="004668FF">
        <w:rPr>
          <w:b/>
          <w:bCs/>
          <w:color w:val="000000"/>
        </w:rPr>
        <w:t>povinnosti, zákazy a omezení</w:t>
      </w:r>
      <w:r w:rsidRPr="004668FF">
        <w:rPr>
          <w:color w:val="000000"/>
        </w:rPr>
        <w:t>. Norma je dělí do tří skupin:</w:t>
      </w:r>
    </w:p>
    <w:p w14:paraId="03BB3BDA" w14:textId="335B2E64" w:rsidR="00D66541" w:rsidRPr="004668FF" w:rsidRDefault="31100415" w:rsidP="31100415">
      <w:pPr>
        <w:pStyle w:val="Odstavecseseznamem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contextualSpacing w:val="0"/>
      </w:pPr>
      <w:r>
        <w:t>značky upravující přednost (</w:t>
      </w:r>
      <w:r w:rsidR="005275B7">
        <w:t>12</w:t>
      </w:r>
      <w:r>
        <w:t>111–</w:t>
      </w:r>
      <w:r w:rsidR="005275B7">
        <w:t>12</w:t>
      </w:r>
      <w:r>
        <w:t>399</w:t>
      </w:r>
      <w:r>
        <w:t>),</w:t>
      </w:r>
    </w:p>
    <w:p w14:paraId="40F3D3E4" w14:textId="465A7DBB" w:rsidR="00D66541" w:rsidRPr="004668FF" w:rsidRDefault="00D66541" w:rsidP="00D66541">
      <w:pPr>
        <w:pStyle w:val="Odstavecseseznamem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contextualSpacing w:val="0"/>
      </w:pPr>
      <w:r w:rsidRPr="004668FF">
        <w:t>zákazy a omezení (</w:t>
      </w:r>
      <w:r w:rsidR="005275B7">
        <w:t>12</w:t>
      </w:r>
      <w:r w:rsidRPr="004668FF">
        <w:t>411–</w:t>
      </w:r>
      <w:r w:rsidR="005275B7">
        <w:t>12</w:t>
      </w:r>
      <w:r w:rsidRPr="004668FF">
        <w:t>699),</w:t>
      </w:r>
    </w:p>
    <w:p w14:paraId="6514A66C" w14:textId="64D2B63B" w:rsidR="00D66541" w:rsidRPr="004668FF" w:rsidRDefault="00D66541" w:rsidP="00D66541">
      <w:pPr>
        <w:pStyle w:val="Odstavecseseznamem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contextualSpacing w:val="0"/>
      </w:pPr>
      <w:r w:rsidRPr="004668FF">
        <w:t>příkazové značky (</w:t>
      </w:r>
      <w:r w:rsidR="005275B7">
        <w:t>12</w:t>
      </w:r>
      <w:r w:rsidRPr="004668FF">
        <w:t>711–</w:t>
      </w:r>
      <w:r w:rsidR="005275B7">
        <w:t>12</w:t>
      </w:r>
      <w:r w:rsidRPr="004668FF">
        <w:t>999).</w:t>
      </w:r>
    </w:p>
    <w:p w14:paraId="644159D8" w14:textId="77777777" w:rsidR="00D66541" w:rsidRPr="004668FF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4668FF">
        <w:rPr>
          <w:color w:val="000000"/>
        </w:rPr>
        <w:t xml:space="preserve">Článek </w:t>
      </w:r>
      <w:r w:rsidRPr="004668FF">
        <w:rPr>
          <w:b/>
          <w:bCs/>
          <w:color w:val="000000"/>
        </w:rPr>
        <w:t xml:space="preserve">8.5 </w:t>
      </w:r>
      <w:r>
        <w:rPr>
          <w:b/>
          <w:bCs/>
          <w:color w:val="000000"/>
        </w:rPr>
        <w:t>i</w:t>
      </w:r>
      <w:r w:rsidRPr="004668FF">
        <w:rPr>
          <w:b/>
          <w:bCs/>
          <w:color w:val="000000"/>
        </w:rPr>
        <w:t>nformační dopravní značky</w:t>
      </w:r>
      <w:r w:rsidRPr="005D2241">
        <w:rPr>
          <w:color w:val="000000"/>
        </w:rPr>
        <w:t xml:space="preserve"> </w:t>
      </w:r>
      <w:r>
        <w:rPr>
          <w:color w:val="000000"/>
        </w:rPr>
        <w:t>(k</w:t>
      </w:r>
      <w:r w:rsidRPr="004668FF">
        <w:rPr>
          <w:color w:val="000000"/>
        </w:rPr>
        <w:t>ódy piktogramů 13111–13999</w:t>
      </w:r>
      <w:r>
        <w:rPr>
          <w:color w:val="000000"/>
        </w:rPr>
        <w:t xml:space="preserve">, </w:t>
      </w:r>
      <w:r w:rsidRPr="004668FF">
        <w:rPr>
          <w:color w:val="000000"/>
        </w:rPr>
        <w:t xml:space="preserve">cca 11 stran tabulek) zahrnuje piktogramy poskytující </w:t>
      </w:r>
      <w:r w:rsidRPr="004668FF">
        <w:rPr>
          <w:b/>
          <w:bCs/>
          <w:color w:val="000000"/>
        </w:rPr>
        <w:t>navigační, směrové a obecné informační údaje</w:t>
      </w:r>
      <w:r w:rsidRPr="004668FF">
        <w:rPr>
          <w:color w:val="000000"/>
        </w:rPr>
        <w:t>. Norma je rozděluje do šesti podskupin:</w:t>
      </w:r>
    </w:p>
    <w:p w14:paraId="3A20A0CA" w14:textId="6B84EC2F" w:rsidR="00D66541" w:rsidRPr="004668FF" w:rsidRDefault="00D66541" w:rsidP="00D66541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contextualSpacing w:val="0"/>
      </w:pPr>
      <w:r w:rsidRPr="004668FF">
        <w:t>směrové předběžné informace (</w:t>
      </w:r>
      <w:r w:rsidR="005275B7">
        <w:t>13</w:t>
      </w:r>
      <w:r w:rsidRPr="004668FF">
        <w:t>111–</w:t>
      </w:r>
      <w:r w:rsidR="005275B7">
        <w:t>13</w:t>
      </w:r>
      <w:r w:rsidRPr="004668FF">
        <w:t>399),</w:t>
      </w:r>
    </w:p>
    <w:p w14:paraId="10C53FC0" w14:textId="59511A2C" w:rsidR="00D66541" w:rsidRPr="004668FF" w:rsidRDefault="00D66541" w:rsidP="00D66541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contextualSpacing w:val="0"/>
      </w:pPr>
      <w:r w:rsidRPr="004668FF">
        <w:t>instrukce (</w:t>
      </w:r>
      <w:r w:rsidR="005275B7">
        <w:t>13</w:t>
      </w:r>
      <w:r w:rsidRPr="004668FF">
        <w:t>411–</w:t>
      </w:r>
      <w:r w:rsidR="005275B7">
        <w:t>13</w:t>
      </w:r>
      <w:r w:rsidRPr="004668FF">
        <w:t>499),</w:t>
      </w:r>
    </w:p>
    <w:p w14:paraId="7A2B5E78" w14:textId="6D09844E" w:rsidR="00D66541" w:rsidRPr="004668FF" w:rsidRDefault="00D66541" w:rsidP="00D66541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contextualSpacing w:val="0"/>
      </w:pPr>
      <w:r w:rsidRPr="004668FF">
        <w:t>oznámení (</w:t>
      </w:r>
      <w:r w:rsidR="005275B7">
        <w:t>13</w:t>
      </w:r>
      <w:r w:rsidRPr="004668FF">
        <w:t>511–</w:t>
      </w:r>
      <w:r w:rsidR="005275B7">
        <w:t>13</w:t>
      </w:r>
      <w:r w:rsidRPr="004668FF">
        <w:t>599),</w:t>
      </w:r>
    </w:p>
    <w:p w14:paraId="6CD42ADC" w14:textId="6CC11057" w:rsidR="00D66541" w:rsidRPr="004668FF" w:rsidRDefault="00D66541" w:rsidP="00D66541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contextualSpacing w:val="0"/>
      </w:pPr>
      <w:r w:rsidRPr="004668FF">
        <w:t>vedení jízdních pruhů (</w:t>
      </w:r>
      <w:r w:rsidR="005275B7">
        <w:t>13</w:t>
      </w:r>
      <w:r w:rsidRPr="004668FF">
        <w:t>611–</w:t>
      </w:r>
      <w:r w:rsidR="005275B7">
        <w:t>13</w:t>
      </w:r>
      <w:r w:rsidRPr="004668FF">
        <w:t>699),</w:t>
      </w:r>
    </w:p>
    <w:p w14:paraId="227D3123" w14:textId="434F7C82" w:rsidR="00D66541" w:rsidRPr="004668FF" w:rsidRDefault="00D66541" w:rsidP="00D66541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contextualSpacing w:val="0"/>
      </w:pPr>
      <w:r w:rsidRPr="004668FF">
        <w:t>upozornění (</w:t>
      </w:r>
      <w:r w:rsidR="005275B7">
        <w:t>13</w:t>
      </w:r>
      <w:r w:rsidRPr="004668FF">
        <w:t>711–</w:t>
      </w:r>
      <w:r w:rsidR="005275B7">
        <w:t>13</w:t>
      </w:r>
      <w:r w:rsidRPr="004668FF">
        <w:t>799),</w:t>
      </w:r>
    </w:p>
    <w:p w14:paraId="37D2BEE4" w14:textId="11FCEB50" w:rsidR="00D66541" w:rsidRPr="004668FF" w:rsidRDefault="00D66541" w:rsidP="00D66541">
      <w:pPr>
        <w:pStyle w:val="Odstavecseseznamem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Chars="0" w:firstLineChars="0"/>
        <w:contextualSpacing w:val="0"/>
      </w:pPr>
      <w:r w:rsidRPr="004668FF">
        <w:t>identifikace míst a komunikací (</w:t>
      </w:r>
      <w:r w:rsidR="005275B7">
        <w:t>13</w:t>
      </w:r>
      <w:r w:rsidRPr="004668FF">
        <w:t>811–</w:t>
      </w:r>
      <w:r w:rsidR="005275B7">
        <w:t>13</w:t>
      </w:r>
      <w:r w:rsidRPr="004668FF">
        <w:t>999).</w:t>
      </w:r>
    </w:p>
    <w:p w14:paraId="2AF20CFE" w14:textId="77777777" w:rsidR="00D66541" w:rsidRPr="004668FF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4668FF">
        <w:rPr>
          <w:color w:val="000000"/>
        </w:rPr>
        <w:t xml:space="preserve">Článek </w:t>
      </w:r>
      <w:r w:rsidRPr="004668FF">
        <w:rPr>
          <w:b/>
          <w:bCs/>
          <w:color w:val="000000"/>
        </w:rPr>
        <w:t>8.6 Veřejná zařízení</w:t>
      </w:r>
      <w:r>
        <w:rPr>
          <w:b/>
          <w:bCs/>
          <w:color w:val="000000"/>
        </w:rPr>
        <w:t xml:space="preserve"> </w:t>
      </w:r>
      <w:r w:rsidRPr="005D2241">
        <w:rPr>
          <w:color w:val="000000"/>
        </w:rPr>
        <w:t>(k</w:t>
      </w:r>
      <w:r w:rsidRPr="004668FF">
        <w:rPr>
          <w:color w:val="000000"/>
        </w:rPr>
        <w:t>ódy piktogramů 21111–21999</w:t>
      </w:r>
      <w:r>
        <w:rPr>
          <w:color w:val="000000"/>
        </w:rPr>
        <w:t xml:space="preserve">, </w:t>
      </w:r>
      <w:r w:rsidRPr="004668FF">
        <w:rPr>
          <w:color w:val="000000"/>
        </w:rPr>
        <w:t xml:space="preserve">cca 3 strany tabulek) obsahuje piktogramy označující </w:t>
      </w:r>
      <w:r w:rsidRPr="004668FF">
        <w:rPr>
          <w:b/>
          <w:bCs/>
          <w:color w:val="000000"/>
        </w:rPr>
        <w:t>veřejné služby a zařízení</w:t>
      </w:r>
      <w:r w:rsidRPr="004668FF">
        <w:rPr>
          <w:color w:val="000000"/>
        </w:rPr>
        <w:t>, jako jsou parkoviště, čerpací stanice, restaurace, nemocnice, toalety apod.</w:t>
      </w:r>
      <w:r>
        <w:rPr>
          <w:color w:val="000000"/>
        </w:rPr>
        <w:t xml:space="preserve"> </w:t>
      </w:r>
    </w:p>
    <w:p w14:paraId="22E92FC9" w14:textId="77777777" w:rsidR="00D66541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4668FF">
        <w:rPr>
          <w:color w:val="000000"/>
        </w:rPr>
        <w:t xml:space="preserve">Článek </w:t>
      </w:r>
      <w:r w:rsidRPr="004668FF">
        <w:rPr>
          <w:b/>
          <w:bCs/>
          <w:color w:val="000000"/>
        </w:rPr>
        <w:t>8.7 Podmínky prostředí</w:t>
      </w:r>
      <w:r>
        <w:rPr>
          <w:b/>
          <w:bCs/>
          <w:color w:val="000000"/>
        </w:rPr>
        <w:t xml:space="preserve"> </w:t>
      </w:r>
      <w:r w:rsidRPr="005D2241">
        <w:rPr>
          <w:color w:val="000000"/>
        </w:rPr>
        <w:t>(k</w:t>
      </w:r>
      <w:r w:rsidRPr="004668FF">
        <w:rPr>
          <w:color w:val="000000"/>
        </w:rPr>
        <w:t>ódy piktogramů 31111–31999</w:t>
      </w:r>
      <w:r w:rsidRPr="005D2241">
        <w:rPr>
          <w:color w:val="000000"/>
        </w:rPr>
        <w:t xml:space="preserve">, </w:t>
      </w:r>
      <w:r w:rsidRPr="004668FF">
        <w:rPr>
          <w:color w:val="000000"/>
        </w:rPr>
        <w:t xml:space="preserve">cca 2 strany tabulek) zahrnuje piktogramy upozorňující na </w:t>
      </w:r>
      <w:r w:rsidRPr="004668FF">
        <w:rPr>
          <w:b/>
          <w:bCs/>
          <w:color w:val="000000"/>
        </w:rPr>
        <w:t>povětrnostní a jiné environmentální podmínky</w:t>
      </w:r>
      <w:r w:rsidRPr="004668FF">
        <w:rPr>
          <w:color w:val="000000"/>
        </w:rPr>
        <w:t>, které mohou ovlivnit dopravu (např. déšť, mlha, vítr, sníh).</w:t>
      </w:r>
    </w:p>
    <w:p w14:paraId="66DAFEBE" w14:textId="77777777" w:rsidR="00D66541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4668FF">
        <w:rPr>
          <w:color w:val="000000"/>
        </w:rPr>
        <w:t xml:space="preserve">Článek </w:t>
      </w:r>
      <w:r w:rsidRPr="004668FF">
        <w:rPr>
          <w:b/>
          <w:bCs/>
          <w:color w:val="000000"/>
        </w:rPr>
        <w:t xml:space="preserve">8.8 Stav vozovky </w:t>
      </w:r>
      <w:r>
        <w:rPr>
          <w:color w:val="000000"/>
        </w:rPr>
        <w:t>(</w:t>
      </w:r>
      <w:r w:rsidRPr="004668FF">
        <w:rPr>
          <w:color w:val="000000"/>
        </w:rPr>
        <w:t>Kódy piktogramů 32111–32999</w:t>
      </w:r>
      <w:r>
        <w:rPr>
          <w:color w:val="000000"/>
        </w:rPr>
        <w:t xml:space="preserve">, </w:t>
      </w:r>
      <w:r w:rsidRPr="004668FF">
        <w:rPr>
          <w:color w:val="000000"/>
        </w:rPr>
        <w:t xml:space="preserve">cca 1 strana tabulek) obsahuje piktogramy informující o </w:t>
      </w:r>
      <w:r w:rsidRPr="004668FF">
        <w:rPr>
          <w:b/>
          <w:bCs/>
          <w:color w:val="000000"/>
        </w:rPr>
        <w:t>stavu povrchu vozovky</w:t>
      </w:r>
      <w:r w:rsidRPr="004668FF">
        <w:rPr>
          <w:color w:val="000000"/>
        </w:rPr>
        <w:t xml:space="preserve"> a událostech na trase (např. nehody, kolony, uzavírky, kluzká vozovka).</w:t>
      </w:r>
    </w:p>
    <w:p w14:paraId="7A6BBF39" w14:textId="77777777" w:rsidR="00D66541" w:rsidRPr="00CF6E5B" w:rsidRDefault="00D66541" w:rsidP="00D66541">
      <w:pPr>
        <w:pStyle w:val="Nadpis1"/>
        <w:ind w:hanging="2"/>
      </w:pPr>
      <w:r>
        <w:t xml:space="preserve">Příloha </w:t>
      </w:r>
      <w:r w:rsidRPr="00CF6E5B">
        <w:t>A – ASN.1 popis GDD (verze 2)</w:t>
      </w:r>
    </w:p>
    <w:p w14:paraId="1293E5BF" w14:textId="3C2424C5" w:rsidR="00D66541" w:rsidRPr="00CF6E5B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CF6E5B">
        <w:rPr>
          <w:color w:val="000000"/>
        </w:rPr>
        <w:t xml:space="preserve">Příloha </w:t>
      </w:r>
      <w:r w:rsidR="00C62688">
        <w:rPr>
          <w:color w:val="000000"/>
        </w:rPr>
        <w:t xml:space="preserve">pomocí </w:t>
      </w:r>
      <w:r w:rsidRPr="00CF6E5B">
        <w:rPr>
          <w:color w:val="000000"/>
        </w:rPr>
        <w:t>1</w:t>
      </w:r>
      <w:r>
        <w:rPr>
          <w:color w:val="000000"/>
        </w:rPr>
        <w:t xml:space="preserve"> odstav</w:t>
      </w:r>
      <w:r w:rsidR="00C62688">
        <w:rPr>
          <w:color w:val="000000"/>
        </w:rPr>
        <w:t>ce</w:t>
      </w:r>
      <w:r w:rsidRPr="00CF6E5B">
        <w:rPr>
          <w:color w:val="000000"/>
        </w:rPr>
        <w:t xml:space="preserve"> o</w:t>
      </w:r>
      <w:r>
        <w:rPr>
          <w:color w:val="000000"/>
        </w:rPr>
        <w:t xml:space="preserve">dkazuje na </w:t>
      </w:r>
      <w:r w:rsidRPr="00CF6E5B">
        <w:rPr>
          <w:color w:val="000000"/>
        </w:rPr>
        <w:t xml:space="preserve">kompletní formální definici GDD ve verzi 2 pomocí ASN.1. </w:t>
      </w:r>
      <w:r>
        <w:rPr>
          <w:color w:val="000000"/>
        </w:rPr>
        <w:t xml:space="preserve">udržovanou na </w:t>
      </w:r>
      <w:hyperlink r:id="rId13" w:history="1">
        <w:r w:rsidRPr="009B3716">
          <w:rPr>
            <w:rStyle w:val="Hypertextovodkaz"/>
          </w:rPr>
          <w:t>https://standards.iso.org/iso/14823/-1/ed-1/en/</w:t>
        </w:r>
      </w:hyperlink>
      <w:r>
        <w:rPr>
          <w:color w:val="000000"/>
        </w:rPr>
        <w:t xml:space="preserve">. </w:t>
      </w:r>
    </w:p>
    <w:p w14:paraId="4EE18390" w14:textId="77777777" w:rsidR="00D66541" w:rsidRPr="00CF6E5B" w:rsidRDefault="00D66541" w:rsidP="00D66541">
      <w:pPr>
        <w:pStyle w:val="Nadpis1"/>
        <w:ind w:hanging="2"/>
      </w:pPr>
      <w:r>
        <w:t xml:space="preserve">Příloha </w:t>
      </w:r>
      <w:r w:rsidRPr="00CF6E5B">
        <w:t>B – Atributy GDD (verze 2)</w:t>
      </w:r>
    </w:p>
    <w:p w14:paraId="3C81077A" w14:textId="4A55457C" w:rsidR="00D66541" w:rsidRPr="00CF6E5B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CF6E5B">
        <w:rPr>
          <w:color w:val="000000"/>
        </w:rPr>
        <w:t>Příloha</w:t>
      </w:r>
      <w:r w:rsidR="00C62688">
        <w:rPr>
          <w:color w:val="000000"/>
        </w:rPr>
        <w:t>,</w:t>
      </w:r>
      <w:r w:rsidRPr="00CF6E5B">
        <w:rPr>
          <w:color w:val="000000"/>
        </w:rPr>
        <w:t xml:space="preserve"> </w:t>
      </w:r>
      <w:r w:rsidR="00C62688">
        <w:rPr>
          <w:color w:val="000000"/>
        </w:rPr>
        <w:t xml:space="preserve">v rozsahu </w:t>
      </w:r>
      <w:r w:rsidRPr="00CF6E5B">
        <w:rPr>
          <w:color w:val="000000"/>
        </w:rPr>
        <w:t>10 stran</w:t>
      </w:r>
      <w:r w:rsidR="00C62688">
        <w:rPr>
          <w:color w:val="000000"/>
        </w:rPr>
        <w:t>,</w:t>
      </w:r>
      <w:r w:rsidRPr="00CF6E5B">
        <w:rPr>
          <w:color w:val="000000"/>
        </w:rPr>
        <w:t xml:space="preserve"> </w:t>
      </w:r>
      <w:r>
        <w:rPr>
          <w:color w:val="000000"/>
        </w:rPr>
        <w:t xml:space="preserve">obsahuje </w:t>
      </w:r>
      <w:r w:rsidRPr="00CF6E5B">
        <w:rPr>
          <w:color w:val="000000"/>
        </w:rPr>
        <w:t>defin</w:t>
      </w:r>
      <w:r>
        <w:rPr>
          <w:color w:val="000000"/>
        </w:rPr>
        <w:t xml:space="preserve">ici </w:t>
      </w:r>
      <w:r w:rsidRPr="00CF6E5B">
        <w:rPr>
          <w:color w:val="000000"/>
        </w:rPr>
        <w:t>atributů použitelných s piktogramy ve verzi 2, včetně jejich typů, rozsahů a významu. Obsahuje také tabulky hodnot (např. směry, vzdálenosti, časové údaje). Slouží jako referenční katalog pro interpretaci doplňujících informací.</w:t>
      </w:r>
    </w:p>
    <w:p w14:paraId="3D0896D5" w14:textId="77777777" w:rsidR="00D66541" w:rsidRPr="00CF6E5B" w:rsidRDefault="00D66541" w:rsidP="00D66541">
      <w:pPr>
        <w:pStyle w:val="Nadpis1"/>
        <w:ind w:hanging="2"/>
      </w:pPr>
      <w:r>
        <w:t xml:space="preserve">Příloha </w:t>
      </w:r>
      <w:r w:rsidRPr="00CF6E5B">
        <w:t>C – UML diagram GDD (verze 2)</w:t>
      </w:r>
    </w:p>
    <w:p w14:paraId="0D8F361C" w14:textId="1A73EBDC" w:rsidR="00D66541" w:rsidRPr="00CF6E5B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CF6E5B">
        <w:rPr>
          <w:color w:val="000000"/>
        </w:rPr>
        <w:t>Příloha</w:t>
      </w:r>
      <w:r w:rsidR="00C62688">
        <w:rPr>
          <w:color w:val="000000"/>
        </w:rPr>
        <w:t>,</w:t>
      </w:r>
      <w:r w:rsidRPr="00CF6E5B">
        <w:rPr>
          <w:color w:val="000000"/>
        </w:rPr>
        <w:t xml:space="preserve"> </w:t>
      </w:r>
      <w:r w:rsidR="00C62688">
        <w:rPr>
          <w:color w:val="000000"/>
        </w:rPr>
        <w:t xml:space="preserve">v rozsahu </w:t>
      </w:r>
      <w:r>
        <w:rPr>
          <w:color w:val="000000"/>
        </w:rPr>
        <w:t>3</w:t>
      </w:r>
      <w:r w:rsidRPr="00CF6E5B">
        <w:rPr>
          <w:color w:val="000000"/>
        </w:rPr>
        <w:t xml:space="preserve"> stran</w:t>
      </w:r>
      <w:r w:rsidR="00C62688">
        <w:rPr>
          <w:color w:val="000000"/>
        </w:rPr>
        <w:t>,</w:t>
      </w:r>
      <w:r>
        <w:rPr>
          <w:color w:val="000000"/>
        </w:rPr>
        <w:t xml:space="preserve"> obsahuje 4 schémata U</w:t>
      </w:r>
      <w:r w:rsidRPr="00CF6E5B">
        <w:rPr>
          <w:color w:val="000000"/>
        </w:rPr>
        <w:t>ML model</w:t>
      </w:r>
      <w:r>
        <w:rPr>
          <w:color w:val="000000"/>
        </w:rPr>
        <w:t>ů</w:t>
      </w:r>
      <w:r w:rsidRPr="00CF6E5B">
        <w:rPr>
          <w:color w:val="000000"/>
        </w:rPr>
        <w:t xml:space="preserve"> struktur GDD verze 2. Diagramy znázorňují vztahy mezi piktogramy, atributy, specializacemi a OID. Slouží jako vizuální doplněk k ASN.1 definici.</w:t>
      </w:r>
    </w:p>
    <w:p w14:paraId="4A1B83A6" w14:textId="77777777" w:rsidR="00D66541" w:rsidRPr="00CF6E5B" w:rsidRDefault="00D66541" w:rsidP="00D66541">
      <w:pPr>
        <w:pStyle w:val="Nadpis1"/>
        <w:ind w:hanging="2"/>
      </w:pPr>
      <w:r>
        <w:lastRenderedPageBreak/>
        <w:t xml:space="preserve">Příloha </w:t>
      </w:r>
      <w:r w:rsidRPr="00CF6E5B">
        <w:t>D – Specializace (verze 2)</w:t>
      </w:r>
    </w:p>
    <w:p w14:paraId="1C9648FB" w14:textId="2BA4BCFD" w:rsidR="00D66541" w:rsidRPr="00CF6E5B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CF6E5B">
        <w:rPr>
          <w:color w:val="000000"/>
        </w:rPr>
        <w:t>Příloha</w:t>
      </w:r>
      <w:r w:rsidR="00C62688">
        <w:rPr>
          <w:color w:val="000000"/>
        </w:rPr>
        <w:t>,</w:t>
      </w:r>
      <w:r w:rsidR="00C62688" w:rsidRPr="00CF6E5B">
        <w:rPr>
          <w:color w:val="000000"/>
        </w:rPr>
        <w:t xml:space="preserve"> </w:t>
      </w:r>
      <w:r w:rsidR="00C62688">
        <w:rPr>
          <w:color w:val="000000"/>
        </w:rPr>
        <w:t xml:space="preserve">v rozsahu </w:t>
      </w:r>
      <w:r w:rsidR="00C62688">
        <w:rPr>
          <w:color w:val="000000"/>
        </w:rPr>
        <w:t>2</w:t>
      </w:r>
      <w:r w:rsidR="00C62688" w:rsidRPr="00CF6E5B">
        <w:rPr>
          <w:color w:val="000000"/>
        </w:rPr>
        <w:t xml:space="preserve"> stran</w:t>
      </w:r>
      <w:r w:rsidR="00C62688">
        <w:rPr>
          <w:color w:val="000000"/>
        </w:rPr>
        <w:t xml:space="preserve">, </w:t>
      </w:r>
      <w:r w:rsidRPr="00CF6E5B">
        <w:rPr>
          <w:color w:val="000000"/>
        </w:rPr>
        <w:t>popisuje mechanismus specializací, tedy způsob, jak vytvářet odvozené piktogramy nebo regionální varianty bez narušení základní struktury GDD. Uvádí pravidla pro rozšiřování OID stromu.</w:t>
      </w:r>
    </w:p>
    <w:p w14:paraId="4C7A7836" w14:textId="77777777" w:rsidR="00D66541" w:rsidRPr="00CF6E5B" w:rsidRDefault="00D66541" w:rsidP="00D66541">
      <w:pPr>
        <w:pStyle w:val="Nadpis1"/>
        <w:ind w:hanging="2"/>
      </w:pPr>
      <w:r>
        <w:t xml:space="preserve">Příloha </w:t>
      </w:r>
      <w:r w:rsidRPr="00CF6E5B">
        <w:t>E – ASN.1 popis GDD (verze 1)</w:t>
      </w:r>
    </w:p>
    <w:p w14:paraId="11627DD8" w14:textId="5C4646E6" w:rsidR="00D66541" w:rsidRPr="00CF6E5B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CF6E5B">
        <w:rPr>
          <w:color w:val="000000"/>
        </w:rPr>
        <w:t xml:space="preserve">Příloha </w:t>
      </w:r>
      <w:r w:rsidR="00C62688">
        <w:rPr>
          <w:color w:val="000000"/>
        </w:rPr>
        <w:t xml:space="preserve">pomocí </w:t>
      </w:r>
      <w:r w:rsidRPr="00CF6E5B">
        <w:rPr>
          <w:color w:val="000000"/>
        </w:rPr>
        <w:t xml:space="preserve">1 </w:t>
      </w:r>
      <w:r>
        <w:rPr>
          <w:color w:val="000000"/>
        </w:rPr>
        <w:t>odstavc</w:t>
      </w:r>
      <w:r w:rsidR="00C62688">
        <w:rPr>
          <w:color w:val="000000"/>
        </w:rPr>
        <w:t>e</w:t>
      </w:r>
      <w:r w:rsidRPr="00CF6E5B">
        <w:rPr>
          <w:color w:val="000000"/>
        </w:rPr>
        <w:t xml:space="preserve"> </w:t>
      </w:r>
      <w:r>
        <w:rPr>
          <w:color w:val="000000"/>
        </w:rPr>
        <w:t>odkazuje na</w:t>
      </w:r>
      <w:r w:rsidRPr="00CF6E5B">
        <w:rPr>
          <w:color w:val="000000"/>
        </w:rPr>
        <w:t xml:space="preserve"> </w:t>
      </w:r>
      <w:r>
        <w:rPr>
          <w:color w:val="000000"/>
        </w:rPr>
        <w:t xml:space="preserve">url s </w:t>
      </w:r>
      <w:r w:rsidRPr="00CF6E5B">
        <w:rPr>
          <w:color w:val="000000"/>
        </w:rPr>
        <w:t>původní ASN.1 definic</w:t>
      </w:r>
      <w:r>
        <w:rPr>
          <w:color w:val="000000"/>
        </w:rPr>
        <w:t>í</w:t>
      </w:r>
      <w:r w:rsidRPr="00CF6E5B">
        <w:rPr>
          <w:color w:val="000000"/>
        </w:rPr>
        <w:t xml:space="preserve"> GDD z ISO 14823:2017. Slouží pro zpětnou kompatibilitu a podporu starších implementací, které používají kód země místo relativního OID.</w:t>
      </w:r>
      <w:r>
        <w:rPr>
          <w:color w:val="000000"/>
        </w:rPr>
        <w:t xml:space="preserve"> </w:t>
      </w:r>
    </w:p>
    <w:p w14:paraId="0A82933A" w14:textId="77777777" w:rsidR="00D66541" w:rsidRPr="00CF6E5B" w:rsidRDefault="00D66541" w:rsidP="00D66541">
      <w:pPr>
        <w:pStyle w:val="Nadpis1"/>
        <w:ind w:hanging="2"/>
      </w:pPr>
      <w:r>
        <w:t xml:space="preserve">Příloha </w:t>
      </w:r>
      <w:r w:rsidRPr="00CF6E5B">
        <w:t>F – Atributy GDD (verze 1)</w:t>
      </w:r>
    </w:p>
    <w:p w14:paraId="4E56BDAF" w14:textId="5EAECADE" w:rsidR="00D66541" w:rsidRPr="00CF6E5B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CF6E5B">
        <w:rPr>
          <w:color w:val="000000"/>
        </w:rPr>
        <w:t>Příloha</w:t>
      </w:r>
      <w:r w:rsidR="00C62688">
        <w:rPr>
          <w:color w:val="000000"/>
        </w:rPr>
        <w:t>,</w:t>
      </w:r>
      <w:r w:rsidR="00C62688" w:rsidRPr="00CF6E5B">
        <w:rPr>
          <w:color w:val="000000"/>
        </w:rPr>
        <w:t xml:space="preserve"> </w:t>
      </w:r>
      <w:r w:rsidR="00C62688">
        <w:rPr>
          <w:color w:val="000000"/>
        </w:rPr>
        <w:t xml:space="preserve">v rozsahu </w:t>
      </w:r>
      <w:r w:rsidR="00C62688">
        <w:rPr>
          <w:color w:val="000000"/>
        </w:rPr>
        <w:t>6</w:t>
      </w:r>
      <w:r w:rsidR="00C62688" w:rsidRPr="00CF6E5B">
        <w:rPr>
          <w:color w:val="000000"/>
        </w:rPr>
        <w:t xml:space="preserve"> stran</w:t>
      </w:r>
      <w:r w:rsidR="00C62688">
        <w:rPr>
          <w:color w:val="000000"/>
        </w:rPr>
        <w:t xml:space="preserve">, </w:t>
      </w:r>
      <w:r w:rsidRPr="00CF6E5B">
        <w:rPr>
          <w:color w:val="000000"/>
        </w:rPr>
        <w:t>uvádí seznam atributů používaných ve verzi 1. Struktura je jednodušší než ve verzi 2 a odpovídá původnímu modelu z roku 2017. Obsahuje tabulky hodnot pro směry, vzdálenosti a další doplňující údaje.</w:t>
      </w:r>
    </w:p>
    <w:p w14:paraId="70B7C374" w14:textId="77777777" w:rsidR="00D66541" w:rsidRPr="00CF6E5B" w:rsidRDefault="00D66541" w:rsidP="00D66541">
      <w:pPr>
        <w:pStyle w:val="Nadpis1"/>
        <w:ind w:hanging="2"/>
      </w:pPr>
      <w:r>
        <w:t xml:space="preserve">Příloha </w:t>
      </w:r>
      <w:r w:rsidRPr="00CF6E5B">
        <w:t>G – UML diagram GDD (verze 1)</w:t>
      </w:r>
    </w:p>
    <w:p w14:paraId="54D23406" w14:textId="58984CBC" w:rsidR="00D66541" w:rsidRPr="00CF6E5B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CF6E5B">
        <w:rPr>
          <w:color w:val="000000"/>
        </w:rPr>
        <w:t>Příloha</w:t>
      </w:r>
      <w:r w:rsidR="00C62688">
        <w:rPr>
          <w:color w:val="000000"/>
        </w:rPr>
        <w:t>,</w:t>
      </w:r>
      <w:r w:rsidR="00C62688" w:rsidRPr="00CF6E5B">
        <w:rPr>
          <w:color w:val="000000"/>
        </w:rPr>
        <w:t xml:space="preserve"> </w:t>
      </w:r>
      <w:r w:rsidR="00C62688">
        <w:rPr>
          <w:color w:val="000000"/>
        </w:rPr>
        <w:t xml:space="preserve">v rozsahu </w:t>
      </w:r>
      <w:r w:rsidR="00C62688">
        <w:rPr>
          <w:color w:val="000000"/>
        </w:rPr>
        <w:t>1</w:t>
      </w:r>
      <w:r w:rsidR="00C62688" w:rsidRPr="00CF6E5B">
        <w:rPr>
          <w:color w:val="000000"/>
        </w:rPr>
        <w:t xml:space="preserve"> stran</w:t>
      </w:r>
      <w:r w:rsidR="00C62688">
        <w:rPr>
          <w:color w:val="000000"/>
        </w:rPr>
        <w:t>a</w:t>
      </w:r>
      <w:r w:rsidR="00C62688">
        <w:rPr>
          <w:color w:val="000000"/>
        </w:rPr>
        <w:t xml:space="preserve">, </w:t>
      </w:r>
      <w:r w:rsidRPr="00CF6E5B">
        <w:rPr>
          <w:color w:val="000000"/>
        </w:rPr>
        <w:t xml:space="preserve">obsahuje </w:t>
      </w:r>
      <w:r>
        <w:rPr>
          <w:color w:val="000000"/>
        </w:rPr>
        <w:t xml:space="preserve">1 </w:t>
      </w:r>
      <w:r w:rsidRPr="00CF6E5B">
        <w:rPr>
          <w:color w:val="000000"/>
        </w:rPr>
        <w:t>UML model původní verze GDD. Slouží jako vizuální dokumentace staršího modelu.</w:t>
      </w:r>
    </w:p>
    <w:p w14:paraId="1F229FD3" w14:textId="77777777" w:rsidR="00D66541" w:rsidRPr="00CF6E5B" w:rsidRDefault="00D66541" w:rsidP="00D66541">
      <w:pPr>
        <w:pStyle w:val="Nadpis1"/>
        <w:ind w:hanging="2"/>
      </w:pPr>
      <w:r>
        <w:t xml:space="preserve">Příloha </w:t>
      </w:r>
      <w:r w:rsidRPr="00CF6E5B">
        <w:t>H – Seznam směrů v místě rozdělení komunikace</w:t>
      </w:r>
    </w:p>
    <w:p w14:paraId="0E5A2CBC" w14:textId="262A3181" w:rsidR="00D66541" w:rsidRPr="00CF6E5B" w:rsidRDefault="31100415" w:rsidP="31100415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31100415">
        <w:rPr>
          <w:color w:val="000000" w:themeColor="text1"/>
        </w:rPr>
        <w:t>Příloha</w:t>
      </w:r>
      <w:r w:rsidR="00C62688">
        <w:rPr>
          <w:color w:val="000000"/>
        </w:rPr>
        <w:t>,</w:t>
      </w:r>
      <w:r w:rsidR="00C62688" w:rsidRPr="00CF6E5B">
        <w:rPr>
          <w:color w:val="000000"/>
        </w:rPr>
        <w:t xml:space="preserve"> </w:t>
      </w:r>
      <w:r w:rsidR="00C62688">
        <w:rPr>
          <w:color w:val="000000"/>
        </w:rPr>
        <w:t xml:space="preserve">v rozsahu </w:t>
      </w:r>
      <w:r w:rsidR="00C62688">
        <w:rPr>
          <w:color w:val="000000"/>
        </w:rPr>
        <w:t>5</w:t>
      </w:r>
      <w:r w:rsidR="00C62688" w:rsidRPr="00CF6E5B">
        <w:rPr>
          <w:color w:val="000000"/>
        </w:rPr>
        <w:t xml:space="preserve"> stran</w:t>
      </w:r>
      <w:r w:rsidR="00C62688">
        <w:rPr>
          <w:color w:val="000000"/>
        </w:rPr>
        <w:t xml:space="preserve">, </w:t>
      </w:r>
      <w:r w:rsidRPr="31100415">
        <w:rPr>
          <w:color w:val="000000" w:themeColor="text1"/>
        </w:rPr>
        <w:t>obsahuje jednu rozsáhlou tabulku číselných hodnot pro směrové informace používané u piktogramů, zejména v kontextu rozdělení jízdních pruhů nebo větvení komunikace. Tyto hodnoty se používají jako atributy.</w:t>
      </w:r>
    </w:p>
    <w:p w14:paraId="3472DBEC" w14:textId="77777777" w:rsidR="00D66541" w:rsidRPr="00CF6E5B" w:rsidRDefault="00D66541" w:rsidP="00D66541">
      <w:pPr>
        <w:pStyle w:val="Nadpis1"/>
        <w:ind w:hanging="2"/>
      </w:pPr>
      <w:r>
        <w:t xml:space="preserve">Příloha </w:t>
      </w:r>
      <w:r w:rsidRPr="00CF6E5B">
        <w:t>I – Příklad datové sady GDD pro OSN a vybrané státy</w:t>
      </w:r>
    </w:p>
    <w:p w14:paraId="356BCC58" w14:textId="1860221E" w:rsidR="00D66541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CF6E5B">
        <w:rPr>
          <w:color w:val="000000"/>
        </w:rPr>
        <w:t>Příloha</w:t>
      </w:r>
      <w:r w:rsidR="00C62688">
        <w:rPr>
          <w:color w:val="000000"/>
        </w:rPr>
        <w:t>,</w:t>
      </w:r>
      <w:r w:rsidR="00C62688" w:rsidRPr="00CF6E5B">
        <w:rPr>
          <w:color w:val="000000"/>
        </w:rPr>
        <w:t xml:space="preserve"> </w:t>
      </w:r>
      <w:r w:rsidR="00C62688">
        <w:rPr>
          <w:color w:val="000000"/>
        </w:rPr>
        <w:t xml:space="preserve">v rozsahu </w:t>
      </w:r>
      <w:r w:rsidR="00C62688">
        <w:rPr>
          <w:color w:val="000000"/>
        </w:rPr>
        <w:t>1/2</w:t>
      </w:r>
      <w:r w:rsidR="00C62688" w:rsidRPr="00CF6E5B">
        <w:rPr>
          <w:color w:val="000000"/>
        </w:rPr>
        <w:t xml:space="preserve"> stran</w:t>
      </w:r>
      <w:r w:rsidR="00C62688">
        <w:rPr>
          <w:color w:val="000000"/>
        </w:rPr>
        <w:t>y</w:t>
      </w:r>
      <w:r w:rsidR="00C62688">
        <w:rPr>
          <w:color w:val="000000"/>
        </w:rPr>
        <w:t xml:space="preserve">, </w:t>
      </w:r>
      <w:r>
        <w:rPr>
          <w:color w:val="000000"/>
        </w:rPr>
        <w:t xml:space="preserve">odkazuje na url s </w:t>
      </w:r>
      <w:r w:rsidRPr="00CF6E5B">
        <w:rPr>
          <w:color w:val="000000"/>
        </w:rPr>
        <w:t>ilustrativní</w:t>
      </w:r>
      <w:r>
        <w:rPr>
          <w:color w:val="000000"/>
        </w:rPr>
        <w:t>mi</w:t>
      </w:r>
      <w:r w:rsidRPr="00CF6E5B">
        <w:rPr>
          <w:color w:val="000000"/>
        </w:rPr>
        <w:t xml:space="preserve"> příklady piktogramových kódů pro OSN a několik států. Slouží jako demonstrační ukázka, jak mohou být národní varianty začleněny do GDD.</w:t>
      </w:r>
    </w:p>
    <w:p w14:paraId="038B1D1F" w14:textId="77777777" w:rsidR="00D66541" w:rsidRDefault="00D66541" w:rsidP="00D66541">
      <w:pPr>
        <w:pStyle w:val="Nadpis1"/>
        <w:ind w:hanging="2"/>
      </w:pPr>
      <w:r>
        <w:t xml:space="preserve">Příloha J </w:t>
      </w:r>
      <w:r w:rsidRPr="00CF6E5B">
        <w:t xml:space="preserve">– </w:t>
      </w:r>
      <w:r>
        <w:t>Vazba OID na kód piktogramu (verze 1)</w:t>
      </w:r>
    </w:p>
    <w:p w14:paraId="0AE8D6E0" w14:textId="0B4D2F31" w:rsidR="00D66541" w:rsidRPr="002C2F83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2C2F83">
        <w:rPr>
          <w:color w:val="000000"/>
        </w:rPr>
        <w:t>Příloha</w:t>
      </w:r>
      <w:r w:rsidR="00C62688">
        <w:rPr>
          <w:color w:val="000000"/>
        </w:rPr>
        <w:t>,</w:t>
      </w:r>
      <w:r w:rsidR="00C62688" w:rsidRPr="00CF6E5B">
        <w:rPr>
          <w:color w:val="000000"/>
        </w:rPr>
        <w:t xml:space="preserve"> </w:t>
      </w:r>
      <w:r w:rsidR="00C62688">
        <w:rPr>
          <w:color w:val="000000"/>
        </w:rPr>
        <w:t xml:space="preserve">v rozsahu </w:t>
      </w:r>
      <w:r w:rsidR="00C62688">
        <w:rPr>
          <w:color w:val="000000"/>
        </w:rPr>
        <w:t>2</w:t>
      </w:r>
      <w:r w:rsidR="00C62688" w:rsidRPr="00CF6E5B">
        <w:rPr>
          <w:color w:val="000000"/>
        </w:rPr>
        <w:t xml:space="preserve"> stran</w:t>
      </w:r>
      <w:r w:rsidR="00C62688">
        <w:rPr>
          <w:color w:val="000000"/>
        </w:rPr>
        <w:t>y</w:t>
      </w:r>
      <w:r w:rsidR="00C62688">
        <w:rPr>
          <w:color w:val="000000"/>
        </w:rPr>
        <w:t xml:space="preserve">, </w:t>
      </w:r>
      <w:r w:rsidRPr="002C2F83">
        <w:rPr>
          <w:color w:val="000000"/>
        </w:rPr>
        <w:t xml:space="preserve">poskytuje informativní přehled vazeb mezi piktogramovými kódy verze 1 a jejich odpovídajícími uzly v OID stromu. Uvádí, jak lze původní číselné kódy (verze 1) mapovat na strukturu OID používanou ve verzi 2, a tím umožnit porovnání nebo převod mezi oběma verzemi GDD. Příloha slouží jako </w:t>
      </w:r>
      <w:r w:rsidRPr="002C2F83">
        <w:rPr>
          <w:b/>
          <w:bCs/>
          <w:color w:val="000000"/>
        </w:rPr>
        <w:t>pomůcka pro interoperabilitu</w:t>
      </w:r>
      <w:r w:rsidRPr="002C2F83">
        <w:rPr>
          <w:color w:val="000000"/>
        </w:rPr>
        <w:t xml:space="preserve"> a pro pochopení vztahu mezi historickým kódováním a novým OID</w:t>
      </w:r>
      <w:r w:rsidRPr="002C2F83">
        <w:rPr>
          <w:color w:val="000000"/>
        </w:rPr>
        <w:noBreakHyphen/>
        <w:t>based modelem.</w:t>
      </w:r>
    </w:p>
    <w:p w14:paraId="21881416" w14:textId="77777777" w:rsidR="00D66541" w:rsidRDefault="00D66541" w:rsidP="00D66541">
      <w:pPr>
        <w:pStyle w:val="Nadpis1"/>
        <w:ind w:hanging="2"/>
        <w:rPr>
          <w:b w:val="0"/>
        </w:rPr>
      </w:pPr>
      <w:bookmarkStart w:id="14" w:name="_heading=h.zeeuw5iep7ap" w:colFirst="0" w:colLast="0"/>
      <w:bookmarkEnd w:id="14"/>
      <w:r>
        <w:t>Literatura</w:t>
      </w:r>
    </w:p>
    <w:p w14:paraId="7C77591E" w14:textId="30430051" w:rsidR="00D66541" w:rsidRPr="002C2F83" w:rsidRDefault="00D66541" w:rsidP="00D6654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  <w:r w:rsidRPr="002C2F83">
        <w:rPr>
          <w:color w:val="000000"/>
        </w:rPr>
        <w:t>Literatura</w:t>
      </w:r>
      <w:r w:rsidR="00C62688">
        <w:rPr>
          <w:color w:val="000000"/>
        </w:rPr>
        <w:t>,</w:t>
      </w:r>
      <w:r w:rsidR="00C62688" w:rsidRPr="00CF6E5B">
        <w:rPr>
          <w:color w:val="000000"/>
        </w:rPr>
        <w:t xml:space="preserve"> </w:t>
      </w:r>
      <w:r w:rsidR="00C62688">
        <w:rPr>
          <w:color w:val="000000"/>
        </w:rPr>
        <w:t xml:space="preserve">v rozsahu </w:t>
      </w:r>
      <w:r w:rsidR="00C62688">
        <w:rPr>
          <w:color w:val="000000"/>
        </w:rPr>
        <w:t>1/2</w:t>
      </w:r>
      <w:r w:rsidR="00C62688" w:rsidRPr="00CF6E5B">
        <w:rPr>
          <w:color w:val="000000"/>
        </w:rPr>
        <w:t xml:space="preserve"> stran</w:t>
      </w:r>
      <w:r w:rsidR="00C62688">
        <w:rPr>
          <w:color w:val="000000"/>
        </w:rPr>
        <w:t>y</w:t>
      </w:r>
      <w:r w:rsidR="00C62688">
        <w:rPr>
          <w:color w:val="000000"/>
        </w:rPr>
        <w:t xml:space="preserve">, </w:t>
      </w:r>
      <w:r w:rsidRPr="002C2F83">
        <w:rPr>
          <w:color w:val="000000"/>
        </w:rPr>
        <w:t>obsahuje nenormativní odkazy na dokumenty související s GDD, ASN.1 a oblastí ITS. Tyto zdroje poskytují doplňující informace pro implementaci nebo hlubší pochopení kontextu normy, ale nejsou závazné pro shodu s dokumentem.</w:t>
      </w:r>
    </w:p>
    <w:p w14:paraId="5EF20F9E" w14:textId="77777777" w:rsidR="00E34B6A" w:rsidRDefault="00E34B6A">
      <w:pPr>
        <w:ind w:left="0" w:hanging="2"/>
      </w:pPr>
    </w:p>
    <w:sectPr w:rsidR="00E34B6A" w:rsidSect="00D6654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97" w:left="1417" w:header="708" w:footer="144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55675" w14:textId="77777777" w:rsidR="002A237A" w:rsidRDefault="002A237A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E0806A1" w14:textId="77777777" w:rsidR="002A237A" w:rsidRDefault="002A237A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337EF" w14:textId="77777777" w:rsidR="00D66541" w:rsidRDefault="00D66541">
    <w:pPr>
      <w:pStyle w:val="Zpat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0896" w14:textId="77777777" w:rsidR="00D66541" w:rsidRDefault="00D66541">
    <w:pPr>
      <w:pBdr>
        <w:top w:val="nil"/>
        <w:left w:val="nil"/>
        <w:bottom w:val="nil"/>
        <w:right w:val="nil"/>
        <w:between w:val="nil"/>
      </w:pBdr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E9A30" w14:textId="77777777" w:rsidR="00D66541" w:rsidRDefault="00D66541">
    <w:pPr>
      <w:pStyle w:val="Zpat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934F5" w14:textId="77777777" w:rsidR="002A237A" w:rsidRDefault="002A237A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891B276" w14:textId="77777777" w:rsidR="002A237A" w:rsidRDefault="002A237A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B769" w14:textId="77777777" w:rsidR="00D66541" w:rsidRDefault="00D66541">
    <w:pPr>
      <w:pStyle w:val="Zhlav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F6343" w14:textId="77777777" w:rsidR="00D66541" w:rsidRDefault="00D66541">
    <w:pPr>
      <w:pStyle w:val="Zhlav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ED4DD" w14:textId="77777777" w:rsidR="00D66541" w:rsidRDefault="00D66541">
    <w:pPr>
      <w:pStyle w:val="Zhlav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4F5"/>
    <w:multiLevelType w:val="hybridMultilevel"/>
    <w:tmpl w:val="A5923E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A779A"/>
    <w:multiLevelType w:val="hybridMultilevel"/>
    <w:tmpl w:val="5DE81F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67C2A"/>
    <w:multiLevelType w:val="hybridMultilevel"/>
    <w:tmpl w:val="607E15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08375">
    <w:abstractNumId w:val="1"/>
  </w:num>
  <w:num w:numId="2" w16cid:durableId="1622107004">
    <w:abstractNumId w:val="2"/>
  </w:num>
  <w:num w:numId="3" w16cid:durableId="998536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41"/>
    <w:rsid w:val="000149B3"/>
    <w:rsid w:val="002A237A"/>
    <w:rsid w:val="003E2729"/>
    <w:rsid w:val="00466C3B"/>
    <w:rsid w:val="00466D43"/>
    <w:rsid w:val="004A5F93"/>
    <w:rsid w:val="004B62B7"/>
    <w:rsid w:val="005256BE"/>
    <w:rsid w:val="005275B7"/>
    <w:rsid w:val="00670BAC"/>
    <w:rsid w:val="007F6292"/>
    <w:rsid w:val="00802FFC"/>
    <w:rsid w:val="008535A3"/>
    <w:rsid w:val="00A735F2"/>
    <w:rsid w:val="00BD6B48"/>
    <w:rsid w:val="00C623F1"/>
    <w:rsid w:val="00C62688"/>
    <w:rsid w:val="00D26B55"/>
    <w:rsid w:val="00D66541"/>
    <w:rsid w:val="00E34B6A"/>
    <w:rsid w:val="00E4623E"/>
    <w:rsid w:val="00F16C9B"/>
    <w:rsid w:val="00FA4A05"/>
    <w:rsid w:val="0D1C9B78"/>
    <w:rsid w:val="168ABC1D"/>
    <w:rsid w:val="2580A366"/>
    <w:rsid w:val="2A4A991E"/>
    <w:rsid w:val="31100415"/>
    <w:rsid w:val="3AD83D70"/>
    <w:rsid w:val="67E1DBE0"/>
    <w:rsid w:val="79CB11CD"/>
    <w:rsid w:val="7B7EB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1CA1C"/>
  <w15:chartTrackingRefBased/>
  <w15:docId w15:val="{F013B2C9-F836-4C5C-A7CB-42574AAA3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66541"/>
    <w:pPr>
      <w:spacing w:after="120" w:line="276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Arial" w:eastAsia="Arial" w:hAnsi="Arial" w:cs="Arial"/>
      <w:kern w:val="0"/>
      <w:position w:val="-1"/>
      <w:sz w:val="20"/>
      <w:szCs w:val="20"/>
      <w:lang w:eastAsia="hi-IN" w:bidi="hi-IN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F16C9B"/>
    <w:pPr>
      <w:keepNext/>
      <w:keepLines/>
      <w:spacing w:before="120" w:after="80"/>
      <w:ind w:leftChars="0" w:left="0" w:firstLineChars="0" w:firstLine="0"/>
    </w:pPr>
    <w:rPr>
      <w:rFonts w:asciiTheme="majorHAnsi" w:eastAsiaTheme="majorEastAsia" w:hAnsiTheme="majorHAnsi" w:cstheme="majorBidi"/>
      <w:b/>
      <w:sz w:val="24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66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66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66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66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66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66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66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66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16C9B"/>
    <w:rPr>
      <w:rFonts w:asciiTheme="majorHAnsi" w:eastAsiaTheme="majorEastAsia" w:hAnsiTheme="majorHAnsi" w:cstheme="majorBidi"/>
      <w:b/>
      <w:kern w:val="0"/>
      <w:position w:val="-1"/>
      <w:szCs w:val="40"/>
      <w:lang w:eastAsia="hi-IN" w:bidi="hi-IN"/>
      <w14:ligatures w14:val="none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66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66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6654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6654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6654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6654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6654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6654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66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6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66541"/>
    <w:pPr>
      <w:numPr>
        <w:ilvl w:val="1"/>
      </w:numPr>
      <w:ind w:leftChars="-1" w:left="-1" w:hangingChars="1"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66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66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66541"/>
    <w:rPr>
      <w:i/>
      <w:iCs/>
      <w:color w:val="404040" w:themeColor="text1" w:themeTint="BF"/>
    </w:rPr>
  </w:style>
  <w:style w:type="paragraph" w:styleId="Odstavecseseznamem">
    <w:name w:val="List Paragraph"/>
    <w:basedOn w:val="Normln"/>
    <w:qFormat/>
    <w:rsid w:val="00D6654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6654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66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6654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66541"/>
    <w:rPr>
      <w:b/>
      <w:bCs/>
      <w:smallCaps/>
      <w:color w:val="0F4761" w:themeColor="accent1" w:themeShade="BF"/>
      <w:spacing w:val="5"/>
    </w:rPr>
  </w:style>
  <w:style w:type="paragraph" w:styleId="Zkladntext">
    <w:name w:val="Body Text"/>
    <w:basedOn w:val="Normln"/>
    <w:link w:val="ZkladntextChar"/>
    <w:rsid w:val="00D66541"/>
    <w:rPr>
      <w:color w:val="000000"/>
    </w:rPr>
  </w:style>
  <w:style w:type="character" w:customStyle="1" w:styleId="ZkladntextChar">
    <w:name w:val="Základní text Char"/>
    <w:basedOn w:val="Standardnpsmoodstavce"/>
    <w:link w:val="Zkladntext"/>
    <w:rsid w:val="00D66541"/>
    <w:rPr>
      <w:rFonts w:ascii="Arial" w:eastAsia="Arial" w:hAnsi="Arial" w:cs="Arial"/>
      <w:color w:val="000000"/>
      <w:kern w:val="0"/>
      <w:position w:val="-1"/>
      <w:sz w:val="20"/>
      <w:szCs w:val="20"/>
      <w:lang w:eastAsia="hi-IN" w:bidi="hi-IN"/>
      <w14:ligatures w14:val="none"/>
    </w:rPr>
  </w:style>
  <w:style w:type="paragraph" w:styleId="Zpat">
    <w:name w:val="footer"/>
    <w:basedOn w:val="Normln"/>
    <w:link w:val="ZpatChar"/>
    <w:rsid w:val="00D66541"/>
    <w:pPr>
      <w:suppressLineNumbers/>
      <w:tabs>
        <w:tab w:val="center" w:pos="4819"/>
        <w:tab w:val="right" w:pos="9638"/>
      </w:tabs>
    </w:pPr>
    <w:rPr>
      <w:color w:val="000000"/>
    </w:rPr>
  </w:style>
  <w:style w:type="character" w:customStyle="1" w:styleId="ZpatChar">
    <w:name w:val="Zápatí Char"/>
    <w:basedOn w:val="Standardnpsmoodstavce"/>
    <w:link w:val="Zpat"/>
    <w:rsid w:val="00D66541"/>
    <w:rPr>
      <w:rFonts w:ascii="Arial" w:eastAsia="Arial" w:hAnsi="Arial" w:cs="Arial"/>
      <w:color w:val="000000"/>
      <w:kern w:val="0"/>
      <w:position w:val="-1"/>
      <w:sz w:val="20"/>
      <w:szCs w:val="20"/>
      <w:lang w:eastAsia="hi-IN" w:bidi="hi-IN"/>
      <w14:ligatures w14:val="none"/>
    </w:rPr>
  </w:style>
  <w:style w:type="paragraph" w:styleId="Titulek">
    <w:name w:val="caption"/>
    <w:basedOn w:val="Normln"/>
    <w:next w:val="Normln"/>
    <w:rsid w:val="00D66541"/>
    <w:pPr>
      <w:spacing w:after="200" w:line="100" w:lineRule="atLeast"/>
      <w:jc w:val="center"/>
    </w:pPr>
    <w:rPr>
      <w:bCs/>
      <w:color w:val="000000"/>
      <w:sz w:val="18"/>
      <w:szCs w:val="18"/>
    </w:rPr>
  </w:style>
  <w:style w:type="table" w:styleId="Mkatabulky">
    <w:name w:val="Table Grid"/>
    <w:basedOn w:val="Normlntabulka"/>
    <w:rsid w:val="00D66541"/>
    <w:pPr>
      <w:suppressAutoHyphens/>
      <w:spacing w:after="12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eastAsia="Arial" w:hAnsi="Arial" w:cs="Arial"/>
      <w:kern w:val="0"/>
      <w:position w:val="-1"/>
      <w:sz w:val="20"/>
      <w:szCs w:val="20"/>
      <w:lang w:eastAsia="cs-CZ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D66541"/>
    <w:rPr>
      <w:color w:val="467886" w:themeColor="hyperlink"/>
      <w:u w:val="single"/>
    </w:rPr>
  </w:style>
  <w:style w:type="paragraph" w:styleId="Zhlav">
    <w:name w:val="header"/>
    <w:basedOn w:val="Normln"/>
    <w:link w:val="ZhlavChar"/>
    <w:uiPriority w:val="99"/>
    <w:unhideWhenUsed/>
    <w:rsid w:val="00D66541"/>
    <w:pPr>
      <w:tabs>
        <w:tab w:val="center" w:pos="4536"/>
        <w:tab w:val="right" w:pos="9072"/>
      </w:tabs>
      <w:spacing w:after="0" w:line="240" w:lineRule="auto"/>
    </w:pPr>
    <w:rPr>
      <w:rFonts w:cs="Mangal"/>
      <w:szCs w:val="18"/>
    </w:rPr>
  </w:style>
  <w:style w:type="character" w:customStyle="1" w:styleId="ZhlavChar">
    <w:name w:val="Záhlaví Char"/>
    <w:basedOn w:val="Standardnpsmoodstavce"/>
    <w:link w:val="Zhlav"/>
    <w:uiPriority w:val="99"/>
    <w:rsid w:val="00D66541"/>
    <w:rPr>
      <w:rFonts w:ascii="Arial" w:eastAsia="Arial" w:hAnsi="Arial" w:cs="Mangal"/>
      <w:kern w:val="0"/>
      <w:position w:val="-1"/>
      <w:sz w:val="20"/>
      <w:szCs w:val="18"/>
      <w:lang w:eastAsia="hi-IN" w:bidi="hi-IN"/>
      <w14:ligatures w14:val="none"/>
    </w:rPr>
  </w:style>
  <w:style w:type="paragraph" w:styleId="Textkomente">
    <w:name w:val="annotation text"/>
    <w:basedOn w:val="Normln"/>
    <w:link w:val="TextkomenteChar"/>
    <w:uiPriority w:val="99"/>
    <w:unhideWhenUsed/>
    <w:pPr>
      <w:spacing w:line="240" w:lineRule="auto"/>
    </w:pPr>
    <w:rPr>
      <w:rFonts w:cs="Mangal"/>
      <w:szCs w:val="18"/>
    </w:rPr>
  </w:style>
  <w:style w:type="character" w:customStyle="1" w:styleId="TextkomenteChar">
    <w:name w:val="Text komentáře Char"/>
    <w:basedOn w:val="Standardnpsmoodstavce"/>
    <w:link w:val="Textkomente"/>
    <w:uiPriority w:val="99"/>
    <w:rPr>
      <w:rFonts w:ascii="Arial" w:eastAsia="Arial" w:hAnsi="Arial" w:cs="Mangal"/>
      <w:kern w:val="0"/>
      <w:position w:val="-1"/>
      <w:sz w:val="20"/>
      <w:szCs w:val="18"/>
      <w:lang w:eastAsia="hi-IN" w:bidi="hi-IN"/>
      <w14:ligatures w14:val="none"/>
    </w:rPr>
  </w:style>
  <w:style w:type="character" w:styleId="Odkaznakoment">
    <w:name w:val="annotation reference"/>
    <w:basedOn w:val="Standardnpsmoodstavce"/>
    <w:uiPriority w:val="99"/>
    <w:semiHidden/>
    <w:unhideWhenUsed/>
    <w:rPr>
      <w:sz w:val="16"/>
      <w:szCs w:val="16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D26B5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D26B55"/>
    <w:rPr>
      <w:rFonts w:ascii="Arial" w:eastAsia="Arial" w:hAnsi="Arial" w:cs="Mangal"/>
      <w:b/>
      <w:bCs/>
      <w:kern w:val="0"/>
      <w:position w:val="-1"/>
      <w:sz w:val="20"/>
      <w:szCs w:val="18"/>
      <w:lang w:eastAsia="hi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itsterminology.org" TargetMode="External"/><Relationship Id="rId13" Type="http://schemas.openxmlformats.org/officeDocument/2006/relationships/hyperlink" Target="https://standards.iso.org/iso/14823/-1/ed-1/en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1959</Words>
  <Characters>11564</Characters>
  <Application>Microsoft Office Word</Application>
  <DocSecurity>0</DocSecurity>
  <Lines>96</Lines>
  <Paragraphs>26</Paragraphs>
  <ScaleCrop>false</ScaleCrop>
  <Company/>
  <LinksUpToDate>false</LinksUpToDate>
  <CharactersWithSpaces>13497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Bureš (CZ/TTR)</dc:creator>
  <cp:keywords/>
  <dc:description/>
  <cp:lastModifiedBy>Petr Bureš (CZ/TTR)</cp:lastModifiedBy>
  <cp:revision>17</cp:revision>
  <dcterms:created xsi:type="dcterms:W3CDTF">2026-01-20T16:29:00Z</dcterms:created>
  <dcterms:modified xsi:type="dcterms:W3CDTF">2026-03-25T18:03:00Z</dcterms:modified>
</cp:coreProperties>
</file>